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“圆桌创意”前端布局方案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本方案严格依据产品方案设计书（PRD）与技术方案设计书核心要求，遵循</w:t>
      </w:r>
      <w:r>
        <w:rPr>
          <w:rFonts w:eastAsia="等线" w:ascii="Arial" w:cs="Arial" w:hAnsi="Arial"/>
          <w:b w:val="true"/>
          <w:sz w:val="22"/>
        </w:rPr>
        <w:t>高信噪比、专业严谨、交互高效</w:t>
      </w:r>
      <w:r>
        <w:rPr>
          <w:rFonts w:eastAsia="等线" w:ascii="Arial" w:cs="Arial" w:hAnsi="Arial"/>
          <w:sz w:val="22"/>
        </w:rPr>
        <w:t>的设计原则，摒弃娱乐化术语，规避“专家”“剧场”等表述，围绕意图洞察、角色矩阵、圆桌空间等核心模块打造贴合产品定位的前端布局，同时匹配技术实现中的SSE流式渲染、WebSocket实时交互、异步数据更新等技术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一、全局布局规范与设计语言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核心设计原则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贴合产品“严谨、启发、专业、极客”的品牌调性，遵循</w:t>
      </w:r>
      <w:r>
        <w:rPr>
          <w:rFonts w:eastAsia="等线" w:ascii="Arial" w:cs="Arial" w:hAnsi="Arial"/>
          <w:b w:val="true"/>
          <w:sz w:val="22"/>
        </w:rPr>
        <w:t>信噪比优先、透明化、实时性</w:t>
      </w:r>
      <w:r>
        <w:rPr>
          <w:rFonts w:eastAsia="等线" w:ascii="Arial" w:cs="Arial" w:hAnsi="Arial"/>
          <w:sz w:val="22"/>
        </w:rPr>
        <w:t>原则，界面去冗余设计，无低效娱乐动画，信息层级清晰；适配技术方案中前后端分离、异步交互、流式推送的技术特点，保障布局对实时数据渲染、动态参数调节的支撑。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视觉基础规范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主题模式</w:t>
      </w:r>
      <w:r>
        <w:rPr>
          <w:rFonts w:eastAsia="等线" w:ascii="Arial" w:cs="Arial" w:hAnsi="Arial"/>
          <w:sz w:val="22"/>
        </w:rPr>
        <w:t>：默认深色模式（核心工作区），支持浅色模式切换，管理后台统一深色模式，贴合专业决策场景；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配色体系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主色：深蓝（#165DFF），用于用户操作、确认按钮、核心交互控件、用户发言气泡；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角色色：按智能体角色立场/类型差异化配色（建设性角色：浅蓝；对抗性角色：酒红；中立角色：深灰），贴合角色矩阵异质性设计；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状态色：待命（绿#52C41A）、发言中（黄#FAAD14）、冷却中（灰#8C8C8C）、共识项（绿#52C41A）、争议项（黄#FAAD14）、目标项（蓝#165DFF）；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中性色：深灰背景（#1F1F1F）、浅灰内容区（#2B2B2B）、白色文字（#FFFFFF），保障深色模式下视觉舒适度。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组件库</w:t>
      </w:r>
      <w:r>
        <w:rPr>
          <w:rFonts w:eastAsia="等线" w:ascii="Arial" w:cs="Arial" w:hAnsi="Arial"/>
          <w:sz w:val="22"/>
        </w:rPr>
        <w:t>：基于Ant Design进行自定义主题开发，保留卡片、气泡、滑块、表单等组件的专业形态，剔除冗余视觉元素，适配复杂交互与数据展示场景。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全局布局结构范式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根据产品模块功能属性，分为三类布局范式，适配技术方案中不同模块的交互需求，保障前端开发的一致性与可复用性：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布局范式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结构组成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适配核心模块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双栏流式布局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顶部固定操作区 + 左侧动态内容流 + 右侧固定信息面板 + 底部全局操作按钮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意图洞察交互模块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三栏核心工作区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左侧对话流区 + 右侧共识画布区 + 底部折叠式控制栏，顶部悬浮状态提示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圆桌空间对答模块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管理类标准布局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左侧固定导航栏 + 顶部筛选/标签栏 + 右侧滚动内容区，支持弹窗/抽屉式编辑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角色矩阵生成模块、灵魂矩阵管理后台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二、核心模块前端布局实现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意图洞察交互模块（对应PRD意图探针）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作为圆桌启动前的核心前置模块，核心实现</w:t>
      </w:r>
      <w:r>
        <w:rPr>
          <w:rFonts w:eastAsia="等线" w:ascii="Arial" w:cs="Arial" w:hAnsi="Arial"/>
          <w:b w:val="true"/>
          <w:sz w:val="22"/>
        </w:rPr>
        <w:t>交互式意图澄清、需求卡片实时具象化</w:t>
      </w:r>
      <w:r>
        <w:rPr>
          <w:rFonts w:eastAsia="等线" w:ascii="Arial" w:cs="Arial" w:hAnsi="Arial"/>
          <w:sz w:val="22"/>
        </w:rPr>
        <w:t>，贴合技术方案中SSE实时推送、双向编辑同步的技术要求，采用</w:t>
      </w:r>
      <w:r>
        <w:rPr>
          <w:rFonts w:eastAsia="等线" w:ascii="Arial" w:cs="Arial" w:hAnsi="Arial"/>
          <w:b w:val="true"/>
          <w:sz w:val="22"/>
        </w:rPr>
        <w:t>双栏流式固定布局</w:t>
      </w:r>
      <w:r>
        <w:rPr>
          <w:rFonts w:eastAsia="等线" w:ascii="Arial" w:cs="Arial" w:hAnsi="Arial"/>
          <w:sz w:val="22"/>
        </w:rPr>
        <w:t>，无冗余元素，聚焦意图共建效率。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布局结构（100%视口占比，无滚动条外的多余层级）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顶部全局固定区（高度60px）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左侧：产品logo+“意图洞察”模块标题；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中间：核心输入框（占比60%），支持回车/Ctrl+Enter提交，占位提示为“请简要描述你的需求，系统将帮你梳理核心诉求”，输入框右侧显示字数提示（无上限，贴合自由输入需求）；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右侧：轻量帮助按钮（悬浮展示操作指引，无弹窗）。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左侧引导对话区（占比65%，垂直滚动）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瀑布式对话流，按时间顺序排列，无分页，支持无限滚动回溯；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系统引导内容：左对齐浅灰色气泡，内置1-3个引导问题，选项式引导采用横向按钮组件（一键点击提交，降低认知负担），同时保留自由输入入口；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用户反馈内容：右对齐深蓝色主色气泡，区分选项式选择与自由输入（选项式标注“已选择”，自由输入标注“已补充”）。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右侧需求卡片区（占比35%，悬浮固定，无滚动）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卡片标题：“结构化需求卡片（圆桌启动核心依据）”，下方标注“实时更新，支持手动编辑”；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三大固定模块：核心目标（单行文本）、限制条件（列表式）、待解决痛点（列表式），每个模块独立标题+内容区，内容区实时渲染后端推送数据；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编辑控件：每个模块内容区右侧设编辑按钮，点击进入行内编辑状态，编辑时显示“编辑中，暂停止系统更新”轻量提示，编辑完成自动同步后端并恢复系统更新。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底部全局操作区（高度70px，固定）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左侧：状态提示区，实时显示“正在分析需求”“正在梳理核心诉求”“需求卡片已完善”等状态，搭配微动画（无加载转圈等低效动画）；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</w:t>
      </w:r>
      <w:r>
        <w:rPr>
          <w:rFonts w:eastAsia="等线" w:ascii="Arial" w:cs="Arial" w:hAnsi="Arial"/>
          <w:b w:val="true"/>
          <w:sz w:val="22"/>
        </w:rPr>
        <w:t>确认以此背景启动圆桌</w:t>
      </w:r>
      <w:r>
        <w:rPr>
          <w:rFonts w:eastAsia="等线" w:ascii="Arial" w:cs="Arial" w:hAnsi="Arial"/>
          <w:sz w:val="22"/>
        </w:rPr>
        <w:t>按钮（核心操作），置灰/可点击状态由需求卡片完善度驱动（技术方案后端校验），点击后触发路由跳转至角色矩阵生成模块，携带需求卡片JSON数据。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视觉与交互适配（贴合技术方案难点解决方案）</w:t>
      </w:r>
      <w:bookmarkEnd w:id="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需求卡片更新采用</w:t>
      </w:r>
      <w:r>
        <w:rPr>
          <w:rFonts w:eastAsia="等线" w:ascii="Arial" w:cs="Arial" w:hAnsi="Arial"/>
          <w:b w:val="true"/>
          <w:sz w:val="22"/>
        </w:rPr>
        <w:t>增量渲染</w:t>
      </w:r>
      <w:r>
        <w:rPr>
          <w:rFonts w:eastAsia="等线" w:ascii="Arial" w:cs="Arial" w:hAnsi="Arial"/>
          <w:sz w:val="22"/>
        </w:rPr>
        <w:t>，仅刷新变化字段，无整卡重渲染，保障流畅性；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手动编辑与系统自动更新的冲突处理：编辑时卡片边框高亮（主色#165DFF），系统暂停推送，编辑完成后边框恢复，同步最新数据；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引导对话流采用</w:t>
      </w:r>
      <w:r>
        <w:rPr>
          <w:rFonts w:eastAsia="等线" w:ascii="Arial" w:cs="Arial" w:hAnsi="Arial"/>
          <w:b w:val="true"/>
          <w:sz w:val="22"/>
        </w:rPr>
        <w:t>虚拟列表渲染</w:t>
      </w:r>
      <w:r>
        <w:rPr>
          <w:rFonts w:eastAsia="等线" w:ascii="Arial" w:cs="Arial" w:hAnsi="Arial"/>
          <w:sz w:val="22"/>
        </w:rPr>
        <w:t>，减少DOM操作，保障大量对话内容下的页面响应速度；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所有操作无二次确认弹窗，选项式点击、编辑提交、按钮点击均为一键生效，贴合高效决策场景。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角色矩阵生成模块（对应PRD专家智囊矩阵）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基于意图洞察的需求卡片，实现</w:t>
      </w:r>
      <w:r>
        <w:rPr>
          <w:rFonts w:eastAsia="等线" w:ascii="Arial" w:cs="Arial" w:hAnsi="Arial"/>
          <w:b w:val="true"/>
          <w:sz w:val="22"/>
        </w:rPr>
        <w:t>智能体角色动态匹配、矩阵组建与确认</w:t>
      </w:r>
      <w:r>
        <w:rPr>
          <w:rFonts w:eastAsia="等线" w:ascii="Arial" w:cs="Arial" w:hAnsi="Arial"/>
          <w:sz w:val="22"/>
        </w:rPr>
        <w:t>，贴合技术方案中角色匹配算法、矩阵调整逻辑，采用</w:t>
      </w:r>
      <w:r>
        <w:rPr>
          <w:rFonts w:eastAsia="等线" w:ascii="Arial" w:cs="Arial" w:hAnsi="Arial"/>
          <w:b w:val="true"/>
          <w:sz w:val="22"/>
        </w:rPr>
        <w:t>管理类标准布局+卡片列表</w:t>
      </w:r>
      <w:r>
        <w:rPr>
          <w:rFonts w:eastAsia="等线" w:ascii="Arial" w:cs="Arial" w:hAnsi="Arial"/>
          <w:sz w:val="22"/>
        </w:rPr>
        <w:t>，兼顾视觉简洁性与操作便捷性。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布局结构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顶部固定区（高度60px）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左侧：模块标题“角色矩阵组建”，下方显示需求卡片核心目标精简版（悬浮展示完整需求卡片）；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右侧：企业版专属</w:t>
      </w:r>
      <w:r>
        <w:rPr>
          <w:rFonts w:eastAsia="等线" w:ascii="Arial" w:cs="Arial" w:hAnsi="Arial"/>
          <w:b w:val="true"/>
          <w:sz w:val="22"/>
        </w:rPr>
        <w:t>添加角色</w:t>
      </w:r>
      <w:r>
        <w:rPr>
          <w:rFonts w:eastAsia="等线" w:ascii="Arial" w:cs="Arial" w:hAnsi="Arial"/>
          <w:sz w:val="22"/>
        </w:rPr>
        <w:t>按钮（标准版隐藏），状态提示区（显示“正在匹配角色”“角色矩阵匹配完成，共X位，含1位对抗性角色”）。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中间角色卡片列表区（100%宽度，垂直滚动，响应式适配）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卡片布局：每行最多3张角色卡片（桌面端），自适应移动端1-2张，卡片间距统一，无冗余留白；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单张角色卡片（固定尺寸280px*320px）：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顶部：角色头像（圆形）+ 角色名称 + 角色类型标签（建设性/对抗性/中立），对抗性角色增加酒红边框+“风险把控”副标签；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中部：核心能力（标签云形式）+ 立场描述（单行精简版）；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底部：</w:t>
      </w:r>
      <w:r>
        <w:rPr>
          <w:rFonts w:eastAsia="等线" w:ascii="Arial" w:cs="Arial" w:hAnsi="Arial"/>
          <w:b w:val="true"/>
          <w:sz w:val="22"/>
        </w:rPr>
        <w:t>查看详情</w:t>
      </w:r>
      <w:r>
        <w:rPr>
          <w:rFonts w:eastAsia="等线" w:ascii="Arial" w:cs="Arial" w:hAnsi="Arial"/>
          <w:sz w:val="22"/>
        </w:rPr>
        <w:t>按钮（点击弹出抽屉式详情页）、企业版专属</w:t>
      </w:r>
      <w:r>
        <w:rPr>
          <w:rFonts w:eastAsia="等线" w:ascii="Arial" w:cs="Arial" w:hAnsi="Arial"/>
          <w:b w:val="true"/>
          <w:sz w:val="22"/>
        </w:rPr>
        <w:t>删除</w:t>
      </w:r>
      <w:r>
        <w:rPr>
          <w:rFonts w:eastAsia="等线" w:ascii="Arial" w:cs="Arial" w:hAnsi="Arial"/>
          <w:sz w:val="22"/>
        </w:rPr>
        <w:t>按钮（标准版隐藏）。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角色详情抽屉：展示角色完整的SOUL.md核心定义、STYLE.md表达风格、擅长领域，无冗余内容，支持关闭抽屉返回列表。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底部全局操作区（高度70px，固定）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左侧：矩阵校验提示（显示“当前矩阵含X位角色，1位对抗性角色，满足启动条件”），企业版显示“可添加/删除角色，最少保留3位角色+1位对抗性角色”；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</w:t>
      </w:r>
      <w:r>
        <w:rPr>
          <w:rFonts w:eastAsia="等线" w:ascii="Arial" w:cs="Arial" w:hAnsi="Arial"/>
          <w:b w:val="true"/>
          <w:sz w:val="22"/>
        </w:rPr>
        <w:t>确认启动圆桌</w:t>
      </w:r>
      <w:r>
        <w:rPr>
          <w:rFonts w:eastAsia="等线" w:ascii="Arial" w:cs="Arial" w:hAnsi="Arial"/>
          <w:sz w:val="22"/>
        </w:rPr>
        <w:t>按钮（置灰/可点击由后端矩阵完整性校验驱动），点击后触发后端创建圆桌房间，初始化房间状态，路由跳转至圆桌空间对答模块，携带角色矩阵数据。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视觉与交互适配（贴合技术方案难点解决方案）</w:t>
      </w:r>
      <w:bookmarkEnd w:id="1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角色匹配过程采用</w:t>
      </w:r>
      <w:r>
        <w:rPr>
          <w:rFonts w:eastAsia="等线" w:ascii="Arial" w:cs="Arial" w:hAnsi="Arial"/>
          <w:b w:val="true"/>
          <w:sz w:val="22"/>
        </w:rPr>
        <w:t>骨架屏占位</w:t>
      </w:r>
      <w:r>
        <w:rPr>
          <w:rFonts w:eastAsia="等线" w:ascii="Arial" w:cs="Arial" w:hAnsi="Arial"/>
          <w:sz w:val="22"/>
        </w:rPr>
        <w:t>，无全屏加载，骨架屏与最终卡片布局一致，保障视觉连贯性；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角色卡片采用</w:t>
      </w:r>
      <w:r>
        <w:rPr>
          <w:rFonts w:eastAsia="等线" w:ascii="Arial" w:cs="Arial" w:hAnsi="Arial"/>
          <w:b w:val="true"/>
          <w:sz w:val="22"/>
        </w:rPr>
        <w:t>懒加载</w:t>
      </w:r>
      <w:r>
        <w:rPr>
          <w:rFonts w:eastAsia="等线" w:ascii="Arial" w:cs="Arial" w:hAnsi="Arial"/>
          <w:sz w:val="22"/>
        </w:rPr>
        <w:t>，滚动至可视区域再渲染，保障大量角色匹配时的页面流畅性；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企业版添加/删除角色后，列表</w:t>
      </w:r>
      <w:r>
        <w:rPr>
          <w:rFonts w:eastAsia="等线" w:ascii="Arial" w:cs="Arial" w:hAnsi="Arial"/>
          <w:b w:val="true"/>
          <w:sz w:val="22"/>
        </w:rPr>
        <w:t>实时增量刷新</w:t>
      </w:r>
      <w:r>
        <w:rPr>
          <w:rFonts w:eastAsia="等线" w:ascii="Arial" w:cs="Arial" w:hAnsi="Arial"/>
          <w:sz w:val="22"/>
        </w:rPr>
        <w:t>，顶部弹出轻量提示“角色矩阵已更新”（3秒自动消失），无弹窗；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对抗性角色卡片在视觉上做强区分（酒红边框+专属标签），贴合PRD对抗性设计的核心要求。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圆桌空间对答模块（产品核心工作区，对应PRD圆桌创意主空间）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实现智能体角色间、用户与智能体角色间的实时对答，集成共识画布、统御罗盘核心功能，是技术方案中SSE流式推送、WebSocket双向交互、异步压缩引擎的核心落地模块，采用</w:t>
      </w:r>
      <w:r>
        <w:rPr>
          <w:rFonts w:eastAsia="等线" w:ascii="Arial" w:cs="Arial" w:hAnsi="Arial"/>
          <w:b w:val="true"/>
          <w:sz w:val="22"/>
        </w:rPr>
        <w:t>三栏核心工作区布局</w:t>
      </w:r>
      <w:r>
        <w:rPr>
          <w:rFonts w:eastAsia="等线" w:ascii="Arial" w:cs="Arial" w:hAnsi="Arial"/>
          <w:sz w:val="22"/>
        </w:rPr>
        <w:t>，贴合“专业多边讨论工作区”的产品定位。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布局结构（100%视口占比，核心工作区无多余导航，聚焦对话与决策）</w:t>
      </w:r>
      <w:bookmarkEnd w:id="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左侧对话流区（占比60%，垂直滚动，核心内容区）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顶部悬浮状态栏（高度50px，随滚动悬浮，不遮挡对话内容）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左侧：圆桌标题（取自需求卡片核心目标）+ 圆桌房间ID（可点击复制）；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右侧：角色状态列表（悬浮式，鼠标hover展开），显示当前所有角色的状态（待命/发言中/冷却中），搭配状态色圆点。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中间对话流核心区（垂直滚动，无分页，支持自由回溯）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对话流按时间顺序排列，采用气泡式设计，支持SSE流式渲染；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智能体角色发言：左对齐气泡，按角色类型匹配专属配色，气泡左侧显示角色头像+名称+类型标签，气泡底部显示</w:t>
      </w:r>
      <w:r>
        <w:rPr>
          <w:rFonts w:eastAsia="等线" w:ascii="Arial" w:cs="Arial" w:hAnsi="Arial"/>
          <w:b w:val="true"/>
          <w:sz w:val="22"/>
        </w:rPr>
        <w:t>查看思考链</w:t>
      </w:r>
      <w:r>
        <w:rPr>
          <w:rFonts w:eastAsia="等线" w:ascii="Arial" w:cs="Arial" w:hAnsi="Arial"/>
          <w:sz w:val="22"/>
        </w:rPr>
        <w:t>按钮（点击弹出抽屉式思考链详情），发言过程中显示“正在思考”微动画（逐字流式渲染，贴合技术方案）；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用户发言：右对齐深蓝色主色气泡，标注“我”，气泡底部显示发言时间，支持点击复制。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底部用户操作区（高度60px，固定）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输入框（占比90%），支持回车提交，字数限制500字（右侧显示实时字数），占位提示“输入你的观点/问题，参与圆桌讨论”；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发送按钮（占比10%），与回车功能一致，适配鼠标操作。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右侧共识画布区（占比40%，悬浮固定，无滚动，对应PRD共识画布）</w:t>
      </w:r>
      <w:bookmarkEnd w:id="1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顶部固定区（高度50px）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标题“共识画布”，右侧显示</w:t>
      </w:r>
      <w:r>
        <w:rPr>
          <w:rFonts w:eastAsia="等线" w:ascii="Arial" w:cs="Arial" w:hAnsi="Arial"/>
          <w:b w:val="true"/>
          <w:sz w:val="22"/>
        </w:rPr>
        <w:t>刷新</w:t>
      </w:r>
      <w:r>
        <w:rPr>
          <w:rFonts w:eastAsia="等线" w:ascii="Arial" w:cs="Arial" w:hAnsi="Arial"/>
          <w:sz w:val="22"/>
        </w:rPr>
        <w:t>按钮（手动触发画布更新，补充后端异步更新）。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核心内容区（无滚动，模块式布局）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第一模块：需求卡片精简版（不可编辑，置顶），作为圆桌讨论的核心锚点，贴合PRD防止跑题的设计要求；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第二模块：当前目标（蓝标），单行文本，实时渲染后端提取的讨论核心目标，偏离原需求时显示</w:t>
      </w:r>
      <w:r>
        <w:rPr>
          <w:rFonts w:eastAsia="等线" w:ascii="Arial" w:cs="Arial" w:hAnsi="Arial"/>
          <w:b w:val="true"/>
          <w:sz w:val="22"/>
        </w:rPr>
        <w:t>偏离目标</w:t>
      </w:r>
      <w:r>
        <w:rPr>
          <w:rFonts w:eastAsia="等线" w:ascii="Arial" w:cs="Arial" w:hAnsi="Arial"/>
          <w:sz w:val="22"/>
        </w:rPr>
        <w:t>酒红提示；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第三模块：已达成共识（绿标），列表式，每条共识标注达成时间，支持点击查看对应对话片段（跳转至对话流对应位置）；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第四模块：遗留争议点（黄标），列表式，每条争议点标注涉及角色，支持点击查看对应对话片段（跳转至对话流对应位置）。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底部提示区（高度40px）</w:t>
      </w:r>
      <w:r>
        <w:rPr>
          <w:rFonts w:eastAsia="等线" w:ascii="Arial" w:cs="Arial" w:hAnsi="Arial"/>
          <w:sz w:val="22"/>
        </w:rPr>
        <w:t>：显示画布最后更新时间，贴合透明化设计原则。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底部统御罗盘区（默认折叠，对应PRD统御罗盘，技术方案WebSocket双向交互核心）</w:t>
      </w:r>
      <w:bookmarkEnd w:id="1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折叠态（高度50px，固定）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</w:t>
      </w:r>
      <w:r>
        <w:rPr>
          <w:rFonts w:eastAsia="等线" w:ascii="Arial" w:cs="Arial" w:hAnsi="Arial"/>
          <w:b w:val="true"/>
          <w:sz w:val="22"/>
        </w:rPr>
        <w:t>统御罗盘</w:t>
      </w:r>
      <w:r>
        <w:rPr>
          <w:rFonts w:eastAsia="等线" w:ascii="Arial" w:cs="Arial" w:hAnsi="Arial"/>
          <w:sz w:val="22"/>
        </w:rPr>
        <w:t>标题+展开按钮，右侧显示当前圆桌状态（发散期/收敛期/挂起），搭配状态色。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展开态（高度200px，固定，无滚动）</w:t>
      </w:r>
      <w:r>
        <w:rPr>
          <w:rFonts w:eastAsia="等线" w:ascii="Arial" w:cs="Arial" w:hAnsi="Arial"/>
          <w:sz w:val="22"/>
        </w:rPr>
        <w:t>：采用分栏式布局，无冗余控件，聚焦参数调节，所有操作实时生效（WebSocket推送）：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第一栏：模型温度调节，滑块（0-1，默认0.7），左侧显示当前数值，支持手动输入；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第二栏：角色话语权调节，多滑块布局（每个角色一个滑块），支持单独调节，实时显示权重值；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第三栏：竞价阈值调节，滑块（50-80，默认60），贴合技术方案多智能体调度引擎阈值要求；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第四栏：高级操作，包含</w:t>
      </w:r>
      <w:r>
        <w:rPr>
          <w:rFonts w:eastAsia="等线" w:ascii="Arial" w:cs="Arial" w:hAnsi="Arial"/>
          <w:b w:val="true"/>
          <w:sz w:val="22"/>
        </w:rPr>
        <w:t>上帝暗语</w:t>
      </w:r>
      <w:r>
        <w:rPr>
          <w:rFonts w:eastAsia="等线" w:ascii="Arial" w:cs="Arial" w:hAnsi="Arial"/>
          <w:sz w:val="22"/>
        </w:rPr>
        <w:t>输入框（支持输入干预指令，一键发送）+</w:t>
      </w:r>
      <w:r>
        <w:rPr>
          <w:rFonts w:eastAsia="等线" w:ascii="Arial" w:cs="Arial" w:hAnsi="Arial"/>
          <w:b w:val="true"/>
          <w:sz w:val="22"/>
        </w:rPr>
        <w:t>强制进入收敛期</w:t>
      </w:r>
      <w:r>
        <w:rPr>
          <w:rFonts w:eastAsia="等线" w:ascii="Arial" w:cs="Arial" w:hAnsi="Arial"/>
          <w:sz w:val="22"/>
        </w:rPr>
        <w:t>按钮（一键触发圆桌状态流转）。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视觉与交互适配（贴合技术方案核心难点解决方案）</w:t>
      </w:r>
      <w:bookmarkEnd w:id="1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对话流采用</w:t>
      </w:r>
      <w:r>
        <w:rPr>
          <w:rFonts w:eastAsia="等线" w:ascii="Arial" w:cs="Arial" w:hAnsi="Arial"/>
          <w:b w:val="true"/>
          <w:sz w:val="22"/>
        </w:rPr>
        <w:t>SSE分块流式渲染</w:t>
      </w:r>
      <w:r>
        <w:rPr>
          <w:rFonts w:eastAsia="等线" w:ascii="Arial" w:cs="Arial" w:hAnsi="Arial"/>
          <w:sz w:val="22"/>
        </w:rPr>
        <w:t>，每10个字符推送一次，前端逐字展示，模拟真实对话节奏，发言完成后显示思考链按钮；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SSE连接异常时，前端</w:t>
      </w:r>
      <w:r>
        <w:rPr>
          <w:rFonts w:eastAsia="等线" w:ascii="Arial" w:cs="Arial" w:hAnsi="Arial"/>
          <w:b w:val="true"/>
          <w:sz w:val="22"/>
        </w:rPr>
        <w:t>自动静默重连</w:t>
      </w:r>
      <w:r>
        <w:rPr>
          <w:rFonts w:eastAsia="等线" w:ascii="Arial" w:cs="Arial" w:hAnsi="Arial"/>
          <w:sz w:val="22"/>
        </w:rPr>
        <w:t>（最多3次），重连成功后同步未接收的对话内容，无弹窗提示，仅在状态栏显示轻量异常标识；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共识画布采用</w:t>
      </w:r>
      <w:r>
        <w:rPr>
          <w:rFonts w:eastAsia="等线" w:ascii="Arial" w:cs="Arial" w:hAnsi="Arial"/>
          <w:b w:val="true"/>
          <w:sz w:val="22"/>
        </w:rPr>
        <w:t>增量更新渲染</w:t>
      </w:r>
      <w:r>
        <w:rPr>
          <w:rFonts w:eastAsia="等线" w:ascii="Arial" w:cs="Arial" w:hAnsi="Arial"/>
          <w:sz w:val="22"/>
        </w:rPr>
        <w:t>，仅刷新变化的共识/争议点，新增内容做1秒淡入闪烁提示，保障用户感知；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统御罗盘所有参数调节</w:t>
      </w:r>
      <w:r>
        <w:rPr>
          <w:rFonts w:eastAsia="等线" w:ascii="Arial" w:cs="Arial" w:hAnsi="Arial"/>
          <w:b w:val="true"/>
          <w:sz w:val="22"/>
        </w:rPr>
        <w:t>实时生效</w:t>
      </w:r>
      <w:r>
        <w:rPr>
          <w:rFonts w:eastAsia="等线" w:ascii="Arial" w:cs="Arial" w:hAnsi="Arial"/>
          <w:sz w:val="22"/>
        </w:rPr>
        <w:t>，调节后立即通过WebSocket推送至后端，前端显示“参数已更新”轻量提示（3秒自动消失），无二次确认；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对话流自动滚动至最新发言，支持手动点击</w:t>
      </w:r>
      <w:r>
        <w:rPr>
          <w:rFonts w:eastAsia="等线" w:ascii="Arial" w:cs="Arial" w:hAnsi="Arial"/>
          <w:b w:val="true"/>
          <w:sz w:val="22"/>
        </w:rPr>
        <w:t>暂停滚动</w:t>
      </w:r>
      <w:r>
        <w:rPr>
          <w:rFonts w:eastAsia="等线" w:ascii="Arial" w:cs="Arial" w:hAnsi="Arial"/>
          <w:sz w:val="22"/>
        </w:rPr>
        <w:t>，适配用户回溯查看历史对话的需求；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思考链采用</w:t>
      </w:r>
      <w:r>
        <w:rPr>
          <w:rFonts w:eastAsia="等线" w:ascii="Arial" w:cs="Arial" w:hAnsi="Arial"/>
          <w:b w:val="true"/>
          <w:sz w:val="22"/>
        </w:rPr>
        <w:t>抽屉式展示</w:t>
      </w:r>
      <w:r>
        <w:rPr>
          <w:rFonts w:eastAsia="等线" w:ascii="Arial" w:cs="Arial" w:hAnsi="Arial"/>
          <w:sz w:val="22"/>
        </w:rPr>
        <w:t>，不遮挡核心对话流与共识画布，关闭抽屉后返回原对话位置。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2.4 多智能体调度引擎模块（嵌入圆桌空间，无独立页面）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对应PRD多维激荡引擎、技术方案核心调度模块，无独立前端页面，所有功能</w:t>
      </w:r>
      <w:r>
        <w:rPr>
          <w:rFonts w:eastAsia="等线" w:ascii="Arial" w:cs="Arial" w:hAnsi="Arial"/>
          <w:b w:val="true"/>
          <w:sz w:val="22"/>
        </w:rPr>
        <w:t>嵌入式呈现</w:t>
      </w:r>
      <w:r>
        <w:rPr>
          <w:rFonts w:eastAsia="等线" w:ascii="Arial" w:cs="Arial" w:hAnsi="Arial"/>
          <w:sz w:val="22"/>
        </w:rPr>
        <w:t>在圆桌空间对答模块中，通过</w:t>
      </w:r>
      <w:r>
        <w:rPr>
          <w:rFonts w:eastAsia="等线" w:ascii="Arial" w:cs="Arial" w:hAnsi="Arial"/>
          <w:b w:val="true"/>
          <w:sz w:val="22"/>
        </w:rPr>
        <w:t>状态可视化、参数可调节</w:t>
      </w:r>
      <w:r>
        <w:rPr>
          <w:rFonts w:eastAsia="等线" w:ascii="Arial" w:cs="Arial" w:hAnsi="Arial"/>
          <w:sz w:val="22"/>
        </w:rPr>
        <w:t>实现调度逻辑的透明化，贴合产品“完全透明化”的设计原则。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布局与视觉呈现</w:t>
      </w:r>
      <w:bookmarkEnd w:id="18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角色状态与竞价得分可视化</w:t>
      </w:r>
      <w:r>
        <w:rPr>
          <w:rFonts w:eastAsia="等线" w:ascii="Arial" w:cs="Arial" w:hAnsi="Arial"/>
          <w:sz w:val="22"/>
        </w:rPr>
        <w:t>：嵌入圆桌空间右侧角色状态列表（hover展开），每个角色显示</w:t>
      </w:r>
      <w:r>
        <w:rPr>
          <w:rFonts w:eastAsia="等线" w:ascii="Arial" w:cs="Arial" w:hAnsi="Arial"/>
          <w:b w:val="true"/>
          <w:sz w:val="22"/>
        </w:rPr>
        <w:t>实时竞价得分</w:t>
      </w:r>
      <w:r>
        <w:rPr>
          <w:rFonts w:eastAsia="等线" w:ascii="Arial" w:cs="Arial" w:hAnsi="Arial"/>
          <w:sz w:val="22"/>
        </w:rPr>
        <w:t>（0-100）+ 得分构成（相关性/发散性/疲劳度惩罚/重复观点惩罚，百分比展示），让用户直观了解调度逻辑；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竞价阈值可视化</w:t>
      </w:r>
      <w:r>
        <w:rPr>
          <w:rFonts w:eastAsia="等线" w:ascii="Arial" w:cs="Arial" w:hAnsi="Arial"/>
          <w:sz w:val="22"/>
        </w:rPr>
        <w:t>：集成在统御罗盘展开态，通过滑块调节+数值显示，实现动态阈值的手动干预，贴合技术方案阈值调整逻辑；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抢麦与冷场提示</w:t>
      </w:r>
      <w:r>
        <w:rPr>
          <w:rFonts w:eastAsia="等线" w:ascii="Arial" w:cs="Arial" w:hAnsi="Arial"/>
          <w:sz w:val="22"/>
        </w:rPr>
        <w:t>：在圆桌空间对话流顶部做</w:t>
      </w:r>
      <w:r>
        <w:rPr>
          <w:rFonts w:eastAsia="等线" w:ascii="Arial" w:cs="Arial" w:hAnsi="Arial"/>
          <w:b w:val="true"/>
          <w:sz w:val="22"/>
        </w:rPr>
        <w:t>轻量悬浮提示</w:t>
      </w:r>
      <w:r>
        <w:rPr>
          <w:rFonts w:eastAsia="等线" w:ascii="Arial" w:cs="Arial" w:hAnsi="Arial"/>
          <w:sz w:val="22"/>
        </w:rPr>
        <w:t>（3秒自动消失），角色抢麦成功显示“[角色名称] 参与讨论，正在发言”，冷场时显示“当前讨论活跃度低，可调节统御罗盘提升角色参与度”，同时后端自动微调阈值，前端滑块同步更新。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交互适配</w:t>
      </w:r>
      <w:bookmarkEnd w:id="1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所有调度参数与状态</w:t>
      </w:r>
      <w:r>
        <w:rPr>
          <w:rFonts w:eastAsia="等线" w:ascii="Arial" w:cs="Arial" w:hAnsi="Arial"/>
          <w:b w:val="true"/>
          <w:sz w:val="22"/>
        </w:rPr>
        <w:t>实时同步</w:t>
      </w:r>
      <w:r>
        <w:rPr>
          <w:rFonts w:eastAsia="等线" w:ascii="Arial" w:cs="Arial" w:hAnsi="Arial"/>
          <w:sz w:val="22"/>
        </w:rPr>
        <w:t>，后端得分计算、阈值调整后，前端立即渲染，无延迟；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跑题检测触发后，前端在共识画布显示</w:t>
      </w:r>
      <w:r>
        <w:rPr>
          <w:rFonts w:eastAsia="等线" w:ascii="Arial" w:cs="Arial" w:hAnsi="Arial"/>
          <w:b w:val="true"/>
          <w:sz w:val="22"/>
        </w:rPr>
        <w:t>偏离目标</w:t>
      </w:r>
      <w:r>
        <w:rPr>
          <w:rFonts w:eastAsia="等线" w:ascii="Arial" w:cs="Arial" w:hAnsi="Arial"/>
          <w:sz w:val="22"/>
        </w:rPr>
        <w:t>提示的同时，对相关角色的竞价得分做实时扣减，角色状态列表中显示</w:t>
      </w:r>
      <w:r>
        <w:rPr>
          <w:rFonts w:eastAsia="等线" w:ascii="Arial" w:cs="Arial" w:hAnsi="Arial"/>
          <w:b w:val="true"/>
          <w:sz w:val="22"/>
        </w:rPr>
        <w:t>跑题扣减</w:t>
      </w:r>
      <w:r>
        <w:rPr>
          <w:rFonts w:eastAsia="等线" w:ascii="Arial" w:cs="Arial" w:hAnsi="Arial"/>
          <w:sz w:val="22"/>
        </w:rPr>
        <w:t>标识，贴合技术方案跑题检测逻辑。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 灵魂矩阵管理后台模块（对应PRD Prompt PaaS，技术方案Prompt PaaS平台）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面向运营人员的核心管理模块，实现提示词、角色配置、版本管理、日志追踪的可视化操作，贴合技术方案中热更新、版本回滚、灰度发布的技术要求，采用</w:t>
      </w:r>
      <w:r>
        <w:rPr>
          <w:rFonts w:eastAsia="等线" w:ascii="Arial" w:cs="Arial" w:hAnsi="Arial"/>
          <w:b w:val="true"/>
          <w:sz w:val="22"/>
        </w:rPr>
        <w:t>管理类标准布局</w:t>
      </w:r>
      <w:r>
        <w:rPr>
          <w:rFonts w:eastAsia="等线" w:ascii="Arial" w:cs="Arial" w:hAnsi="Arial"/>
          <w:sz w:val="22"/>
        </w:rPr>
        <w:t>，适配运营人员的高效操作需求，保留技术方案中IDE式编辑、全链路日志的核心设计。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布局结构（深色模式，100%视口占比，左侧导航永久固定）</w:t>
      </w:r>
      <w:bookmarkEnd w:id="2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左侧固定导航栏（宽度200px）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顶部：产品logo+“灵魂矩阵管理后台”标题；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核心导航项：提示词管理、角色管理、版本管理、日志追踪、模型管理（按技术方案要求保留），导航项按操作频率排序，选中项高亮（主色#165DFF），hover显示模块简要描述。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顶部筛选/标签栏（高度60px，固定，随导航项切换变化）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提示词管理：SOUL提示词、STYLE提示词、全局规则（三个标签页），搭配搜索框+状态筛选（启用/禁用）；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角色管理：搜索框+类型筛选（建设性/对抗性/中立）+ 批量操作按钮（启用/禁用）；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版本管理：搜索框+模块筛选（提示词/角色）+ 发布状态筛选（灰度/全量/已回滚）；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日志追踪：操作日志、系统运行日志（两个标签页），搭配时间筛选+操作人筛选+导出按钮；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模型管理：搜索框+模型类型筛选+状态筛选（启用/禁用）。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右侧核心内容区（剩余宽度，垂直滚动）</w:t>
      </w:r>
      <w:r>
        <w:rPr>
          <w:rFonts w:eastAsia="等线" w:ascii="Arial" w:cs="Arial" w:hAnsi="Arial"/>
          <w:sz w:val="22"/>
        </w:rPr>
        <w:t>：按导航项切换展示对应内容，核心模块布局如下：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提示词管理</w:t>
      </w:r>
      <w:r>
        <w:rPr>
          <w:rFonts w:eastAsia="等线" w:ascii="Arial" w:cs="Arial" w:hAnsi="Arial"/>
          <w:sz w:val="22"/>
        </w:rPr>
        <w:t>：上半区IDE式编辑区（代码高亮，适配.md格式，支持自动保存草稿、导入/导出.md文件、语法提示），下半区提示词列表（分页展示，包含ID、名称、版本、状态、更新时间，支持行内操作），右侧固定</w:t>
      </w:r>
      <w:r>
        <w:rPr>
          <w:rFonts w:eastAsia="等线" w:ascii="Arial" w:cs="Arial" w:hAnsi="Arial"/>
          <w:b w:val="true"/>
          <w:sz w:val="22"/>
        </w:rPr>
        <w:t>保存并热更新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>预览</w:t>
      </w:r>
      <w:r>
        <w:rPr>
          <w:rFonts w:eastAsia="等线" w:ascii="Arial" w:cs="Arial" w:hAnsi="Arial"/>
          <w:sz w:val="22"/>
        </w:rPr>
        <w:t>按钮；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角色管理</w:t>
      </w:r>
      <w:r>
        <w:rPr>
          <w:rFonts w:eastAsia="等线" w:ascii="Arial" w:cs="Arial" w:hAnsi="Arial"/>
          <w:sz w:val="22"/>
        </w:rPr>
        <w:t>：角色列表（分页展示，包含名称、类型、关联SOUL/STYLE提示词ID、状态），列表操作列包含</w:t>
      </w:r>
      <w:r>
        <w:rPr>
          <w:rFonts w:eastAsia="等线" w:ascii="Arial" w:cs="Arial" w:hAnsi="Arial"/>
          <w:b w:val="true"/>
          <w:sz w:val="22"/>
        </w:rPr>
        <w:t>编辑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b w:val="true"/>
          <w:sz w:val="22"/>
        </w:rPr>
        <w:t>查看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b w:val="true"/>
          <w:sz w:val="22"/>
        </w:rPr>
        <w:t>复制</w:t>
      </w:r>
      <w:r>
        <w:rPr>
          <w:rFonts w:eastAsia="等线" w:ascii="Arial" w:cs="Arial" w:hAnsi="Arial"/>
          <w:sz w:val="22"/>
        </w:rPr>
        <w:t>按钮，点击编辑弹出抽屉式表单（配置角色标签、核心能力、立场，关联提示词）；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>：版本记录列表（包含版本号、更新内容、更新时间、负责人、发布状态），操作列包含</w:t>
      </w:r>
      <w:r>
        <w:rPr>
          <w:rFonts w:eastAsia="等线" w:ascii="Arial" w:cs="Arial" w:hAnsi="Arial"/>
          <w:b w:val="true"/>
          <w:sz w:val="22"/>
        </w:rPr>
        <w:t>版本对比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b w:val="true"/>
          <w:sz w:val="22"/>
        </w:rPr>
        <w:t>回滚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按钮，版本对比采用左右分栏式，显示修改差异；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日志追踪</w:t>
      </w:r>
      <w:r>
        <w:rPr>
          <w:rFonts w:eastAsia="等线" w:ascii="Arial" w:cs="Arial" w:hAnsi="Arial"/>
          <w:sz w:val="22"/>
        </w:rPr>
        <w:t>：日志列表（分页展示，包含操作时间、操作人、操作类型、操作内容、执行结果），点击日志条目弹出抽屉式详情，显示完整操作记录/系统运行日志；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模型管理</w:t>
      </w:r>
      <w:r>
        <w:rPr>
          <w:rFonts w:eastAsia="等线" w:ascii="Arial" w:cs="Arial" w:hAnsi="Arial"/>
          <w:sz w:val="22"/>
        </w:rPr>
        <w:t>：模型列表（分页展示，包含模型名称、类型、配置参数、调用地址、状态），支持行内编辑配置参数、启用/禁用模型。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视觉与交互适配（贴合技术方案后台管理要求）</w:t>
      </w:r>
      <w:bookmarkEnd w:id="22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IDE式编辑区支持</w:t>
      </w:r>
      <w:r>
        <w:rPr>
          <w:rFonts w:eastAsia="等线" w:ascii="Arial" w:cs="Arial" w:hAnsi="Arial"/>
          <w:b w:val="true"/>
          <w:sz w:val="22"/>
        </w:rPr>
        <w:t>代码高亮、行号、缩进</w:t>
      </w:r>
      <w:r>
        <w:rPr>
          <w:rFonts w:eastAsia="等线" w:ascii="Arial" w:cs="Arial" w:hAnsi="Arial"/>
          <w:sz w:val="22"/>
        </w:rPr>
        <w:t>，贴合.md格式的编辑需求，自动保存草稿（每30秒一次），编辑区显示草稿保存提示；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热更新</w:t>
      </w:r>
      <w:r>
        <w:rPr>
          <w:rFonts w:eastAsia="等线" w:ascii="Arial" w:cs="Arial" w:hAnsi="Arial"/>
          <w:sz w:val="22"/>
        </w:rPr>
        <w:t>操作一键生效，点击后前端显示“热更新成功，立即生效”轻量提示，无需重启服务，贴合技术方案热更新要求；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灰度发布</w:t>
      </w:r>
      <w:r>
        <w:rPr>
          <w:rFonts w:eastAsia="等线" w:ascii="Arial" w:cs="Arial" w:hAnsi="Arial"/>
          <w:sz w:val="22"/>
        </w:rPr>
        <w:t>采用弹窗式配置，支持选择测试圆桌房间ID、设置发布比例，发布过程中实时显示测试进度，测试通过后支持一键全量发布；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版本对比</w:t>
      </w: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差异高亮</w:t>
      </w:r>
      <w:r>
        <w:rPr>
          <w:rFonts w:eastAsia="等线" w:ascii="Arial" w:cs="Arial" w:hAnsi="Arial"/>
          <w:sz w:val="22"/>
        </w:rPr>
        <w:t>（新增绿色、删除红色、修改黄色），让运营人员直观查看版本变化；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所有列表支持</w:t>
      </w:r>
      <w:r>
        <w:rPr>
          <w:rFonts w:eastAsia="等线" w:ascii="Arial" w:cs="Arial" w:hAnsi="Arial"/>
          <w:b w:val="true"/>
          <w:sz w:val="22"/>
        </w:rPr>
        <w:t>分页/筛选/搜索/批量操作</w:t>
      </w:r>
      <w:r>
        <w:rPr>
          <w:rFonts w:eastAsia="等线" w:ascii="Arial" w:cs="Arial" w:hAnsi="Arial"/>
          <w:sz w:val="22"/>
        </w:rPr>
        <w:t>，适配大量数据的管理需求，日志追踪支持</w:t>
      </w:r>
      <w:r>
        <w:rPr>
          <w:rFonts w:eastAsia="等线" w:ascii="Arial" w:cs="Arial" w:hAnsi="Arial"/>
          <w:b w:val="true"/>
          <w:sz w:val="22"/>
        </w:rPr>
        <w:t>Excel导出</w:t>
      </w:r>
      <w:r>
        <w:rPr>
          <w:rFonts w:eastAsia="等线" w:ascii="Arial" w:cs="Arial" w:hAnsi="Arial"/>
          <w:sz w:val="22"/>
        </w:rPr>
        <w:t>，贴合运营数据统计需求；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权限控制可视化：页面顶部显示当前登录人+角色（管理员/运营人员），无权限的操作按钮自动隐藏，无需弹窗提示。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三、全局交互与视觉统一规范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3.1 交互统一规则</w:t>
      </w:r>
      <w:bookmarkEnd w:id="24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所有核心操作</w:t>
      </w:r>
      <w:r>
        <w:rPr>
          <w:rFonts w:eastAsia="等线" w:ascii="Arial" w:cs="Arial" w:hAnsi="Arial"/>
          <w:b w:val="true"/>
          <w:sz w:val="22"/>
        </w:rPr>
        <w:t>一键生效</w:t>
      </w:r>
      <w:r>
        <w:rPr>
          <w:rFonts w:eastAsia="等线" w:ascii="Arial" w:cs="Arial" w:hAnsi="Arial"/>
          <w:sz w:val="22"/>
        </w:rPr>
        <w:t>，无二次确认弹窗，仅通过轻量文字提示反馈操作结果；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实时更新的模块（需求卡片、共识画布、角色状态）均采用</w:t>
      </w:r>
      <w:r>
        <w:rPr>
          <w:rFonts w:eastAsia="等线" w:ascii="Arial" w:cs="Arial" w:hAnsi="Arial"/>
          <w:b w:val="true"/>
          <w:sz w:val="22"/>
        </w:rPr>
        <w:t>增量渲染</w:t>
      </w:r>
      <w:r>
        <w:rPr>
          <w:rFonts w:eastAsia="等线" w:ascii="Arial" w:cs="Arial" w:hAnsi="Arial"/>
          <w:sz w:val="22"/>
        </w:rPr>
        <w:t>，避免整页重渲染；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弹窗/抽屉均为</w:t>
      </w:r>
      <w:r>
        <w:rPr>
          <w:rFonts w:eastAsia="等线" w:ascii="Arial" w:cs="Arial" w:hAnsi="Arial"/>
          <w:b w:val="true"/>
          <w:sz w:val="22"/>
        </w:rPr>
        <w:t>轻量式</w:t>
      </w:r>
      <w:r>
        <w:rPr>
          <w:rFonts w:eastAsia="等线" w:ascii="Arial" w:cs="Arial" w:hAnsi="Arial"/>
          <w:sz w:val="22"/>
        </w:rPr>
        <w:t>，不遮挡核心工作区，关闭后返回原操作位置，无页面跳转；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流式渲染内容（角色发言）均采用</w:t>
      </w:r>
      <w:r>
        <w:rPr>
          <w:rFonts w:eastAsia="等线" w:ascii="Arial" w:cs="Arial" w:hAnsi="Arial"/>
          <w:b w:val="true"/>
          <w:sz w:val="22"/>
        </w:rPr>
        <w:t>逐字展示</w:t>
      </w:r>
      <w:r>
        <w:rPr>
          <w:rFonts w:eastAsia="等线" w:ascii="Arial" w:cs="Arial" w:hAnsi="Arial"/>
          <w:sz w:val="22"/>
        </w:rPr>
        <w:t>，搭配轻量思考动画，无全屏加载；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所有可复制内容（房间ID、对话内容、日志）均设置</w:t>
      </w:r>
      <w:r>
        <w:rPr>
          <w:rFonts w:eastAsia="等线" w:ascii="Arial" w:cs="Arial" w:hAnsi="Arial"/>
          <w:b w:val="true"/>
          <w:sz w:val="22"/>
        </w:rPr>
        <w:t>一键复制</w:t>
      </w:r>
      <w:r>
        <w:rPr>
          <w:rFonts w:eastAsia="等线" w:ascii="Arial" w:cs="Arial" w:hAnsi="Arial"/>
          <w:sz w:val="22"/>
        </w:rPr>
        <w:t>按钮，复制成功显示轻量提示。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 视觉统一规则</w:t>
      </w:r>
      <w:bookmarkEnd w:id="25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所有模块的</w:t>
      </w:r>
      <w:r>
        <w:rPr>
          <w:rFonts w:eastAsia="等线" w:ascii="Arial" w:cs="Arial" w:hAnsi="Arial"/>
          <w:b w:val="true"/>
          <w:sz w:val="22"/>
        </w:rPr>
        <w:t>标题层级、字体大小、颜色</w:t>
      </w:r>
      <w:r>
        <w:rPr>
          <w:rFonts w:eastAsia="等线" w:ascii="Arial" w:cs="Arial" w:hAnsi="Arial"/>
          <w:sz w:val="22"/>
        </w:rPr>
        <w:t>统一，一级标题18px（粗体），二级标题16px（粗体），正文14px（常规），提示文字12px（浅灰）；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卡片、气泡、抽屉等容器的</w:t>
      </w:r>
      <w:r>
        <w:rPr>
          <w:rFonts w:eastAsia="等线" w:ascii="Arial" w:cs="Arial" w:hAnsi="Arial"/>
          <w:b w:val="true"/>
          <w:sz w:val="22"/>
        </w:rPr>
        <w:t>圆角、阴影</w:t>
      </w:r>
      <w:r>
        <w:rPr>
          <w:rFonts w:eastAsia="等线" w:ascii="Arial" w:cs="Arial" w:hAnsi="Arial"/>
          <w:sz w:val="22"/>
        </w:rPr>
        <w:t>统一，圆角8px，阴影采用低饱和度内阴影，贴合深色模式专业感；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所有按钮的</w:t>
      </w:r>
      <w:r>
        <w:rPr>
          <w:rFonts w:eastAsia="等线" w:ascii="Arial" w:cs="Arial" w:hAnsi="Arial"/>
          <w:b w:val="true"/>
          <w:sz w:val="22"/>
        </w:rPr>
        <w:t>尺寸、配色、hover效果</w:t>
      </w:r>
      <w:r>
        <w:rPr>
          <w:rFonts w:eastAsia="等线" w:ascii="Arial" w:cs="Arial" w:hAnsi="Arial"/>
          <w:sz w:val="22"/>
        </w:rPr>
        <w:t>统一，主操作按钮（确认/启动/保存）为深蓝主色，次要操作按钮（查看/编辑/刷新）为浅灰，hover时亮度提升10%；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状态提示的</w:t>
      </w:r>
      <w:r>
        <w:rPr>
          <w:rFonts w:eastAsia="等线" w:ascii="Arial" w:cs="Arial" w:hAnsi="Arial"/>
          <w:b w:val="true"/>
          <w:sz w:val="22"/>
        </w:rPr>
        <w:t>颜色、图标</w:t>
      </w:r>
      <w:r>
        <w:rPr>
          <w:rFonts w:eastAsia="等线" w:ascii="Arial" w:cs="Arial" w:hAnsi="Arial"/>
          <w:sz w:val="22"/>
        </w:rPr>
        <w:t>统一，成功（绿+对勾）、异常（酒红+感叹号）、加载（浅灰+微动画）、完成（深蓝+对勾）。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 响应式适配规则</w:t>
      </w:r>
      <w:bookmarkEnd w:id="26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桌面端（≥1200px）：采用上述完整布局，三栏/双栏满屏展示；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平板端（768px-1199px）：圆桌空间共识画布改为抽屉式（hover/点击展开），角色卡片列表改为每行2张，管理后台左侧导航改为折叠式（点击展开）；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移动端（&lt;768px）：隐藏非核心控件，圆桌空间采用单栏布局（对话流为主，共识画布/统御罗盘为抽屉式），管理后台仅支持核心操作（查看/启用/禁用），编辑操作仅开放桌面端。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2352">
    <w:lvl>
      <w:numFmt w:val="bullet"/>
      <w:suff w:val="tab"/>
      <w:lvlText w:val="•"/>
      <w:rPr>
        <w:color w:val="3370ff"/>
      </w:rPr>
    </w:lvl>
  </w:abstractNum>
  <w:abstractNum w:abstractNumId="2422353">
    <w:lvl>
      <w:numFmt w:val="bullet"/>
      <w:suff w:val="tab"/>
      <w:lvlText w:val="•"/>
      <w:rPr>
        <w:color w:val="3370ff"/>
      </w:rPr>
    </w:lvl>
  </w:abstractNum>
  <w:abstractNum w:abstractNumId="2422354">
    <w:lvl>
      <w:numFmt w:val="bullet"/>
      <w:suff w:val="tab"/>
      <w:lvlText w:val="￮"/>
      <w:rPr>
        <w:color w:val="3370ff"/>
      </w:rPr>
    </w:lvl>
  </w:abstractNum>
  <w:abstractNum w:abstractNumId="2422355">
    <w:lvl>
      <w:numFmt w:val="bullet"/>
      <w:suff w:val="tab"/>
      <w:lvlText w:val="￮"/>
      <w:rPr>
        <w:color w:val="3370ff"/>
      </w:rPr>
    </w:lvl>
  </w:abstractNum>
  <w:abstractNum w:abstractNumId="2422356">
    <w:lvl>
      <w:numFmt w:val="bullet"/>
      <w:suff w:val="tab"/>
      <w:lvlText w:val="￮"/>
      <w:rPr>
        <w:color w:val="3370ff"/>
      </w:rPr>
    </w:lvl>
  </w:abstractNum>
  <w:abstractNum w:abstractNumId="2422357">
    <w:lvl>
      <w:numFmt w:val="bullet"/>
      <w:suff w:val="tab"/>
      <w:lvlText w:val="￮"/>
      <w:rPr>
        <w:color w:val="3370ff"/>
      </w:rPr>
    </w:lvl>
  </w:abstractNum>
  <w:abstractNum w:abstractNumId="2422358">
    <w:lvl>
      <w:numFmt w:val="bullet"/>
      <w:suff w:val="tab"/>
      <w:lvlText w:val="•"/>
      <w:rPr>
        <w:color w:val="3370ff"/>
      </w:rPr>
    </w:lvl>
  </w:abstractNum>
  <w:abstractNum w:abstractNumId="2422359">
    <w:lvl>
      <w:numFmt w:val="bullet"/>
      <w:suff w:val="tab"/>
      <w:lvlText w:val="•"/>
      <w:rPr>
        <w:color w:val="3370ff"/>
      </w:rPr>
    </w:lvl>
  </w:abstractNum>
  <w:abstractNum w:abstractNumId="2422360">
    <w:lvl>
      <w:numFmt w:val="bullet"/>
      <w:suff w:val="tab"/>
      <w:lvlText w:val="￮"/>
      <w:rPr>
        <w:color w:val="3370ff"/>
      </w:rPr>
    </w:lvl>
  </w:abstractNum>
  <w:abstractNum w:abstractNumId="2422361">
    <w:lvl>
      <w:numFmt w:val="bullet"/>
      <w:suff w:val="tab"/>
      <w:lvlText w:val="￮"/>
      <w:rPr>
        <w:color w:val="3370ff"/>
      </w:rPr>
    </w:lvl>
  </w:abstractNum>
  <w:abstractNum w:abstractNumId="2422362">
    <w:lvl>
      <w:numFmt w:val="bullet"/>
      <w:suff w:val="tab"/>
      <w:lvlText w:val="￮"/>
      <w:rPr>
        <w:color w:val="3370ff"/>
      </w:rPr>
    </w:lvl>
  </w:abstractNum>
  <w:abstractNum w:abstractNumId="2422363">
    <w:lvl>
      <w:numFmt w:val="bullet"/>
      <w:suff w:val="tab"/>
      <w:lvlText w:val="•"/>
      <w:rPr>
        <w:color w:val="3370ff"/>
      </w:rPr>
    </w:lvl>
  </w:abstractNum>
  <w:abstractNum w:abstractNumId="2422364">
    <w:lvl>
      <w:numFmt w:val="bullet"/>
      <w:suff w:val="tab"/>
      <w:lvlText w:val="￮"/>
      <w:rPr>
        <w:color w:val="3370ff"/>
      </w:rPr>
    </w:lvl>
  </w:abstractNum>
  <w:abstractNum w:abstractNumId="2422365">
    <w:lvl>
      <w:numFmt w:val="bullet"/>
      <w:suff w:val="tab"/>
      <w:lvlText w:val="￮"/>
      <w:rPr>
        <w:color w:val="3370ff"/>
      </w:rPr>
    </w:lvl>
  </w:abstractNum>
  <w:abstractNum w:abstractNumId="2422366">
    <w:lvl>
      <w:numFmt w:val="bullet"/>
      <w:suff w:val="tab"/>
      <w:lvlText w:val="￮"/>
      <w:rPr>
        <w:color w:val="3370ff"/>
      </w:rPr>
    </w:lvl>
  </w:abstractNum>
  <w:abstractNum w:abstractNumId="2422367">
    <w:lvl>
      <w:numFmt w:val="bullet"/>
      <w:suff w:val="tab"/>
      <w:lvlText w:val="•"/>
      <w:rPr>
        <w:color w:val="3370ff"/>
      </w:rPr>
    </w:lvl>
  </w:abstractNum>
  <w:abstractNum w:abstractNumId="2422368">
    <w:lvl>
      <w:numFmt w:val="bullet"/>
      <w:suff w:val="tab"/>
      <w:lvlText w:val="￮"/>
      <w:rPr>
        <w:color w:val="3370ff"/>
      </w:rPr>
    </w:lvl>
  </w:abstractNum>
  <w:abstractNum w:abstractNumId="2422369">
    <w:lvl>
      <w:numFmt w:val="bullet"/>
      <w:suff w:val="tab"/>
      <w:lvlText w:val="￮"/>
      <w:rPr>
        <w:color w:val="3370ff"/>
      </w:rPr>
    </w:lvl>
  </w:abstractNum>
  <w:abstractNum w:abstractNumId="2422370">
    <w:lvl>
      <w:numFmt w:val="bullet"/>
      <w:suff w:val="tab"/>
      <w:lvlText w:val="￮"/>
      <w:rPr>
        <w:color w:val="3370ff"/>
      </w:rPr>
    </w:lvl>
  </w:abstractNum>
  <w:abstractNum w:abstractNumId="2422371">
    <w:lvl>
      <w:numFmt w:val="bullet"/>
      <w:suff w:val="tab"/>
      <w:lvlText w:val="•"/>
      <w:rPr>
        <w:color w:val="3370ff"/>
      </w:rPr>
    </w:lvl>
  </w:abstractNum>
  <w:abstractNum w:abstractNumId="2422372">
    <w:lvl>
      <w:numFmt w:val="bullet"/>
      <w:suff w:val="tab"/>
      <w:lvlText w:val="￮"/>
      <w:rPr>
        <w:color w:val="3370ff"/>
      </w:rPr>
    </w:lvl>
  </w:abstractNum>
  <w:abstractNum w:abstractNumId="2422373">
    <w:lvl>
      <w:numFmt w:val="bullet"/>
      <w:suff w:val="tab"/>
      <w:lvlText w:val="￮"/>
      <w:rPr>
        <w:color w:val="3370ff"/>
      </w:rPr>
    </w:lvl>
  </w:abstractNum>
  <w:abstractNum w:abstractNumId="2422374">
    <w:lvl>
      <w:numFmt w:val="bullet"/>
      <w:suff w:val="tab"/>
      <w:lvlText w:val="•"/>
      <w:rPr>
        <w:color w:val="3370ff"/>
      </w:rPr>
    </w:lvl>
  </w:abstractNum>
  <w:abstractNum w:abstractNumId="2422375">
    <w:lvl>
      <w:numFmt w:val="bullet"/>
      <w:suff w:val="tab"/>
      <w:lvlText w:val="•"/>
      <w:rPr>
        <w:color w:val="3370ff"/>
      </w:rPr>
    </w:lvl>
  </w:abstractNum>
  <w:abstractNum w:abstractNumId="2422376">
    <w:lvl>
      <w:numFmt w:val="bullet"/>
      <w:suff w:val="tab"/>
      <w:lvlText w:val="•"/>
      <w:rPr>
        <w:color w:val="3370ff"/>
      </w:rPr>
    </w:lvl>
  </w:abstractNum>
  <w:abstractNum w:abstractNumId="2422377">
    <w:lvl>
      <w:numFmt w:val="bullet"/>
      <w:suff w:val="tab"/>
      <w:lvlText w:val="•"/>
      <w:rPr>
        <w:color w:val="3370ff"/>
      </w:rPr>
    </w:lvl>
  </w:abstractNum>
  <w:abstractNum w:abstractNumId="2422378">
    <w:lvl>
      <w:numFmt w:val="bullet"/>
      <w:suff w:val="tab"/>
      <w:lvlText w:val="•"/>
      <w:rPr>
        <w:color w:val="3370ff"/>
      </w:rPr>
    </w:lvl>
  </w:abstractNum>
  <w:abstractNum w:abstractNumId="2422379">
    <w:lvl>
      <w:numFmt w:val="bullet"/>
      <w:suff w:val="tab"/>
      <w:lvlText w:val="￮"/>
      <w:rPr>
        <w:color w:val="3370ff"/>
      </w:rPr>
    </w:lvl>
  </w:abstractNum>
  <w:abstractNum w:abstractNumId="2422380">
    <w:lvl>
      <w:numFmt w:val="bullet"/>
      <w:suff w:val="tab"/>
      <w:lvlText w:val="￮"/>
      <w:rPr>
        <w:color w:val="3370ff"/>
      </w:rPr>
    </w:lvl>
  </w:abstractNum>
  <w:abstractNum w:abstractNumId="2422381">
    <w:lvl>
      <w:numFmt w:val="bullet"/>
      <w:suff w:val="tab"/>
      <w:lvlText w:val="•"/>
      <w:rPr>
        <w:color w:val="3370ff"/>
      </w:rPr>
    </w:lvl>
  </w:abstractNum>
  <w:abstractNum w:abstractNumId="2422382">
    <w:lvl>
      <w:numFmt w:val="bullet"/>
      <w:suff w:val="tab"/>
      <w:lvlText w:val="￮"/>
      <w:rPr>
        <w:color w:val="3370ff"/>
      </w:rPr>
    </w:lvl>
  </w:abstractNum>
  <w:abstractNum w:abstractNumId="2422383">
    <w:lvl>
      <w:numFmt w:val="bullet"/>
      <w:suff w:val="tab"/>
      <w:lvlText w:val="￮"/>
      <w:rPr>
        <w:color w:val="3370ff"/>
      </w:rPr>
    </w:lvl>
  </w:abstractNum>
  <w:abstractNum w:abstractNumId="2422384">
    <w:lvl>
      <w:numFmt w:val="bullet"/>
      <w:suff w:val="tab"/>
      <w:lvlText w:val="▪"/>
      <w:rPr>
        <w:color w:val="3370ff"/>
        <w:sz w:val="11"/>
      </w:rPr>
    </w:lvl>
  </w:abstractNum>
  <w:abstractNum w:abstractNumId="2422385">
    <w:lvl>
      <w:numFmt w:val="bullet"/>
      <w:suff w:val="tab"/>
      <w:lvlText w:val="▪"/>
      <w:rPr>
        <w:color w:val="3370ff"/>
        <w:sz w:val="11"/>
      </w:rPr>
    </w:lvl>
  </w:abstractNum>
  <w:abstractNum w:abstractNumId="2422386">
    <w:lvl>
      <w:numFmt w:val="bullet"/>
      <w:suff w:val="tab"/>
      <w:lvlText w:val="▪"/>
      <w:rPr>
        <w:color w:val="3370ff"/>
        <w:sz w:val="11"/>
      </w:rPr>
    </w:lvl>
  </w:abstractNum>
  <w:abstractNum w:abstractNumId="2422387">
    <w:lvl>
      <w:numFmt w:val="bullet"/>
      <w:suff w:val="tab"/>
      <w:lvlText w:val="￮"/>
      <w:rPr>
        <w:color w:val="3370ff"/>
      </w:rPr>
    </w:lvl>
  </w:abstractNum>
  <w:abstractNum w:abstractNumId="2422388">
    <w:lvl>
      <w:numFmt w:val="bullet"/>
      <w:suff w:val="tab"/>
      <w:lvlText w:val="•"/>
      <w:rPr>
        <w:color w:val="3370ff"/>
      </w:rPr>
    </w:lvl>
  </w:abstractNum>
  <w:abstractNum w:abstractNumId="2422389">
    <w:lvl>
      <w:numFmt w:val="bullet"/>
      <w:suff w:val="tab"/>
      <w:lvlText w:val="￮"/>
      <w:rPr>
        <w:color w:val="3370ff"/>
      </w:rPr>
    </w:lvl>
  </w:abstractNum>
  <w:abstractNum w:abstractNumId="2422390">
    <w:lvl>
      <w:numFmt w:val="bullet"/>
      <w:suff w:val="tab"/>
      <w:lvlText w:val="￮"/>
      <w:rPr>
        <w:color w:val="3370ff"/>
      </w:rPr>
    </w:lvl>
  </w:abstractNum>
  <w:abstractNum w:abstractNumId="2422391">
    <w:lvl>
      <w:numFmt w:val="bullet"/>
      <w:suff w:val="tab"/>
      <w:lvlText w:val="•"/>
      <w:rPr>
        <w:color w:val="3370ff"/>
      </w:rPr>
    </w:lvl>
  </w:abstractNum>
  <w:abstractNum w:abstractNumId="2422392">
    <w:lvl>
      <w:numFmt w:val="bullet"/>
      <w:suff w:val="tab"/>
      <w:lvlText w:val="•"/>
      <w:rPr>
        <w:color w:val="3370ff"/>
      </w:rPr>
    </w:lvl>
  </w:abstractNum>
  <w:abstractNum w:abstractNumId="2422393">
    <w:lvl>
      <w:numFmt w:val="bullet"/>
      <w:suff w:val="tab"/>
      <w:lvlText w:val="•"/>
      <w:rPr>
        <w:color w:val="3370ff"/>
      </w:rPr>
    </w:lvl>
  </w:abstractNum>
  <w:abstractNum w:abstractNumId="2422394">
    <w:lvl>
      <w:numFmt w:val="bullet"/>
      <w:suff w:val="tab"/>
      <w:lvlText w:val="•"/>
      <w:rPr>
        <w:color w:val="3370ff"/>
      </w:rPr>
    </w:lvl>
  </w:abstractNum>
  <w:abstractNum w:abstractNumId="2422395">
    <w:lvl>
      <w:numFmt w:val="bullet"/>
      <w:suff w:val="tab"/>
      <w:lvlText w:val="•"/>
      <w:rPr>
        <w:color w:val="3370ff"/>
      </w:rPr>
    </w:lvl>
  </w:abstractNum>
  <w:abstractNum w:abstractNumId="2422396">
    <w:lvl>
      <w:numFmt w:val="bullet"/>
      <w:suff w:val="tab"/>
      <w:lvlText w:val="￮"/>
      <w:rPr>
        <w:color w:val="3370ff"/>
      </w:rPr>
    </w:lvl>
  </w:abstractNum>
  <w:abstractNum w:abstractNumId="2422397">
    <w:lvl>
      <w:numFmt w:val="bullet"/>
      <w:suff w:val="tab"/>
      <w:lvlText w:val="￮"/>
      <w:rPr>
        <w:color w:val="3370ff"/>
      </w:rPr>
    </w:lvl>
  </w:abstractNum>
  <w:abstractNum w:abstractNumId="2422398">
    <w:lvl>
      <w:numFmt w:val="bullet"/>
      <w:suff w:val="tab"/>
      <w:lvlText w:val="•"/>
      <w:rPr>
        <w:color w:val="3370ff"/>
      </w:rPr>
    </w:lvl>
  </w:abstractNum>
  <w:abstractNum w:abstractNumId="2422399">
    <w:lvl>
      <w:numFmt w:val="bullet"/>
      <w:suff w:val="tab"/>
      <w:lvlText w:val="￮"/>
      <w:rPr>
        <w:color w:val="3370ff"/>
      </w:rPr>
    </w:lvl>
  </w:abstractNum>
  <w:abstractNum w:abstractNumId="2422400">
    <w:lvl>
      <w:numFmt w:val="bullet"/>
      <w:suff w:val="tab"/>
      <w:lvlText w:val="￮"/>
      <w:rPr>
        <w:color w:val="3370ff"/>
      </w:rPr>
    </w:lvl>
  </w:abstractNum>
  <w:abstractNum w:abstractNumId="2422401">
    <w:lvl>
      <w:numFmt w:val="bullet"/>
      <w:suff w:val="tab"/>
      <w:lvlText w:val="￮"/>
      <w:rPr>
        <w:color w:val="3370ff"/>
      </w:rPr>
    </w:lvl>
  </w:abstractNum>
  <w:abstractNum w:abstractNumId="2422402">
    <w:lvl>
      <w:numFmt w:val="bullet"/>
      <w:suff w:val="tab"/>
      <w:lvlText w:val="•"/>
      <w:rPr>
        <w:color w:val="3370ff"/>
      </w:rPr>
    </w:lvl>
  </w:abstractNum>
  <w:abstractNum w:abstractNumId="2422403">
    <w:lvl>
      <w:numFmt w:val="bullet"/>
      <w:suff w:val="tab"/>
      <w:lvlText w:val="￮"/>
      <w:rPr>
        <w:color w:val="3370ff"/>
      </w:rPr>
    </w:lvl>
  </w:abstractNum>
  <w:abstractNum w:abstractNumId="2422404">
    <w:lvl>
      <w:numFmt w:val="bullet"/>
      <w:suff w:val="tab"/>
      <w:lvlText w:val="￮"/>
      <w:rPr>
        <w:color w:val="3370ff"/>
      </w:rPr>
    </w:lvl>
  </w:abstractNum>
  <w:abstractNum w:abstractNumId="2422405">
    <w:lvl>
      <w:numFmt w:val="bullet"/>
      <w:suff w:val="tab"/>
      <w:lvlText w:val="•"/>
      <w:rPr>
        <w:color w:val="3370ff"/>
      </w:rPr>
    </w:lvl>
  </w:abstractNum>
  <w:abstractNum w:abstractNumId="2422406">
    <w:lvl>
      <w:numFmt w:val="bullet"/>
      <w:suff w:val="tab"/>
      <w:lvlText w:val="￮"/>
      <w:rPr>
        <w:color w:val="3370ff"/>
      </w:rPr>
    </w:lvl>
  </w:abstractNum>
  <w:abstractNum w:abstractNumId="2422407">
    <w:lvl>
      <w:numFmt w:val="bullet"/>
      <w:suff w:val="tab"/>
      <w:lvlText w:val="•"/>
      <w:rPr>
        <w:color w:val="3370ff"/>
      </w:rPr>
    </w:lvl>
  </w:abstractNum>
  <w:abstractNum w:abstractNumId="2422408">
    <w:lvl>
      <w:numFmt w:val="bullet"/>
      <w:suff w:val="tab"/>
      <w:lvlText w:val="￮"/>
      <w:rPr>
        <w:color w:val="3370ff"/>
      </w:rPr>
    </w:lvl>
  </w:abstractNum>
  <w:abstractNum w:abstractNumId="2422409">
    <w:lvl>
      <w:numFmt w:val="bullet"/>
      <w:suff w:val="tab"/>
      <w:lvlText w:val="￮"/>
      <w:rPr>
        <w:color w:val="3370ff"/>
      </w:rPr>
    </w:lvl>
  </w:abstractNum>
  <w:abstractNum w:abstractNumId="2422410">
    <w:lvl>
      <w:numFmt w:val="bullet"/>
      <w:suff w:val="tab"/>
      <w:lvlText w:val="￮"/>
      <w:rPr>
        <w:color w:val="3370ff"/>
      </w:rPr>
    </w:lvl>
  </w:abstractNum>
  <w:abstractNum w:abstractNumId="2422411">
    <w:lvl>
      <w:numFmt w:val="bullet"/>
      <w:suff w:val="tab"/>
      <w:lvlText w:val="￮"/>
      <w:rPr>
        <w:color w:val="3370ff"/>
      </w:rPr>
    </w:lvl>
  </w:abstractNum>
  <w:abstractNum w:abstractNumId="2422412">
    <w:lvl>
      <w:numFmt w:val="bullet"/>
      <w:suff w:val="tab"/>
      <w:lvlText w:val="•"/>
      <w:rPr>
        <w:color w:val="3370ff"/>
      </w:rPr>
    </w:lvl>
  </w:abstractNum>
  <w:abstractNum w:abstractNumId="2422413">
    <w:lvl>
      <w:numFmt w:val="bullet"/>
      <w:suff w:val="tab"/>
      <w:lvlText w:val="•"/>
      <w:rPr>
        <w:color w:val="3370ff"/>
      </w:rPr>
    </w:lvl>
  </w:abstractNum>
  <w:abstractNum w:abstractNumId="2422414">
    <w:lvl>
      <w:numFmt w:val="bullet"/>
      <w:suff w:val="tab"/>
      <w:lvlText w:val="￮"/>
      <w:rPr>
        <w:color w:val="3370ff"/>
      </w:rPr>
    </w:lvl>
  </w:abstractNum>
  <w:abstractNum w:abstractNumId="2422415">
    <w:lvl>
      <w:numFmt w:val="bullet"/>
      <w:suff w:val="tab"/>
      <w:lvlText w:val="•"/>
      <w:rPr>
        <w:color w:val="3370ff"/>
      </w:rPr>
    </w:lvl>
  </w:abstractNum>
  <w:abstractNum w:abstractNumId="2422416">
    <w:lvl>
      <w:numFmt w:val="bullet"/>
      <w:suff w:val="tab"/>
      <w:lvlText w:val="￮"/>
      <w:rPr>
        <w:color w:val="3370ff"/>
      </w:rPr>
    </w:lvl>
  </w:abstractNum>
  <w:abstractNum w:abstractNumId="2422417">
    <w:lvl>
      <w:numFmt w:val="bullet"/>
      <w:suff w:val="tab"/>
      <w:lvlText w:val="￮"/>
      <w:rPr>
        <w:color w:val="3370ff"/>
      </w:rPr>
    </w:lvl>
  </w:abstractNum>
  <w:abstractNum w:abstractNumId="2422418">
    <w:lvl>
      <w:numFmt w:val="bullet"/>
      <w:suff w:val="tab"/>
      <w:lvlText w:val="￮"/>
      <w:rPr>
        <w:color w:val="3370ff"/>
      </w:rPr>
    </w:lvl>
  </w:abstractNum>
  <w:abstractNum w:abstractNumId="2422419">
    <w:lvl>
      <w:numFmt w:val="bullet"/>
      <w:suff w:val="tab"/>
      <w:lvlText w:val="￮"/>
      <w:rPr>
        <w:color w:val="3370ff"/>
      </w:rPr>
    </w:lvl>
  </w:abstractNum>
  <w:abstractNum w:abstractNumId="2422420">
    <w:lvl>
      <w:numFmt w:val="bullet"/>
      <w:suff w:val="tab"/>
      <w:lvlText w:val="•"/>
      <w:rPr>
        <w:color w:val="3370ff"/>
      </w:rPr>
    </w:lvl>
  </w:abstractNum>
  <w:abstractNum w:abstractNumId="2422421">
    <w:lvl>
      <w:numFmt w:val="bullet"/>
      <w:suff w:val="tab"/>
      <w:lvlText w:val="•"/>
      <w:rPr>
        <w:color w:val="3370ff"/>
      </w:rPr>
    </w:lvl>
  </w:abstractNum>
  <w:abstractNum w:abstractNumId="2422422">
    <w:lvl>
      <w:numFmt w:val="bullet"/>
      <w:suff w:val="tab"/>
      <w:lvlText w:val="•"/>
      <w:rPr>
        <w:color w:val="3370ff"/>
      </w:rPr>
    </w:lvl>
  </w:abstractNum>
  <w:abstractNum w:abstractNumId="2422423">
    <w:lvl>
      <w:numFmt w:val="bullet"/>
      <w:suff w:val="tab"/>
      <w:lvlText w:val="•"/>
      <w:rPr>
        <w:color w:val="3370ff"/>
      </w:rPr>
    </w:lvl>
  </w:abstractNum>
  <w:abstractNum w:abstractNumId="2422424">
    <w:lvl>
      <w:numFmt w:val="bullet"/>
      <w:suff w:val="tab"/>
      <w:lvlText w:val="•"/>
      <w:rPr>
        <w:color w:val="3370ff"/>
      </w:rPr>
    </w:lvl>
  </w:abstractNum>
  <w:abstractNum w:abstractNumId="2422425">
    <w:lvl>
      <w:numFmt w:val="bullet"/>
      <w:suff w:val="tab"/>
      <w:lvlText w:val="•"/>
      <w:rPr>
        <w:color w:val="3370ff"/>
      </w:rPr>
    </w:lvl>
  </w:abstractNum>
  <w:abstractNum w:abstractNumId="2422426">
    <w:lvl>
      <w:numFmt w:val="bullet"/>
      <w:suff w:val="tab"/>
      <w:lvlText w:val="•"/>
      <w:rPr>
        <w:color w:val="3370ff"/>
      </w:rPr>
    </w:lvl>
  </w:abstractNum>
  <w:abstractNum w:abstractNumId="2422427">
    <w:lvl>
      <w:numFmt w:val="bullet"/>
      <w:suff w:val="tab"/>
      <w:lvlText w:val="•"/>
      <w:rPr>
        <w:color w:val="3370ff"/>
      </w:rPr>
    </w:lvl>
  </w:abstractNum>
  <w:abstractNum w:abstractNumId="2422428">
    <w:lvl>
      <w:numFmt w:val="bullet"/>
      <w:suff w:val="tab"/>
      <w:lvlText w:val="•"/>
      <w:rPr>
        <w:color w:val="3370ff"/>
      </w:rPr>
    </w:lvl>
  </w:abstractNum>
  <w:abstractNum w:abstractNumId="2422429">
    <w:lvl>
      <w:numFmt w:val="bullet"/>
      <w:suff w:val="tab"/>
      <w:lvlText w:val="•"/>
      <w:rPr>
        <w:color w:val="3370ff"/>
      </w:rPr>
    </w:lvl>
  </w:abstractNum>
  <w:abstractNum w:abstractNumId="2422430">
    <w:lvl>
      <w:numFmt w:val="bullet"/>
      <w:suff w:val="tab"/>
      <w:lvlText w:val="•"/>
      <w:rPr>
        <w:color w:val="3370ff"/>
      </w:rPr>
    </w:lvl>
  </w:abstractNum>
  <w:abstractNum w:abstractNumId="2422431">
    <w:lvl>
      <w:numFmt w:val="bullet"/>
      <w:suff w:val="tab"/>
      <w:lvlText w:val="•"/>
      <w:rPr>
        <w:color w:val="3370ff"/>
      </w:rPr>
    </w:lvl>
  </w:abstractNum>
  <w:abstractNum w:abstractNumId="2422432">
    <w:lvl>
      <w:numFmt w:val="bullet"/>
      <w:suff w:val="tab"/>
      <w:lvlText w:val="￮"/>
      <w:rPr>
        <w:color w:val="3370ff"/>
      </w:rPr>
    </w:lvl>
  </w:abstractNum>
  <w:abstractNum w:abstractNumId="2422433">
    <w:lvl>
      <w:numFmt w:val="bullet"/>
      <w:suff w:val="tab"/>
      <w:lvlText w:val="￮"/>
      <w:rPr>
        <w:color w:val="3370ff"/>
      </w:rPr>
    </w:lvl>
  </w:abstractNum>
  <w:abstractNum w:abstractNumId="2422434">
    <w:lvl>
      <w:numFmt w:val="bullet"/>
      <w:suff w:val="tab"/>
      <w:lvlText w:val="•"/>
      <w:rPr>
        <w:color w:val="3370ff"/>
      </w:rPr>
    </w:lvl>
  </w:abstractNum>
  <w:abstractNum w:abstractNumId="2422435">
    <w:lvl>
      <w:numFmt w:val="bullet"/>
      <w:suff w:val="tab"/>
      <w:lvlText w:val="￮"/>
      <w:rPr>
        <w:color w:val="3370ff"/>
      </w:rPr>
    </w:lvl>
  </w:abstractNum>
  <w:abstractNum w:abstractNumId="2422436">
    <w:lvl>
      <w:numFmt w:val="bullet"/>
      <w:suff w:val="tab"/>
      <w:lvlText w:val="￮"/>
      <w:rPr>
        <w:color w:val="3370ff"/>
      </w:rPr>
    </w:lvl>
  </w:abstractNum>
  <w:abstractNum w:abstractNumId="2422437">
    <w:lvl>
      <w:numFmt w:val="bullet"/>
      <w:suff w:val="tab"/>
      <w:lvlText w:val="￮"/>
      <w:rPr>
        <w:color w:val="3370ff"/>
      </w:rPr>
    </w:lvl>
  </w:abstractNum>
  <w:abstractNum w:abstractNumId="2422438">
    <w:lvl>
      <w:numFmt w:val="bullet"/>
      <w:suff w:val="tab"/>
      <w:lvlText w:val="￮"/>
      <w:rPr>
        <w:color w:val="3370ff"/>
      </w:rPr>
    </w:lvl>
  </w:abstractNum>
  <w:abstractNum w:abstractNumId="2422439">
    <w:lvl>
      <w:numFmt w:val="bullet"/>
      <w:suff w:val="tab"/>
      <w:lvlText w:val="￮"/>
      <w:rPr>
        <w:color w:val="3370ff"/>
      </w:rPr>
    </w:lvl>
  </w:abstractNum>
  <w:abstractNum w:abstractNumId="2422440">
    <w:lvl>
      <w:numFmt w:val="bullet"/>
      <w:suff w:val="tab"/>
      <w:lvlText w:val="•"/>
      <w:rPr>
        <w:color w:val="3370ff"/>
      </w:rPr>
    </w:lvl>
  </w:abstractNum>
  <w:abstractNum w:abstractNumId="2422441">
    <w:lvl>
      <w:start w:val="1"/>
      <w:numFmt w:val="lowerLetter"/>
      <w:suff w:val="tab"/>
      <w:lvlText w:val="%1."/>
      <w:rPr>
        <w:color w:val="3370ff"/>
      </w:rPr>
    </w:lvl>
  </w:abstractNum>
  <w:abstractNum w:abstractNumId="2422442">
    <w:lvl>
      <w:start w:val="2"/>
      <w:numFmt w:val="lowerLetter"/>
      <w:suff w:val="tab"/>
      <w:lvlText w:val="%1."/>
      <w:rPr>
        <w:color w:val="3370ff"/>
      </w:rPr>
    </w:lvl>
  </w:abstractNum>
  <w:abstractNum w:abstractNumId="2422443">
    <w:lvl>
      <w:start w:val="3"/>
      <w:numFmt w:val="lowerLetter"/>
      <w:suff w:val="tab"/>
      <w:lvlText w:val="%1."/>
      <w:rPr>
        <w:color w:val="3370ff"/>
      </w:rPr>
    </w:lvl>
  </w:abstractNum>
  <w:abstractNum w:abstractNumId="2422444">
    <w:lvl>
      <w:start w:val="4"/>
      <w:numFmt w:val="lowerLetter"/>
      <w:suff w:val="tab"/>
      <w:lvlText w:val="%1."/>
      <w:rPr>
        <w:color w:val="3370ff"/>
      </w:rPr>
    </w:lvl>
  </w:abstractNum>
  <w:abstractNum w:abstractNumId="2422445">
    <w:lvl>
      <w:start w:val="5"/>
      <w:numFmt w:val="lowerLetter"/>
      <w:suff w:val="tab"/>
      <w:lvlText w:val="%1."/>
      <w:rPr>
        <w:color w:val="3370ff"/>
      </w:rPr>
    </w:lvl>
  </w:abstractNum>
  <w:abstractNum w:abstractNumId="2422446">
    <w:lvl>
      <w:numFmt w:val="bullet"/>
      <w:suff w:val="tab"/>
      <w:lvlText w:val="•"/>
      <w:rPr>
        <w:color w:val="3370ff"/>
      </w:rPr>
    </w:lvl>
  </w:abstractNum>
  <w:abstractNum w:abstractNumId="2422447">
    <w:lvl>
      <w:numFmt w:val="bullet"/>
      <w:suff w:val="tab"/>
      <w:lvlText w:val="•"/>
      <w:rPr>
        <w:color w:val="3370ff"/>
      </w:rPr>
    </w:lvl>
  </w:abstractNum>
  <w:abstractNum w:abstractNumId="2422448">
    <w:lvl>
      <w:numFmt w:val="bullet"/>
      <w:suff w:val="tab"/>
      <w:lvlText w:val="•"/>
      <w:rPr>
        <w:color w:val="3370ff"/>
      </w:rPr>
    </w:lvl>
  </w:abstractNum>
  <w:abstractNum w:abstractNumId="2422449">
    <w:lvl>
      <w:numFmt w:val="bullet"/>
      <w:suff w:val="tab"/>
      <w:lvlText w:val="•"/>
      <w:rPr>
        <w:color w:val="3370ff"/>
      </w:rPr>
    </w:lvl>
  </w:abstractNum>
  <w:abstractNum w:abstractNumId="2422450">
    <w:lvl>
      <w:numFmt w:val="bullet"/>
      <w:suff w:val="tab"/>
      <w:lvlText w:val="•"/>
      <w:rPr>
        <w:color w:val="3370ff"/>
      </w:rPr>
    </w:lvl>
  </w:abstractNum>
  <w:abstractNum w:abstractNumId="2422451">
    <w:lvl>
      <w:numFmt w:val="bullet"/>
      <w:suff w:val="tab"/>
      <w:lvlText w:val="•"/>
      <w:rPr>
        <w:color w:val="3370ff"/>
      </w:rPr>
    </w:lvl>
  </w:abstractNum>
  <w:abstractNum w:abstractNumId="2422452">
    <w:lvl>
      <w:start w:val="1"/>
      <w:numFmt w:val="decimal"/>
      <w:suff w:val="tab"/>
      <w:lvlText w:val="%1."/>
      <w:rPr>
        <w:color w:val="3370ff"/>
      </w:rPr>
    </w:lvl>
  </w:abstractNum>
  <w:abstractNum w:abstractNumId="2422453">
    <w:lvl>
      <w:start w:val="2"/>
      <w:numFmt w:val="decimal"/>
      <w:suff w:val="tab"/>
      <w:lvlText w:val="%1."/>
      <w:rPr>
        <w:color w:val="3370ff"/>
      </w:rPr>
    </w:lvl>
  </w:abstractNum>
  <w:abstractNum w:abstractNumId="2422454">
    <w:lvl>
      <w:start w:val="3"/>
      <w:numFmt w:val="decimal"/>
      <w:suff w:val="tab"/>
      <w:lvlText w:val="%1."/>
      <w:rPr>
        <w:color w:val="3370ff"/>
      </w:rPr>
    </w:lvl>
  </w:abstractNum>
  <w:abstractNum w:abstractNumId="2422455">
    <w:lvl>
      <w:start w:val="4"/>
      <w:numFmt w:val="decimal"/>
      <w:suff w:val="tab"/>
      <w:lvlText w:val="%1."/>
      <w:rPr>
        <w:color w:val="3370ff"/>
      </w:rPr>
    </w:lvl>
  </w:abstractNum>
  <w:abstractNum w:abstractNumId="2422456">
    <w:lvl>
      <w:start w:val="5"/>
      <w:numFmt w:val="decimal"/>
      <w:suff w:val="tab"/>
      <w:lvlText w:val="%1."/>
      <w:rPr>
        <w:color w:val="3370ff"/>
      </w:rPr>
    </w:lvl>
  </w:abstractNum>
  <w:abstractNum w:abstractNumId="2422457">
    <w:lvl>
      <w:start w:val="1"/>
      <w:numFmt w:val="decimal"/>
      <w:suff w:val="tab"/>
      <w:lvlText w:val="%1."/>
      <w:rPr>
        <w:color w:val="3370ff"/>
      </w:rPr>
    </w:lvl>
  </w:abstractNum>
  <w:abstractNum w:abstractNumId="2422458">
    <w:lvl>
      <w:start w:val="2"/>
      <w:numFmt w:val="decimal"/>
      <w:suff w:val="tab"/>
      <w:lvlText w:val="%1."/>
      <w:rPr>
        <w:color w:val="3370ff"/>
      </w:rPr>
    </w:lvl>
  </w:abstractNum>
  <w:abstractNum w:abstractNumId="2422459">
    <w:lvl>
      <w:start w:val="3"/>
      <w:numFmt w:val="decimal"/>
      <w:suff w:val="tab"/>
      <w:lvlText w:val="%1."/>
      <w:rPr>
        <w:color w:val="3370ff"/>
      </w:rPr>
    </w:lvl>
  </w:abstractNum>
  <w:abstractNum w:abstractNumId="2422460">
    <w:lvl>
      <w:start w:val="4"/>
      <w:numFmt w:val="decimal"/>
      <w:suff w:val="tab"/>
      <w:lvlText w:val="%1."/>
      <w:rPr>
        <w:color w:val="3370ff"/>
      </w:rPr>
    </w:lvl>
  </w:abstractNum>
  <w:abstractNum w:abstractNumId="2422461">
    <w:lvl>
      <w:numFmt w:val="bullet"/>
      <w:suff w:val="tab"/>
      <w:lvlText w:val="•"/>
      <w:rPr>
        <w:color w:val="3370ff"/>
      </w:rPr>
    </w:lvl>
  </w:abstractNum>
  <w:abstractNum w:abstractNumId="2422462">
    <w:lvl>
      <w:numFmt w:val="bullet"/>
      <w:suff w:val="tab"/>
      <w:lvlText w:val="•"/>
      <w:rPr>
        <w:color w:val="3370ff"/>
      </w:rPr>
    </w:lvl>
  </w:abstractNum>
  <w:abstractNum w:abstractNumId="2422463">
    <w:lvl>
      <w:numFmt w:val="bullet"/>
      <w:suff w:val="tab"/>
      <w:lvlText w:val="•"/>
      <w:rPr>
        <w:color w:val="3370ff"/>
      </w:rPr>
    </w:lvl>
  </w:abstractNum>
  <w:num w:numId="1">
    <w:abstractNumId w:val="2422352"/>
  </w:num>
  <w:num w:numId="2">
    <w:abstractNumId w:val="2422353"/>
  </w:num>
  <w:num w:numId="3">
    <w:abstractNumId w:val="2422354"/>
  </w:num>
  <w:num w:numId="4">
    <w:abstractNumId w:val="2422355"/>
  </w:num>
  <w:num w:numId="5">
    <w:abstractNumId w:val="2422356"/>
  </w:num>
  <w:num w:numId="6">
    <w:abstractNumId w:val="2422357"/>
  </w:num>
  <w:num w:numId="7">
    <w:abstractNumId w:val="2422358"/>
  </w:num>
  <w:num w:numId="8">
    <w:abstractNumId w:val="2422359"/>
  </w:num>
  <w:num w:numId="9">
    <w:abstractNumId w:val="2422360"/>
  </w:num>
  <w:num w:numId="10">
    <w:abstractNumId w:val="2422361"/>
  </w:num>
  <w:num w:numId="11">
    <w:abstractNumId w:val="2422362"/>
  </w:num>
  <w:num w:numId="12">
    <w:abstractNumId w:val="2422363"/>
  </w:num>
  <w:num w:numId="13">
    <w:abstractNumId w:val="2422364"/>
  </w:num>
  <w:num w:numId="14">
    <w:abstractNumId w:val="2422365"/>
  </w:num>
  <w:num w:numId="15">
    <w:abstractNumId w:val="2422366"/>
  </w:num>
  <w:num w:numId="16">
    <w:abstractNumId w:val="2422367"/>
  </w:num>
  <w:num w:numId="17">
    <w:abstractNumId w:val="2422368"/>
  </w:num>
  <w:num w:numId="18">
    <w:abstractNumId w:val="2422369"/>
  </w:num>
  <w:num w:numId="19">
    <w:abstractNumId w:val="2422370"/>
  </w:num>
  <w:num w:numId="20">
    <w:abstractNumId w:val="2422371"/>
  </w:num>
  <w:num w:numId="21">
    <w:abstractNumId w:val="2422372"/>
  </w:num>
  <w:num w:numId="22">
    <w:abstractNumId w:val="2422373"/>
  </w:num>
  <w:num w:numId="23">
    <w:abstractNumId w:val="2422374"/>
  </w:num>
  <w:num w:numId="24">
    <w:abstractNumId w:val="2422375"/>
  </w:num>
  <w:num w:numId="25">
    <w:abstractNumId w:val="2422376"/>
  </w:num>
  <w:num w:numId="26">
    <w:abstractNumId w:val="2422377"/>
  </w:num>
  <w:num w:numId="27">
    <w:abstractNumId w:val="2422378"/>
  </w:num>
  <w:num w:numId="28">
    <w:abstractNumId w:val="2422379"/>
  </w:num>
  <w:num w:numId="29">
    <w:abstractNumId w:val="2422380"/>
  </w:num>
  <w:num w:numId="30">
    <w:abstractNumId w:val="2422381"/>
  </w:num>
  <w:num w:numId="31">
    <w:abstractNumId w:val="2422382"/>
  </w:num>
  <w:num w:numId="32">
    <w:abstractNumId w:val="2422383"/>
  </w:num>
  <w:num w:numId="33">
    <w:abstractNumId w:val="2422384"/>
  </w:num>
  <w:num w:numId="34">
    <w:abstractNumId w:val="2422385"/>
  </w:num>
  <w:num w:numId="35">
    <w:abstractNumId w:val="2422386"/>
  </w:num>
  <w:num w:numId="36">
    <w:abstractNumId w:val="2422387"/>
  </w:num>
  <w:num w:numId="37">
    <w:abstractNumId w:val="2422388"/>
  </w:num>
  <w:num w:numId="38">
    <w:abstractNumId w:val="2422389"/>
  </w:num>
  <w:num w:numId="39">
    <w:abstractNumId w:val="2422390"/>
  </w:num>
  <w:num w:numId="40">
    <w:abstractNumId w:val="2422391"/>
  </w:num>
  <w:num w:numId="41">
    <w:abstractNumId w:val="2422392"/>
  </w:num>
  <w:num w:numId="42">
    <w:abstractNumId w:val="2422393"/>
  </w:num>
  <w:num w:numId="43">
    <w:abstractNumId w:val="2422394"/>
  </w:num>
  <w:num w:numId="44">
    <w:abstractNumId w:val="2422395"/>
  </w:num>
  <w:num w:numId="45">
    <w:abstractNumId w:val="2422396"/>
  </w:num>
  <w:num w:numId="46">
    <w:abstractNumId w:val="2422397"/>
  </w:num>
  <w:num w:numId="47">
    <w:abstractNumId w:val="2422398"/>
  </w:num>
  <w:num w:numId="48">
    <w:abstractNumId w:val="2422399"/>
  </w:num>
  <w:num w:numId="49">
    <w:abstractNumId w:val="2422400"/>
  </w:num>
  <w:num w:numId="50">
    <w:abstractNumId w:val="2422401"/>
  </w:num>
  <w:num w:numId="51">
    <w:abstractNumId w:val="2422402"/>
  </w:num>
  <w:num w:numId="52">
    <w:abstractNumId w:val="2422403"/>
  </w:num>
  <w:num w:numId="53">
    <w:abstractNumId w:val="2422404"/>
  </w:num>
  <w:num w:numId="54">
    <w:abstractNumId w:val="2422405"/>
  </w:num>
  <w:num w:numId="55">
    <w:abstractNumId w:val="2422406"/>
  </w:num>
  <w:num w:numId="56">
    <w:abstractNumId w:val="2422407"/>
  </w:num>
  <w:num w:numId="57">
    <w:abstractNumId w:val="2422408"/>
  </w:num>
  <w:num w:numId="58">
    <w:abstractNumId w:val="2422409"/>
  </w:num>
  <w:num w:numId="59">
    <w:abstractNumId w:val="2422410"/>
  </w:num>
  <w:num w:numId="60">
    <w:abstractNumId w:val="2422411"/>
  </w:num>
  <w:num w:numId="61">
    <w:abstractNumId w:val="2422412"/>
  </w:num>
  <w:num w:numId="62">
    <w:abstractNumId w:val="2422413"/>
  </w:num>
  <w:num w:numId="63">
    <w:abstractNumId w:val="2422414"/>
  </w:num>
  <w:num w:numId="64">
    <w:abstractNumId w:val="2422415"/>
  </w:num>
  <w:num w:numId="65">
    <w:abstractNumId w:val="2422416"/>
  </w:num>
  <w:num w:numId="66">
    <w:abstractNumId w:val="2422417"/>
  </w:num>
  <w:num w:numId="67">
    <w:abstractNumId w:val="2422418"/>
  </w:num>
  <w:num w:numId="68">
    <w:abstractNumId w:val="2422419"/>
  </w:num>
  <w:num w:numId="69">
    <w:abstractNumId w:val="2422420"/>
  </w:num>
  <w:num w:numId="70">
    <w:abstractNumId w:val="2422421"/>
  </w:num>
  <w:num w:numId="71">
    <w:abstractNumId w:val="2422422"/>
  </w:num>
  <w:num w:numId="72">
    <w:abstractNumId w:val="2422423"/>
  </w:num>
  <w:num w:numId="73">
    <w:abstractNumId w:val="2422424"/>
  </w:num>
  <w:num w:numId="74">
    <w:abstractNumId w:val="2422425"/>
  </w:num>
  <w:num w:numId="75">
    <w:abstractNumId w:val="2422426"/>
  </w:num>
  <w:num w:numId="76">
    <w:abstractNumId w:val="2422427"/>
  </w:num>
  <w:num w:numId="77">
    <w:abstractNumId w:val="2422428"/>
  </w:num>
  <w:num w:numId="78">
    <w:abstractNumId w:val="2422429"/>
  </w:num>
  <w:num w:numId="79">
    <w:abstractNumId w:val="2422430"/>
  </w:num>
  <w:num w:numId="80">
    <w:abstractNumId w:val="2422431"/>
  </w:num>
  <w:num w:numId="81">
    <w:abstractNumId w:val="2422432"/>
  </w:num>
  <w:num w:numId="82">
    <w:abstractNumId w:val="2422433"/>
  </w:num>
  <w:num w:numId="83">
    <w:abstractNumId w:val="2422434"/>
  </w:num>
  <w:num w:numId="84">
    <w:abstractNumId w:val="2422435"/>
  </w:num>
  <w:num w:numId="85">
    <w:abstractNumId w:val="2422436"/>
  </w:num>
  <w:num w:numId="86">
    <w:abstractNumId w:val="2422437"/>
  </w:num>
  <w:num w:numId="87">
    <w:abstractNumId w:val="2422438"/>
  </w:num>
  <w:num w:numId="88">
    <w:abstractNumId w:val="2422439"/>
  </w:num>
  <w:num w:numId="89">
    <w:abstractNumId w:val="2422440"/>
  </w:num>
  <w:num w:numId="90">
    <w:abstractNumId w:val="2422441"/>
  </w:num>
  <w:num w:numId="91">
    <w:abstractNumId w:val="2422442"/>
  </w:num>
  <w:num w:numId="92">
    <w:abstractNumId w:val="2422443"/>
  </w:num>
  <w:num w:numId="93">
    <w:abstractNumId w:val="2422444"/>
  </w:num>
  <w:num w:numId="94">
    <w:abstractNumId w:val="2422445"/>
  </w:num>
  <w:num w:numId="95">
    <w:abstractNumId w:val="2422446"/>
  </w:num>
  <w:num w:numId="96">
    <w:abstractNumId w:val="2422447"/>
  </w:num>
  <w:num w:numId="97">
    <w:abstractNumId w:val="2422448"/>
  </w:num>
  <w:num w:numId="98">
    <w:abstractNumId w:val="2422449"/>
  </w:num>
  <w:num w:numId="99">
    <w:abstractNumId w:val="2422450"/>
  </w:num>
  <w:num w:numId="100">
    <w:abstractNumId w:val="2422451"/>
  </w:num>
  <w:num w:numId="101">
    <w:abstractNumId w:val="2422452"/>
  </w:num>
  <w:num w:numId="102">
    <w:abstractNumId w:val="2422453"/>
  </w:num>
  <w:num w:numId="103">
    <w:abstractNumId w:val="2422454"/>
  </w:num>
  <w:num w:numId="104">
    <w:abstractNumId w:val="2422455"/>
  </w:num>
  <w:num w:numId="105">
    <w:abstractNumId w:val="2422456"/>
  </w:num>
  <w:num w:numId="106">
    <w:abstractNumId w:val="2422457"/>
  </w:num>
  <w:num w:numId="107">
    <w:abstractNumId w:val="2422458"/>
  </w:num>
  <w:num w:numId="108">
    <w:abstractNumId w:val="2422459"/>
  </w:num>
  <w:num w:numId="109">
    <w:abstractNumId w:val="2422460"/>
  </w:num>
  <w:num w:numId="110">
    <w:abstractNumId w:val="2422461"/>
  </w:num>
  <w:num w:numId="111">
    <w:abstractNumId w:val="2422462"/>
  </w:num>
  <w:num w:numId="112">
    <w:abstractNumId w:val="24224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2026-03-12T01:21:49Z</dcterms:created>
  <dc:creator>Apache POI</dc:creator>
</cp:coreProperties>
</file>