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 Acknowledgments</w:t>
      </w:r>
    </w:p>
    <w:p>
      <w:pPr>
        <w:pStyle w:val="Normal"/>
        <w:bidi w:val="0"/>
        <w:jc w:val="left"/>
        <w:rPr/>
      </w:pPr>
      <w:r>
        <w:rPr/>
        <w:t xml:space="preserve">2) Global biodiversity crisis </w:t>
      </w:r>
      <w:r>
        <w:rPr/>
        <w:t xml:space="preserve">(noticias, </w:t>
      </w:r>
      <w:r>
        <w:rPr>
          <w:b/>
          <w:bCs/>
        </w:rPr>
        <w:t>latex</w:t>
      </w:r>
      <w:r>
        <w:rPr/>
        <w:t xml:space="preserve">): </w:t>
      </w:r>
      <w:hyperlink r:id="rId3">
        <w:r>
          <w:rPr>
            <w:rStyle w:val="InternetLink"/>
          </w:rPr>
          <w:t>https://www.theguardian.com/environment/2022/dec/06/the-biodiversity-crisis-in-numbers-a-visual-guide-aoe</w:t>
        </w:r>
      </w:hyperlink>
    </w:p>
    <w:p>
      <w:pPr>
        <w:pStyle w:val="Normal"/>
        <w:bidi w:val="0"/>
        <w:jc w:val="left"/>
        <w:rPr/>
      </w:pPr>
      <w:r>
        <w:rPr/>
        <w:t>COP15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Threatened species </w:t>
      </w:r>
      <w:r>
        <w:rPr/>
        <w:t>(</w:t>
      </w:r>
      <w:r>
        <w:rPr>
          <w:b/>
          <w:bCs/>
        </w:rPr>
        <w:t>latex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4) Threats </w:t>
      </w:r>
      <w:r>
        <w:rPr/>
        <w:t>(</w:t>
      </w:r>
      <w:r>
        <w:rPr>
          <w:b/>
          <w:bCs/>
        </w:rPr>
        <w:t>latex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5) Protected areas </w:t>
      </w:r>
      <w:r>
        <w:rPr/>
        <w:t>(</w:t>
      </w:r>
      <w:r>
        <w:rPr>
          <w:b/>
          <w:bCs/>
        </w:rPr>
        <w:t>latex</w:t>
      </w:r>
      <w:r>
        <w:rPr>
          <w:b/>
          <w:bCs/>
        </w:rPr>
        <w:t>)</w:t>
      </w:r>
    </w:p>
    <w:p>
      <w:pPr>
        <w:pStyle w:val="Normal"/>
        <w:bidi w:val="0"/>
        <w:jc w:val="left"/>
        <w:rPr/>
      </w:pPr>
      <w:r>
        <w:rPr/>
        <w:t>6) Conservation planning problems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Decision types (slides1.pptx, pag 11)</w:t>
      </w:r>
    </w:p>
    <w:p>
      <w:pPr>
        <w:pStyle w:val="Normal"/>
        <w:bidi w:val="0"/>
        <w:jc w:val="left"/>
        <w:rPr/>
      </w:pP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  <w:t xml:space="preserve">7) </w:t>
      </w:r>
      <w:r>
        <w:rPr/>
        <w:t>Marxan</w:t>
      </w:r>
    </w:p>
    <w:p>
      <w:pPr>
        <w:pStyle w:val="Normal"/>
        <w:bidi w:val="0"/>
        <w:jc w:val="left"/>
        <w:rPr/>
      </w:pPr>
      <w:r>
        <w:rPr/>
        <w:t xml:space="preserve">8) </w:t>
      </w:r>
      <w:r>
        <w:rPr/>
        <w:t>Heuristics vs exact methods</w:t>
      </w:r>
    </w:p>
    <w:p>
      <w:pPr>
        <w:pStyle w:val="Normal"/>
        <w:bidi w:val="0"/>
        <w:jc w:val="left"/>
        <w:rPr/>
      </w:pPr>
      <w:r>
        <w:rPr/>
        <w:t xml:space="preserve">-  </w:t>
      </w:r>
      <w:r>
        <w:rPr/>
        <w:t>Principle of complementarity (slides4.pptx, pag 12)</w:t>
      </w:r>
    </w:p>
    <w:p>
      <w:pPr>
        <w:pStyle w:val="Normal"/>
        <w:bidi w:val="0"/>
        <w:jc w:val="left"/>
        <w:rPr/>
      </w:pPr>
      <w:r>
        <w:rPr/>
        <w:t xml:space="preserve">-  </w:t>
      </w:r>
      <w:r>
        <w:rPr/>
        <w:t>Connectivity (slides4.pptx, pag 13)</w:t>
      </w:r>
    </w:p>
    <w:p>
      <w:pPr>
        <w:pStyle w:val="Normal"/>
        <w:bidi w:val="0"/>
        <w:jc w:val="left"/>
        <w:rPr/>
      </w:pPr>
      <w:r>
        <w:rPr/>
        <w:t xml:space="preserve">-  </w:t>
      </w:r>
      <w:r>
        <w:rPr/>
        <w:t>Guaranteed quality (slides4.pptx, pag 31)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Support decision making (slidels4.pptx, pag 50)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slides1:</w:t>
      </w:r>
    </w:p>
    <w:p>
      <w:pPr>
        <w:pStyle w:val="Normal"/>
        <w:bidi w:val="0"/>
        <w:jc w:val="left"/>
        <w:rPr/>
      </w:pPr>
      <w:r>
        <w:rPr/>
        <w:t>- pag 8: constraints and penalties</w:t>
      </w:r>
    </w:p>
    <w:p>
      <w:pPr>
        <w:pStyle w:val="Normal"/>
        <w:bidi w:val="0"/>
        <w:jc w:val="left"/>
        <w:rPr/>
      </w:pPr>
      <w:r>
        <w:rPr/>
        <w:t>- pag 12: solvers (con modificación)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slides2:</w:t>
      </w:r>
    </w:p>
    <w:p>
      <w:pPr>
        <w:pStyle w:val="Normal"/>
        <w:bidi w:val="0"/>
        <w:jc w:val="left"/>
        <w:rPr/>
      </w:pPr>
      <w:r>
        <w:rPr/>
        <w:t>- pag 9: Decisions science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slides3:</w:t>
      </w:r>
    </w:p>
    <w:p>
      <w:pPr>
        <w:pStyle w:val="Normal"/>
        <w:bidi w:val="0"/>
        <w:jc w:val="left"/>
        <w:rPr/>
      </w:pPr>
      <w:r>
        <w:rPr/>
        <w:t>- pag 3: Why R?</w:t>
      </w:r>
    </w:p>
    <w:p>
      <w:pPr>
        <w:pStyle w:val="Normal"/>
        <w:bidi w:val="0"/>
        <w:jc w:val="left"/>
        <w:rPr/>
      </w:pPr>
      <w:r>
        <w:rPr/>
        <w:t>- pag23: Take home message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erif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erif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bidi w:val="0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US" w:eastAsia="zh-CN" w:bidi="hi-IN"/>
    </w:rPr>
  </w:style>
  <w:style w:type="paragraph" w:styleId="DefaultLTGliederung1">
    <w:name w:val="Defaul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BlankSlideLTGliederung1">
    <w:name w:val="Blank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eguardian.com/environment/2022/dec/06/the-biodiversity-crisis-in-numbers-a-visual-guide-ao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94</Words>
  <Characters>634</Characters>
  <CharactersWithSpaces>709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2022-12-13T16:43:35Z</dcterms:created>
  <dc:creator/>
  <dc:description/>
  <dc:language>en-US</dc:language>
  <cp:lastModifiedBy/>
  <dcterms:modified xsi:type="dcterms:W3CDTF">2022-12-13T18:10:24Z</dcterms:modified>
  <cp:revision>1</cp:revision>
  <dc:subject/>
  <dc:title/>
</cp:coreProperties>
</file>