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13.bin" ContentType="application/vnd.ms-office.activeX"/>
  <Override PartName="/word/activeX/activeX13.xml" ContentType="application/vnd.ms-office.activeX+xml"/>
  <Override PartName="/word/activeX/activeX14.bin" ContentType="application/vnd.ms-office.activeX"/>
  <Override PartName="/word/activeX/activeX14.xml" ContentType="application/vnd.ms-office.activeX+xml"/>
  <Override PartName="/word/activeX/activeX15.bin" ContentType="application/vnd.ms-office.activeX"/>
  <Override PartName="/word/activeX/activeX15.xml" ContentType="application/vnd.ms-office.activeX+xml"/>
  <Override PartName="/word/activeX/activeX16.bin" ContentType="application/vnd.ms-office.activeX"/>
  <Override PartName="/word/activeX/activeX16.xml" ContentType="application/vnd.ms-office.activeX+xml"/>
  <Override PartName="/word/activeX/activeX17.bin" ContentType="application/vnd.ms-office.activeX"/>
  <Override PartName="/word/activeX/activeX17.xml" ContentType="application/vnd.ms-office.activeX+xml"/>
  <Override PartName="/word/activeX/activeX18.bin" ContentType="application/vnd.ms-office.activeX"/>
  <Override PartName="/word/activeX/activeX18.xml" ContentType="application/vnd.ms-office.activeX+xml"/>
  <Override PartName="/word/activeX/activeX19.bin" ContentType="application/vnd.ms-office.activeX"/>
  <Override PartName="/word/activeX/activeX1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1.bin" ContentType="application/vnd.ms-office.activeX"/>
  <Override PartName="/word/activeX/activeX21.xml" ContentType="application/vnd.ms-office.activeX+xml"/>
  <Override PartName="/word/activeX/activeX22.bin" ContentType="application/vnd.ms-office.activeX"/>
  <Override PartName="/word/activeX/activeX22.xml" ContentType="application/vnd.ms-office.activeX+xml"/>
  <Override PartName="/word/activeX/activeX23.bin" ContentType="application/vnd.ms-office.activeX"/>
  <Override PartName="/word/activeX/activeX23.xml" ContentType="application/vnd.ms-office.activeX+xml"/>
  <Override PartName="/word/activeX/activeX24.bin" ContentType="application/vnd.ms-office.activeX"/>
  <Override PartName="/word/activeX/activeX24.xml" ContentType="application/vnd.ms-office.activeX+xml"/>
  <Override PartName="/word/activeX/activeX25.bin" ContentType="application/vnd.ms-office.activeX"/>
  <Override PartName="/word/activeX/activeX25.xml" ContentType="application/vnd.ms-office.activeX+xml"/>
  <Override PartName="/word/activeX/activeX26.bin" ContentType="application/vnd.ms-office.activeX"/>
  <Override PartName="/word/activeX/activeX26.xml" ContentType="application/vnd.ms-office.activeX+xml"/>
  <Override PartName="/word/activeX/activeX27.bin" ContentType="application/vnd.ms-office.activeX"/>
  <Override PartName="/word/activeX/activeX27.xml" ContentType="application/vnd.ms-office.activeX+xml"/>
  <Override PartName="/word/activeX/activeX28.bin" ContentType="application/vnd.ms-office.activeX"/>
  <Override PartName="/word/activeX/activeX28.xml" ContentType="application/vnd.ms-office.activeX+xml"/>
  <Override PartName="/word/activeX/activeX29.bin" ContentType="application/vnd.ms-office.activeX"/>
  <Override PartName="/word/activeX/activeX2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1.bin" ContentType="application/vnd.ms-office.activeX"/>
  <Override PartName="/word/activeX/activeX31.xml" ContentType="application/vnd.ms-office.activeX+xml"/>
  <Override PartName="/word/activeX/activeX32.bin" ContentType="application/vnd.ms-office.activeX"/>
  <Override PartName="/word/activeX/activeX32.xml" ContentType="application/vnd.ms-office.activeX+xml"/>
  <Override PartName="/word/activeX/activeX33.bin" ContentType="application/vnd.ms-office.activeX"/>
  <Override PartName="/word/activeX/activeX33.xml" ContentType="application/vnd.ms-office.activeX+xml"/>
  <Override PartName="/word/activeX/activeX34.bin" ContentType="application/vnd.ms-office.activeX"/>
  <Override PartName="/word/activeX/activeX34.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6"/>
        </w:rPr>
      </w:pPr>
      <w:bookmarkStart w:id="18" w:name="_GoBack"/>
      <w:bookmarkEnd w:id="18"/>
      <w:bookmarkStart w:id="0" w:name="_Toc508893799"/>
    </w:p>
    <w:p>
      <w:pPr>
        <w:rPr>
          <w:rFonts w:asciiTheme="majorEastAsia" w:hAnsiTheme="majorEastAsia" w:eastAsiaTheme="majorEastAsia"/>
          <w:b/>
          <w:sz w:val="36"/>
        </w:rPr>
      </w:pPr>
    </w:p>
    <w:p>
      <w:pPr>
        <w:rPr>
          <w:rFonts w:ascii="方正小标宋简体" w:hAnsi="方正小标宋简体" w:eastAsia="方正小标宋简体" w:cs="方正小标宋简体"/>
          <w:b/>
          <w:sz w:val="48"/>
          <w:szCs w:val="48"/>
        </w:rPr>
      </w:pPr>
    </w:p>
    <w:p>
      <w:pPr>
        <w:jc w:val="center"/>
        <w:rPr>
          <w:rFonts w:ascii="方正小标宋简体" w:hAnsi="方正小标宋简体" w:eastAsia="方正小标宋简体" w:cs="方正小标宋简体"/>
          <w:bCs/>
          <w:sz w:val="44"/>
          <w:szCs w:val="44"/>
        </w:rPr>
      </w:pPr>
      <w:r>
        <w:rPr>
          <w:rFonts w:hint="eastAsia" w:ascii="方正小标宋简体" w:hAnsi="方正小标宋简体" w:eastAsia="方正小标宋简体" w:cs="方正小标宋简体"/>
          <w:bCs/>
          <w:sz w:val="44"/>
          <w:szCs w:val="44"/>
        </w:rPr>
        <w:t>中国保险业保单登记管理信息平台</w:t>
      </w:r>
    </w:p>
    <w:bookmarkEnd w:id="0"/>
    <w:p>
      <w:pPr>
        <w:jc w:val="center"/>
        <w:rPr>
          <w:rFonts w:asciiTheme="majorEastAsia" w:hAnsiTheme="majorEastAsia" w:eastAsiaTheme="majorEastAsia"/>
          <w:bCs/>
          <w:sz w:val="44"/>
          <w:szCs w:val="44"/>
        </w:rPr>
      </w:pPr>
    </w:p>
    <w:p>
      <w:pPr>
        <w:jc w:val="center"/>
        <w:rPr>
          <w:rFonts w:asciiTheme="majorEastAsia" w:hAnsiTheme="majorEastAsia" w:eastAsiaTheme="majorEastAsia"/>
          <w:bCs/>
          <w:sz w:val="44"/>
          <w:szCs w:val="44"/>
        </w:rPr>
      </w:pPr>
      <w:r>
        <w:rPr>
          <w:rFonts w:hint="eastAsia" w:ascii="方正小标宋简体" w:hAnsi="方正小标宋简体" w:eastAsia="方正小标宋简体" w:cs="方正小标宋简体"/>
          <w:bCs/>
          <w:color w:val="000000"/>
          <w:spacing w:val="-4"/>
          <w:kern w:val="0"/>
          <w:sz w:val="44"/>
          <w:szCs w:val="44"/>
        </w:rPr>
        <w:t>数据模型</w:t>
      </w:r>
    </w:p>
    <w:p>
      <w:pPr>
        <w:jc w:val="center"/>
        <w:rPr>
          <w:rFonts w:asciiTheme="majorEastAsia" w:hAnsiTheme="majorEastAsia" w:eastAsiaTheme="majorEastAsia"/>
          <w:bCs/>
          <w:sz w:val="44"/>
          <w:szCs w:val="44"/>
        </w:rPr>
      </w:pPr>
    </w:p>
    <w:p>
      <w:pPr>
        <w:jc w:val="center"/>
        <w:rPr>
          <w:rFonts w:ascii="方正小标宋简体" w:hAnsi="方正小标宋简体" w:eastAsia="方正小标宋简体" w:cs="方正小标宋简体"/>
          <w:bCs/>
          <w:sz w:val="44"/>
          <w:szCs w:val="44"/>
        </w:rPr>
      </w:pPr>
      <w:bookmarkStart w:id="1" w:name="_Toc508893800"/>
      <w:r>
        <w:rPr>
          <w:rFonts w:hint="eastAsia" w:ascii="方正小标宋简体" w:hAnsi="方正小标宋简体" w:eastAsia="方正小标宋简体" w:cs="方正小标宋简体"/>
          <w:bCs/>
          <w:sz w:val="44"/>
          <w:szCs w:val="44"/>
        </w:rPr>
        <w:t>FAQ常见问题&amp;解决</w:t>
      </w:r>
    </w:p>
    <w:p>
      <w:pPr>
        <w:jc w:val="center"/>
        <w:rPr>
          <w:rFonts w:asciiTheme="majorEastAsia" w:hAnsiTheme="majorEastAsia" w:eastAsiaTheme="majorEastAsia"/>
          <w:b/>
          <w:sz w:val="36"/>
        </w:rPr>
      </w:pPr>
    </w:p>
    <w:p>
      <w:pPr>
        <w:spacing w:line="360" w:lineRule="auto"/>
        <w:jc w:val="center"/>
        <w:rPr>
          <w:rFonts w:ascii="方正小标宋简体" w:hAnsi="方正小标宋简体" w:eastAsia="方正小标宋简体" w:cs="方正小标宋简体"/>
          <w:bCs/>
          <w:sz w:val="40"/>
          <w:szCs w:val="40"/>
        </w:rPr>
      </w:pPr>
      <w:r>
        <w:rPr>
          <w:rFonts w:hint="eastAsia" w:ascii="方正小标宋简体" w:hAnsi="方正小标宋简体" w:eastAsia="方正小标宋简体" w:cs="方正小标宋简体"/>
          <w:bCs/>
          <w:sz w:val="40"/>
          <w:szCs w:val="40"/>
        </w:rPr>
        <w:t>（财产险）</w:t>
      </w:r>
      <w:bookmarkEnd w:id="1"/>
    </w:p>
    <w:p>
      <w:pPr>
        <w:spacing w:before="156" w:beforeLines="50" w:after="156" w:afterLines="50"/>
        <w:jc w:val="center"/>
        <w:rPr>
          <w:rFonts w:ascii="宋体" w:hAnsi="宋体" w:cs="Arial"/>
          <w:b/>
        </w:rPr>
      </w:pPr>
    </w:p>
    <w:p>
      <w:pPr>
        <w:spacing w:before="156" w:beforeLines="50" w:after="156" w:afterLines="50"/>
        <w:jc w:val="center"/>
        <w:rPr>
          <w:rFonts w:ascii="宋体" w:hAnsi="宋体" w:cs="Arial"/>
          <w:b/>
        </w:rPr>
      </w:pPr>
    </w:p>
    <w:p>
      <w:pPr>
        <w:spacing w:before="156" w:beforeLines="50" w:after="156" w:afterLines="50"/>
        <w:jc w:val="center"/>
        <w:rPr>
          <w:rFonts w:ascii="宋体" w:hAnsi="宋体" w:cs="Arial"/>
          <w:b/>
        </w:rPr>
      </w:pPr>
    </w:p>
    <w:p>
      <w:pPr>
        <w:spacing w:before="156" w:beforeLines="50" w:after="156" w:afterLines="50"/>
        <w:jc w:val="center"/>
        <w:rPr>
          <w:rFonts w:ascii="宋体" w:hAnsi="宋体" w:cs="Arial"/>
          <w:b/>
        </w:rPr>
      </w:pPr>
    </w:p>
    <w:p>
      <w:pPr>
        <w:spacing w:before="156" w:beforeLines="50" w:after="156" w:afterLines="50"/>
        <w:jc w:val="center"/>
        <w:rPr>
          <w:rFonts w:ascii="宋体" w:hAnsi="宋体" w:cs="Arial"/>
          <w:b/>
        </w:rPr>
      </w:pPr>
    </w:p>
    <w:p>
      <w:pPr>
        <w:spacing w:before="156" w:beforeLines="50" w:after="156" w:afterLines="50"/>
        <w:jc w:val="center"/>
        <w:rPr>
          <w:rFonts w:ascii="宋体" w:hAnsi="宋体" w:cs="Arial"/>
          <w:b/>
        </w:rPr>
      </w:pPr>
    </w:p>
    <w:p>
      <w:pPr>
        <w:spacing w:line="400" w:lineRule="exact"/>
        <w:jc w:val="center"/>
        <w:rPr>
          <w:rFonts w:ascii="宋体" w:hAnsi="宋体"/>
        </w:rPr>
      </w:pPr>
    </w:p>
    <w:p>
      <w:pPr>
        <w:spacing w:line="400" w:lineRule="exact"/>
        <w:jc w:val="center"/>
        <w:rPr>
          <w:rFonts w:ascii="宋体" w:hAnsi="宋体"/>
        </w:rPr>
      </w:pPr>
    </w:p>
    <w:p>
      <w:pPr>
        <w:spacing w:line="400" w:lineRule="exact"/>
        <w:jc w:val="center"/>
        <w:rPr>
          <w:rFonts w:ascii="宋体" w:hAnsi="宋体"/>
        </w:rPr>
      </w:pPr>
    </w:p>
    <w:p>
      <w:pPr>
        <w:spacing w:line="400" w:lineRule="exact"/>
        <w:rPr>
          <w:rFonts w:ascii="宋体" w:hAnsi="宋体"/>
          <w:b/>
          <w:sz w:val="28"/>
        </w:rPr>
      </w:pPr>
    </w:p>
    <w:p>
      <w:pPr>
        <w:spacing w:line="360" w:lineRule="auto"/>
        <w:jc w:val="center"/>
        <w:rPr>
          <w:rFonts w:asciiTheme="minorEastAsia" w:hAnsiTheme="minorEastAsia" w:eastAsiaTheme="minorEastAsia" w:cstheme="minorEastAsia"/>
          <w:b/>
          <w:sz w:val="36"/>
          <w:szCs w:val="36"/>
        </w:rPr>
      </w:pPr>
      <w:r>
        <w:rPr>
          <w:rFonts w:hint="eastAsia" w:asciiTheme="minorEastAsia" w:hAnsiTheme="minorEastAsia" w:eastAsiaTheme="minorEastAsia" w:cstheme="minorEastAsia"/>
          <w:b/>
          <w:sz w:val="36"/>
          <w:szCs w:val="36"/>
        </w:rPr>
        <w:t>2019年</w:t>
      </w:r>
      <w:r>
        <w:rPr>
          <w:rFonts w:hint="eastAsia" w:asciiTheme="minorEastAsia" w:hAnsiTheme="minorEastAsia" w:eastAsiaTheme="minorEastAsia" w:cstheme="minorEastAsia"/>
          <w:b/>
          <w:sz w:val="36"/>
          <w:szCs w:val="36"/>
          <w:lang w:val="en-US" w:eastAsia="zh-CN"/>
        </w:rPr>
        <w:t>10</w:t>
      </w:r>
      <w:r>
        <w:rPr>
          <w:rFonts w:hint="eastAsia" w:asciiTheme="minorEastAsia" w:hAnsiTheme="minorEastAsia" w:eastAsiaTheme="minorEastAsia" w:cstheme="minorEastAsia"/>
          <w:b/>
          <w:sz w:val="36"/>
          <w:szCs w:val="36"/>
        </w:rPr>
        <w:t>月</w:t>
      </w:r>
    </w:p>
    <w:p>
      <w:pPr>
        <w:spacing w:before="120" w:after="120" w:line="360" w:lineRule="auto"/>
        <w:rPr>
          <w:rFonts w:ascii="宋体" w:hAnsi="宋体"/>
          <w:b/>
          <w:sz w:val="36"/>
          <w:szCs w:val="36"/>
        </w:rPr>
      </w:pPr>
      <w:r>
        <w:rPr>
          <w:rFonts w:ascii="宋体" w:hAnsi="宋体"/>
          <w:b/>
        </w:rPr>
        <w:br w:type="page"/>
      </w:r>
    </w:p>
    <w:tbl>
      <w:tblPr>
        <w:tblStyle w:val="39"/>
        <w:tblW w:w="8630"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819"/>
        <w:gridCol w:w="772"/>
        <w:gridCol w:w="1313"/>
        <w:gridCol w:w="4733"/>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679" w:hRule="atLeast"/>
          <w:jc w:val="center"/>
        </w:trPr>
        <w:tc>
          <w:tcPr>
            <w:tcW w:w="8630" w:type="dxa"/>
            <w:gridSpan w:val="5"/>
            <w:vAlign w:val="center"/>
          </w:tcPr>
          <w:p>
            <w:pPr>
              <w:pStyle w:val="131"/>
              <w:tabs>
                <w:tab w:val="left" w:pos="180"/>
              </w:tabs>
              <w:spacing w:line="360" w:lineRule="auto"/>
              <w:jc w:val="center"/>
              <w:rPr>
                <w:color w:val="000000"/>
                <w:sz w:val="21"/>
              </w:rPr>
            </w:pPr>
            <w:r>
              <w:rPr>
                <w:rFonts w:hint="eastAsia"/>
                <w:color w:val="000000"/>
                <w:sz w:val="21"/>
              </w:rPr>
              <w:t>关于本文档</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709" w:hRule="atLeast"/>
          <w:jc w:val="center"/>
        </w:trPr>
        <w:tc>
          <w:tcPr>
            <w:tcW w:w="8630" w:type="dxa"/>
            <w:gridSpan w:val="5"/>
            <w:vAlign w:val="center"/>
          </w:tcPr>
          <w:p>
            <w:pPr>
              <w:pStyle w:val="131"/>
              <w:tabs>
                <w:tab w:val="left" w:pos="180"/>
              </w:tabs>
              <w:spacing w:line="360" w:lineRule="auto"/>
              <w:jc w:val="both"/>
              <w:rPr>
                <w:color w:val="000000"/>
                <w:sz w:val="21"/>
              </w:rPr>
            </w:pPr>
            <w:r>
              <w:rPr>
                <w:rFonts w:hint="eastAsia"/>
                <w:color w:val="000000"/>
                <w:sz w:val="20"/>
              </w:rPr>
              <w:t>说明：类型－创建（C）、修改（U）、删除（D）、增加（A）</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630" w:type="dxa"/>
            <w:gridSpan w:val="5"/>
            <w:shd w:val="pct10" w:color="auto" w:fill="auto"/>
          </w:tcPr>
          <w:p>
            <w:pPr>
              <w:pStyle w:val="131"/>
              <w:tabs>
                <w:tab w:val="left" w:pos="180"/>
              </w:tabs>
              <w:spacing w:line="360" w:lineRule="auto"/>
              <w:jc w:val="center"/>
              <w:rPr>
                <w:color w:val="000000"/>
                <w:sz w:val="21"/>
              </w:rPr>
            </w:pPr>
            <w:r>
              <w:rPr>
                <w:rFonts w:hint="eastAsia"/>
                <w:color w:val="000000"/>
                <w:sz w:val="21"/>
              </w:rPr>
              <w:t>修</w:t>
            </w:r>
            <w:r>
              <w:rPr>
                <w:color w:val="000000"/>
                <w:sz w:val="21"/>
              </w:rPr>
              <w:t xml:space="preserve"> </w:t>
            </w:r>
            <w:r>
              <w:rPr>
                <w:rFonts w:hint="eastAsia"/>
                <w:color w:val="000000"/>
                <w:sz w:val="21"/>
              </w:rPr>
              <w:t>订</w:t>
            </w:r>
            <w:r>
              <w:rPr>
                <w:color w:val="000000"/>
                <w:sz w:val="21"/>
              </w:rPr>
              <w:t xml:space="preserve"> </w:t>
            </w:r>
            <w:r>
              <w:rPr>
                <w:rFonts w:hint="eastAsia"/>
                <w:color w:val="000000"/>
                <w:sz w:val="21"/>
              </w:rPr>
              <w:t>历</w:t>
            </w:r>
            <w:r>
              <w:rPr>
                <w:color w:val="000000"/>
                <w:sz w:val="21"/>
              </w:rPr>
              <w:t xml:space="preserve"> </w:t>
            </w:r>
            <w:r>
              <w:rPr>
                <w:rFonts w:hint="eastAsia"/>
                <w:color w:val="000000"/>
                <w:sz w:val="21"/>
              </w:rPr>
              <w:t>史</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993" w:type="dxa"/>
            <w:shd w:val="pct10" w:color="auto" w:fill="auto"/>
          </w:tcPr>
          <w:p>
            <w:pPr>
              <w:pStyle w:val="131"/>
              <w:tabs>
                <w:tab w:val="left" w:pos="180"/>
              </w:tabs>
              <w:spacing w:line="360" w:lineRule="auto"/>
              <w:jc w:val="center"/>
              <w:rPr>
                <w:color w:val="000000"/>
                <w:sz w:val="21"/>
              </w:rPr>
            </w:pPr>
            <w:r>
              <w:rPr>
                <w:rFonts w:hint="eastAsia"/>
                <w:color w:val="000000"/>
                <w:sz w:val="21"/>
              </w:rPr>
              <w:t>版本</w:t>
            </w:r>
          </w:p>
        </w:tc>
        <w:tc>
          <w:tcPr>
            <w:tcW w:w="819" w:type="dxa"/>
            <w:shd w:val="pct10" w:color="auto" w:fill="auto"/>
          </w:tcPr>
          <w:p>
            <w:pPr>
              <w:pStyle w:val="131"/>
              <w:tabs>
                <w:tab w:val="left" w:pos="180"/>
              </w:tabs>
              <w:spacing w:line="360" w:lineRule="auto"/>
              <w:jc w:val="center"/>
              <w:rPr>
                <w:color w:val="000000"/>
                <w:sz w:val="21"/>
              </w:rPr>
            </w:pPr>
            <w:r>
              <w:rPr>
                <w:rFonts w:hint="eastAsia"/>
                <w:color w:val="000000"/>
                <w:sz w:val="21"/>
              </w:rPr>
              <w:t>章节</w:t>
            </w:r>
          </w:p>
        </w:tc>
        <w:tc>
          <w:tcPr>
            <w:tcW w:w="772" w:type="dxa"/>
            <w:shd w:val="pct10" w:color="auto" w:fill="auto"/>
          </w:tcPr>
          <w:p>
            <w:pPr>
              <w:pStyle w:val="131"/>
              <w:tabs>
                <w:tab w:val="left" w:pos="180"/>
              </w:tabs>
              <w:spacing w:line="360" w:lineRule="auto"/>
              <w:jc w:val="center"/>
              <w:rPr>
                <w:color w:val="000000"/>
                <w:sz w:val="21"/>
              </w:rPr>
            </w:pPr>
            <w:r>
              <w:rPr>
                <w:rFonts w:hint="eastAsia"/>
                <w:color w:val="000000"/>
                <w:sz w:val="21"/>
              </w:rPr>
              <w:t>类型</w:t>
            </w:r>
          </w:p>
        </w:tc>
        <w:tc>
          <w:tcPr>
            <w:tcW w:w="1313" w:type="dxa"/>
            <w:shd w:val="pct10" w:color="auto" w:fill="auto"/>
          </w:tcPr>
          <w:p>
            <w:pPr>
              <w:pStyle w:val="131"/>
              <w:tabs>
                <w:tab w:val="left" w:pos="180"/>
              </w:tabs>
              <w:spacing w:line="360" w:lineRule="auto"/>
              <w:jc w:val="center"/>
              <w:rPr>
                <w:color w:val="000000"/>
                <w:sz w:val="21"/>
              </w:rPr>
            </w:pPr>
            <w:r>
              <w:rPr>
                <w:rFonts w:hint="eastAsia"/>
                <w:color w:val="000000"/>
                <w:sz w:val="21"/>
              </w:rPr>
              <w:t>修订日期</w:t>
            </w:r>
          </w:p>
        </w:tc>
        <w:tc>
          <w:tcPr>
            <w:tcW w:w="4733" w:type="dxa"/>
            <w:shd w:val="pct10" w:color="auto" w:fill="auto"/>
            <w:vAlign w:val="center"/>
          </w:tcPr>
          <w:p>
            <w:pPr>
              <w:pStyle w:val="131"/>
              <w:tabs>
                <w:tab w:val="left" w:pos="180"/>
              </w:tabs>
              <w:spacing w:line="360" w:lineRule="auto"/>
              <w:jc w:val="center"/>
              <w:rPr>
                <w:color w:val="000000"/>
                <w:sz w:val="21"/>
              </w:rPr>
            </w:pPr>
            <w:r>
              <w:rPr>
                <w:rFonts w:hint="eastAsia"/>
                <w:color w:val="000000"/>
                <w:sz w:val="21"/>
              </w:rPr>
              <w:t>修订说明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sz w:val="20"/>
                <w:szCs w:val="20"/>
              </w:rPr>
              <w:t>2018-06-29</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新增/第四篇/常见运营问题篇：29.历史数据完成确认书应当在什么时候提交？</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2018-06-29</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新增/第四篇/常见运营问题篇30.平台三期增补的保险分支机构格式和要求？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sz w:val="20"/>
                <w:szCs w:val="20"/>
              </w:rPr>
              <w:t>2018-06-29</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新增/第四篇/常见运营问题篇：31.三期生产环境存量据上报时间提前的流程？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2018-07-10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新增/第一篇/2-2数据模型和取数口径说明及要求(财)标黄部分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2018-07-10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 xml:space="preserve">新增/第一篇/2-3 业务代码(财) </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5.CD000026财产险出险原因代码</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22.CD000275占用性质代码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2018-07-10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 xml:space="preserve">新增/第一篇/2-7 保险公司业务代码映射关系(财) </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5.CD000026财产险出险原因代码</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22.CD000275占用性质代码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2018-07-10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新增/第一篇/保单登记三期财产险数据载入自查规则</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1. PRP_3rd_P_F_I_000906</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9. PRP_3rd_P_F_I_005606</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10. PRP_3rd_P_F_O_001161</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11. PRP_3rd_P_F_O_000965</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2018-08-30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新增/第一篇/2-2数据模型和取数口径说明及要求(财)</w:t>
            </w:r>
          </w:p>
          <w:p>
            <w:pPr>
              <w:pStyle w:val="52"/>
              <w:numPr>
                <w:ilvl w:val="255"/>
                <w:numId w:val="0"/>
              </w:num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1.保单交易表(ProCTransaction)：“保费交易期次”（transactiontimes）字段类型修改为numeric；</w:t>
            </w:r>
          </w:p>
          <w:p>
            <w:pPr>
              <w:pStyle w:val="52"/>
              <w:ind w:firstLine="0" w:firstLineChars="0"/>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2.20.货运险_通用货物标的信息表:“货物明细名称”（ItemDetailName）字段类型修改为VARCHAR2(4000)；</w:t>
            </w:r>
          </w:p>
          <w:p>
            <w:pPr>
              <w:pStyle w:val="52"/>
              <w:numPr>
                <w:ilvl w:val="255"/>
                <w:numId w:val="0"/>
              </w:num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3.80.建筑工程质量责任险_工程信息表(ProCitem_ZR_Construction)：工程序号（serialno）字段类型修改为numeric；免赔期（deductperiod）字段类型修改为numeric；</w:t>
            </w:r>
          </w:p>
          <w:p>
            <w:pPr>
              <w:pStyle w:val="52"/>
              <w:numPr>
                <w:ilvl w:val="255"/>
                <w:numId w:val="0"/>
              </w:num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4.104.理赔明细信息表:“受损标的名称”（LossItemName）字段类型修改为VARCHAR2(255)；</w:t>
            </w:r>
          </w:p>
          <w:p>
            <w:pPr>
              <w:pStyle w:val="52"/>
              <w:numPr>
                <w:ilvl w:val="255"/>
                <w:numId w:val="0"/>
              </w:num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5.135.保险公司从业人员信息表(ProCSales):“业务职级名称”（BusinessRankName）字段类型修改为VARCHAR2(200)。</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2018-08-30</w:t>
            </w:r>
          </w:p>
        </w:tc>
        <w:tc>
          <w:tcPr>
            <w:tcW w:w="4733" w:type="dxa"/>
            <w:shd w:val="clear" w:color="auto" w:fill="FFFFFF"/>
            <w:vAlign w:val="center"/>
          </w:tcPr>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新增/第二篇/常见业务问题篇/再保模块：</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对于有一些历史数据当时分出公司写成了经纪公司。请问如何处理比较合适？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2018-08-30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新增/第四篇/常见运营问题篇：</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32.关于再保模块因系统建设问题造成延期报送的申请流程及要求</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33.出现“该批次处理完成，数据校验处理，数据交易条数与报文交易条数不一致”的提示，应如何处理？</w:t>
            </w:r>
          </w:p>
          <w:p>
            <w:pP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34.关于问题咨询的补充说明</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35.关于平台二三期阶段时间内并行的补充说明</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36.关于再保模块延期的补充说明</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37.关于运维平台提交工单的补充说明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sz w:val="20"/>
                <w:szCs w:val="20"/>
              </w:rPr>
              <w:t>新增/第二篇/常见业务问题篇/一、保单模块</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kern w:val="0"/>
                <w:sz w:val="20"/>
                <w:szCs w:val="20"/>
              </w:rPr>
              <w:t>20</w:t>
            </w:r>
            <w:r>
              <w:rPr>
                <w:rFonts w:hint="eastAsia" w:asciiTheme="minorEastAsia" w:hAnsiTheme="minorEastAsia" w:cstheme="minorEastAsia"/>
                <w:color w:val="000000"/>
                <w:sz w:val="20"/>
                <w:szCs w:val="20"/>
              </w:rPr>
              <w:t>. 大团单下的自然人被保险人人数过万；在“新单承保”时已经上报了该保单的“保单自然人被保险人信息”，是否可在“批改”时不再报送“保单自然人被保险人信息”？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新增/第三篇/常见技术问题篇/六、常见技术问题解答</w:t>
            </w:r>
          </w:p>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51.对于数据入库装载时返回错误处理的几点建议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kern w:val="0"/>
                <w:sz w:val="20"/>
                <w:szCs w:val="20"/>
              </w:rPr>
              <w:t>新增/第四篇/常见运营问题篇：38．出现“该批次处理完成，数据校验处理，数据交易条数与报文交易条数不一致”时，在运维平台上传附件的范本。</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tcBorders>
              <w:bottom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V2.8</w:t>
            </w:r>
          </w:p>
        </w:tc>
        <w:tc>
          <w:tcPr>
            <w:tcW w:w="819" w:type="dxa"/>
            <w:tcBorders>
              <w:bottom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tcBorders>
              <w:bottom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tcBorders>
              <w:bottom w:val="single" w:color="auto" w:sz="4" w:space="0"/>
            </w:tcBorders>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2018-09-30</w:t>
            </w:r>
          </w:p>
        </w:tc>
        <w:tc>
          <w:tcPr>
            <w:tcW w:w="4733" w:type="dxa"/>
            <w:tcBorders>
              <w:bottom w:val="single" w:color="auto" w:sz="4" w:space="0"/>
            </w:tcBorders>
            <w:shd w:val="clear" w:color="auto" w:fill="FFFFFF"/>
            <w:vAlign w:val="center"/>
          </w:tcPr>
          <w:p>
            <w:pPr>
              <w:widowControl/>
              <w:shd w:val="clear" w:color="auto" w:fill="FFFFFF"/>
              <w:spacing w:line="360" w:lineRule="atLeast"/>
              <w:rPr>
                <w:rFonts w:asciiTheme="minorEastAsia" w:hAnsiTheme="minorEastAsia" w:cstheme="minorEastAsia"/>
                <w:color w:val="000000"/>
                <w:sz w:val="20"/>
                <w:szCs w:val="20"/>
              </w:rPr>
            </w:pPr>
            <w:r>
              <w:rPr>
                <w:rFonts w:hint="eastAsia" w:asciiTheme="minorEastAsia" w:hAnsiTheme="minorEastAsia" w:cstheme="minorEastAsia"/>
                <w:color w:val="000000"/>
                <w:kern w:val="0"/>
                <w:sz w:val="20"/>
                <w:szCs w:val="20"/>
              </w:rPr>
              <w:t>新增/第四篇/常见运营问题篇：39．在运维平台提交“数据装载中”类似问题时,需要提交什么附件？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tcBorders>
              <w:top w:val="single" w:color="auto" w:sz="4" w:space="0"/>
              <w:left w:val="double" w:color="auto" w:sz="4" w:space="0"/>
              <w:bottom w:val="single" w:color="auto" w:sz="4" w:space="0"/>
              <w:right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V2.9</w:t>
            </w:r>
          </w:p>
        </w:tc>
        <w:tc>
          <w:tcPr>
            <w:tcW w:w="819"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A/U</w:t>
            </w:r>
          </w:p>
        </w:tc>
        <w:tc>
          <w:tcPr>
            <w:tcW w:w="131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2018-10-29</w:t>
            </w:r>
          </w:p>
        </w:tc>
        <w:tc>
          <w:tcPr>
            <w:tcW w:w="4733" w:type="dxa"/>
            <w:tcBorders>
              <w:top w:val="single" w:color="auto" w:sz="4" w:space="0"/>
              <w:left w:val="single" w:color="auto" w:sz="4" w:space="0"/>
              <w:bottom w:val="single" w:color="auto" w:sz="4" w:space="0"/>
              <w:right w:val="double" w:color="auto" w:sz="4" w:space="0"/>
            </w:tcBorders>
            <w:shd w:val="clear" w:color="auto" w:fill="FFFFFF"/>
            <w:vAlign w:val="center"/>
          </w:tcPr>
          <w:p>
            <w:pP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新增/第一篇/二、2-3业务代码表（财）：</w:t>
            </w:r>
          </w:p>
          <w:p>
            <w:pP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1.CD000004个人身份证件类型代码:码值新增、修改</w:t>
            </w:r>
          </w:p>
          <w:p>
            <w:pP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2.CD000212财产险赔案费用类型代码：码值修改</w:t>
            </w:r>
          </w:p>
          <w:p>
            <w:pP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3.CD000142人身险伤残代码：码值新增</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tcBorders>
              <w:top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V2.9</w:t>
            </w:r>
          </w:p>
        </w:tc>
        <w:tc>
          <w:tcPr>
            <w:tcW w:w="819" w:type="dxa"/>
            <w:tcBorders>
              <w:top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tcBorders>
              <w:top w:val="single" w:color="auto" w:sz="4" w:space="0"/>
            </w:tcBorders>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tcBorders>
              <w:top w:val="single" w:color="auto" w:sz="4" w:space="0"/>
            </w:tcBorders>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2018-10-26</w:t>
            </w:r>
          </w:p>
        </w:tc>
        <w:tc>
          <w:tcPr>
            <w:tcW w:w="4733" w:type="dxa"/>
            <w:tcBorders>
              <w:top w:val="single" w:color="auto" w:sz="4" w:space="0"/>
            </w:tcBorders>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52.关于保单登记平台保险公司端SFTP连接情况监控和服务器空间维护的通知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2018-10-26</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53.批次上传后，查询结果平台返回报文显示一直在装载中问题的特别说明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2018-10-26</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54.关于保单登记平台三期影像文件报送要求的说明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2018-10-26</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40.收到平台发送的“增量未按T+1”邮件应如何处理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21.在报送存量和增量数据的批改业务时，是报历次的批改记录还是报当次批改最新的记录？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55.批次上传后，查询结果始终为“批次装载中”的原因是什么？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6.数据修正需要提交哪些材料？</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修改/第四篇/常见运营问题篇：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17.</w:t>
            </w:r>
            <w:r>
              <w:rPr>
                <w:rFonts w:hint="eastAsia" w:asciiTheme="minorEastAsia" w:hAnsiTheme="minorEastAsia" w:eastAsiaTheme="minorEastAsia" w:cstheme="minorEastAsia"/>
                <w:sz w:val="20"/>
                <w:szCs w:val="20"/>
              </w:rPr>
              <w:t>保单交易表中的交易编码字段-说明解释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41.关于保险分支机构代码增补申请的注意事项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42.保单登记平台三期数据修正支持什么类型？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43.关于平台对接联系人及联系方式变更的通知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44.保单登记平台邮件主题规范的通知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V2.10</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2018-11-28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10.保单登记平台对接联系人信息表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tabs>
                <w:tab w:val="left" w:pos="575"/>
              </w:tabs>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新增/第一篇：文档勘误修订篇/二、2-3业务代码（财）：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26.CD000383船舶种类代码：本次增补35项。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新增/第一篇：文档勘误修订篇/二、2-3业务代码（财）：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29.CD000142人身险伤残代码：本次增补34项。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新增/第二篇：常见业务问题篇/一、保单模块</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22.保单基本信息表中“统保编号”的定义及应该如何报送？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新增/第二篇：常见业务问题篇/九、其他</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11.数据装载结果返回：“疾病代码有效性校验失败”，应如何处理？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新增/第二篇：常见业务问题篇/九、其他</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12.数据装载结果返回：“损伤外部原因代码有效性校验失败”，应如何处理？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sz w:val="20"/>
                <w:szCs w:val="20"/>
              </w:rPr>
            </w:pPr>
            <w:r>
              <w:rPr>
                <w:rFonts w:hint="eastAsia" w:asciiTheme="minorEastAsia" w:hAnsiTheme="minorEastAsia" w:cstheme="minorEastAsia"/>
                <w:color w:val="000000"/>
                <w:sz w:val="20"/>
                <w:szCs w:val="20"/>
              </w:rPr>
              <w:t>2018-12-29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新增/第二篇：常见业务问题篇/九、其他</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13.轻症重疾在“人身险责任类别代码”中对应项应该属重大疾病还是属特定疾病？</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54.关于保单登记平台三期影像文件报送要求的说明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42.保单登记平台三期数据修正支持什么类型？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45.关于保单登记平台增量报送监控的通知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V2.11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2018-12-27</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b/>
                <w:bCs/>
                <w:color w:val="000000"/>
                <w:kern w:val="0"/>
                <w:sz w:val="20"/>
                <w:szCs w:val="20"/>
              </w:rPr>
            </w:pPr>
            <w:r>
              <w:rPr>
                <w:rFonts w:hint="eastAsia" w:asciiTheme="minorEastAsia" w:hAnsiTheme="minorEastAsia" w:cstheme="minorEastAsia"/>
                <w:color w:val="000000"/>
                <w:kern w:val="0"/>
                <w:sz w:val="20"/>
                <w:szCs w:val="20"/>
              </w:rPr>
              <w:t>46.关于批次处理结果邮件通知服务启用的公告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新增/第一篇：文档勘误修订篇/二、2-3业务代码（财）：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3.CD000020批改类型代码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33.正式报送明细对账要求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47.对未能找到错误原因的批次如何处理？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48.关于保单登记平台三期数据修正的通知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49.关于提交数据修正申请的补充说明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50.装载结果查询返回报文中的状态码与中文描述不一致，应以哪个为准？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V3.1</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2019-1-30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11.中国保险业保单登记管理信息平台（三期）数据修正申请单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V3.2</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2019-2-28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51.关于保单登记平台特殊业务场景报备表更新的补充说明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V3.2</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2019-2-28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3.保单登记平台特殊业务场景报备表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V3.2</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2019-2-28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11.保单登记平台特殊业务场景报备说明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V3.2</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2019-2-28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12.保单登记平台特殊业务场景报备表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新增/第一篇：文档勘误修订篇/一、2-2 数据模型和取数口径说明及要求（财）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140.城乡居民住宅地震巨灾保险数据报送要求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新增/第一篇：文档勘误修订篇/二、2-3业务代码（财）：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3.CD000020 批改类型代码（更新（4））</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新增/第一篇：文档勘误修订篇/二、2-3业务代码（财）：</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30.CD000242 财产险数量单位代码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52.保单登记平台数据报送完整性自核指标及计算方法（财产险公司）</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53.数据报送完整性对比报告的提交要求及主题规范</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13.保单登记管理信息平台数据报送完整性比对报告（财产险公司）</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V3.3</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2019-3-29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1.保单登记平台领导小组信息表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54.数据脱敏后，以“*”号来代替，但却会导致装载失败，如何解决？</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44什么情况下需要提交对接联系人及联系方式的变更？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45数据报送完整性对比报告可以复用上月盖章报告吗？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41．关于保单登记平台特殊业务场景报备表更新的补充说明/</w:t>
            </w:r>
            <w:r>
              <w:rPr>
                <w:rFonts w:hint="eastAsia" w:asciiTheme="minorEastAsia" w:hAnsiTheme="minorEastAsia" w:cstheme="minorEastAsia"/>
                <w:sz w:val="20"/>
                <w:szCs w:val="20"/>
              </w:rPr>
              <w:t>新增第e条。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删除/第三篇/常见技术问题篇/六、常见技术问题解答</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55.批次上传后，查询结果始终为“批次装载中”的原因是什么？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12.保单登记平台数据治理特殊业务场景报备表的说明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13.关于保单登记平台数据治理相关文档提交方式的说明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15.关于保单登记平台数据修正申请任务的通知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28.关于三期正式环境上线前系统验证反馈表的补充说明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29.历史数据完成确认书应当在什么时候提交</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31.三期生产环境上报时间提前的流程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32.关于再保模块因系统建设问题造成延期报送的申请流程及要求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35.关于平台二三期阶段时间内并行的补充说明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36.关于再保模块延期的补充说明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2.运维服务平台修正申请单（二期）</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V3.4</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第五篇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2019-4-29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删除/第五篇/附件篇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8.历史数据上传完成确认书</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45.出现“数据校验处理，数据交易条数与报文交易条数不一致”问题的补充说明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w:t>
            </w:r>
          </w:p>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46.应如何根据数据装载返回的错误文件内容进行重补报数据？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宋体" w:hAnsi="宋体" w:cs="宋体"/>
                <w:color w:val="000000"/>
                <w:kern w:val="0"/>
                <w:sz w:val="20"/>
                <w:szCs w:val="20"/>
              </w:rPr>
              <w:t>删除/第一篇/文档勘误修订篇：（三）/1.第六章切换事项1</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第一篇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宋体" w:hAnsi="宋体" w:cs="宋体"/>
                <w:color w:val="000000"/>
                <w:kern w:val="0"/>
                <w:sz w:val="20"/>
                <w:szCs w:val="20"/>
              </w:rPr>
              <w:t>删除/第一篇/文档勘误修订篇：（三）/2.第六章切换事项2</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宋体" w:hAnsi="宋体" w:cs="宋体"/>
                <w:color w:val="000000"/>
                <w:kern w:val="0"/>
                <w:sz w:val="20"/>
                <w:szCs w:val="20"/>
              </w:rPr>
              <w:t>删除/第二篇/常见业务问题篇：（九）/1.三期的模型中既包含二期调整，也包含三期新增字段，对于调整和新增的内容，二期产品范围内的业务数据是否需要补充报送？三期存量报送过程中，是否包括二期已报送的数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宋体" w:hAnsi="宋体" w:cs="宋体"/>
                <w:color w:val="000000"/>
                <w:kern w:val="0"/>
                <w:sz w:val="20"/>
                <w:szCs w:val="20"/>
              </w:rPr>
              <w:t>删除/第二篇/常见业务问题篇：（九）/2.假设保险公司在2018年9月1日前已经完成三期存量数据报送，那么二期和三期范围内的增量数据是否都按照三期模型进行报送？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宋体" w:hAnsi="宋体" w:cs="宋体"/>
                <w:color w:val="000000"/>
                <w:kern w:val="0"/>
                <w:sz w:val="20"/>
                <w:szCs w:val="20"/>
              </w:rPr>
              <w:t>删除/第三篇/常见技术问题篇：（六）/21.上传通知的返回报文中，同一批次的多个通知返回的查询No是否相同，是一个批次号一个查询号，还是每个接口一个查询号？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删除/第四篇/常见运营问题篇/22.三期上线后，二期增量数据是否还需按T+1上报？具体安排是什么？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V3.5</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2019-5-30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修改/第二篇/</w:t>
            </w:r>
            <w:r>
              <w:rPr>
                <w:rFonts w:hint="eastAsia" w:ascii="宋体" w:hAnsi="宋体" w:cs="宋体"/>
                <w:color w:val="000000"/>
                <w:kern w:val="0"/>
                <w:sz w:val="20"/>
                <w:szCs w:val="20"/>
              </w:rPr>
              <w:t>常见业务问题篇：（一）/11.对于联共保的业务，作为从方的保险公司需要上报保单信息吗？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2019-6-28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新增/第二篇/常见业务问题篇：（一）/23.若存在少部分业务无法映射到现有的特殊业务代码时，应如何报送特殊业务代码和特殊业务标志？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2019-6-28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新增/第二篇/常见业务问题篇：（一）/24.针对涉及多种标的表的组合险产品，应该如何报送？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V3.6</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U</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2019-6-28</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修改/第四篇/常见运营问题篇/23.平台三期增补的保险分支机构格式和要求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删除/第三篇/常见技术问题篇/12.一天内报送的业务交易，应该是昨天发生的交易，也可能包括零星的前天交易，这会不会影响汇总对账？</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删除/第三篇/常见技术问题篇/13.对账请求通知只能在00：00～06：00，不能在其它时段发送？查询请求的发送有时间窗口的要求吗？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删除/第三篇/常见技术问题篇/14.明细对账文件和 汇总对账之前的上传的增量文件有什么区别？</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删除/第三篇/常见技术问题篇/15.明细对账文件内交易表中的 批次号需要改为DET 吗？还是只要修改文件名中批次号为DET？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删除/第三篇/常见技术问题篇/16.存量报送后，是否要进行存量对账。若是是否只能采用在线汇总对账模式。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删除/第三篇/常见技术问题篇/17.如果存量的汇总对账不成功，还要重新报送存量数据？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18.问题举例：假如2015年11月26日有一笔正常的增量交易（假如100条交易），然后也有一笔2015年10月1日的重报交易（假如重报20条交易，10月1日当天有80条增量交易），那么对应26日的对账，对账总数是100（26日增量）+20（10月1日重报）=120条，还是100（26日增量）+20（10月1日重报）+80（10月1日增量数据）=200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删除/第三篇/常见技术问题篇/20.汇总对账请求报文示例中的KPISet节点结束标签没有/。</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删除/第三篇/常见技术问题篇/28.明细对账上传成功通知：报文说明中的明细号为SerialNo，示例报文中为BatchNo？</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删除/第三篇/常见技术问题篇/29.请求报文中交易日期和条数是否取最大批次的交易日期和条数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删除/第三篇/常见技术问题篇/30.汇总对账请求报文,当类型选择M或Y时，报文里对应的开始/结束时间格式为yyyy-mm或yyyy</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删除/第三篇/常见技术问题篇/31.明细对账返回批次处理结果datastatus</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删除/第三篇/常见技术问题篇/35.汇总对账，已确定对账周期为D，PeriodValue为对账日期（T+2日)，还是所对账数据的日期（T日）。StartDate、EndDate是否对应PeriodValue日期，同为T+2日，还是T日。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删除/第三篇/常见技术问题篇/36.明细对账数据上传成功通知，假设某天发了3个zip包去平台了。明细对账的时候，同样也会传3个包，那么明细对账的通知也是3条吗？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删除/第三篇/常见技术问题篇/37.汇总对账的交互报文，返回结果中很多为零，请帮忙查看原因</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删除/第三篇/常见技术问题篇/40.目前下发的IP为测试环境，正式生产环境是否还会下发新的IP？</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删除/第三篇/常见技术问题篇/42.对账只是对那些报成功的数据？还是所有报送的数据都要对账？</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删除/第三篇/常见技术问题篇/43.明细对账数据报送，根据文档：“明细对账文件中的数据需要与之前上报成功的数据完全一致（包括交易编码与批次号）”。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删除/第四篇/常见运营问题篇/3.是否只有在明细对账失败后才会重报？重报时的交易编码是否可以与之前的不一样？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删除/第四篇/常见运营问题篇/18.汇总对账应在批次数据什么样的状态下才需发起？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新增/第四篇/常见运营问题篇/45.在运维平台提交“非修正类”问题工单时,应注意什么？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新增/第四篇/常见运营问题篇/46.数据汇总对账流程说明及共性问题解决方案。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V3.7</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2019-7-29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新增/第四篇/常见运营问题篇/47.数据明细对账流程说明及共性问题解决方案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删除/第三篇/常见技术问题篇/13.手工处理或者调整的历史数据，是通过每天增量的方式报送？还是通过补报的方式报送？是只报调整部分还是报保单完整信息？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删除/第三篇/常见技术问题篇/20.有些txt文件中保信调试bug，似乎与他们规定的“ü  列分隔符“|””有直接关系。比如昨天的，我们发现有些字段我们数据表本身就存在有“|”信息，或“\”(转义符？)，中保信系统可能认为是他们的字符了，造成导出字符多，或少的现象。请问这种情况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删除/第四篇/常见运营问题篇/15.查询批次装载状态时，当出现返回报文中的状态码和中文描述不一致时，应以哪个为准？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删除/第四篇/常见运营问题篇/26.收到平台发送的“增量未按T+1”邮件应如何处理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第三篇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新增/第三篇/常见技术问题篇/34.导致“数据文件不符合要求”的特殊字符有哪些？</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V3.8</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2019-8-29</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新增/第四篇/常见运营问题篇/46.报文提示“此类型已到达今日上传次数”怎么处理？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第二篇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D</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删除/第二篇/常见业务问题篇/(九）其他/4.对于模型中可空字段，保险公司没有采集对应的数据，应如何报送？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新增/第四篇/常见运营问题篇/47.上传报文已交互，发现数据有问题应如何处理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新增/第四篇/常见运营问题篇/48.如何正确理解平台返回报文的装载信息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V3.9</w:t>
            </w:r>
          </w:p>
        </w:tc>
        <w:tc>
          <w:tcPr>
            <w:tcW w:w="819"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第四篇</w:t>
            </w:r>
          </w:p>
        </w:tc>
        <w:tc>
          <w:tcPr>
            <w:tcW w:w="772"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A</w:t>
            </w:r>
          </w:p>
        </w:tc>
        <w:tc>
          <w:tcPr>
            <w:tcW w:w="1313" w:type="dxa"/>
            <w:shd w:val="clear" w:color="auto" w:fill="FFFFFF"/>
            <w:vAlign w:val="center"/>
          </w:tcPr>
          <w:p>
            <w:pPr>
              <w:jc w:val="center"/>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2019-9-30</w:t>
            </w:r>
          </w:p>
        </w:tc>
        <w:tc>
          <w:tcPr>
            <w:tcW w:w="4733" w:type="dxa"/>
            <w:shd w:val="clear" w:color="auto" w:fill="FFFFFF"/>
            <w:vAlign w:val="center"/>
          </w:tcPr>
          <w:p>
            <w:pPr>
              <w:widowControl/>
              <w:shd w:val="clear" w:color="auto" w:fill="FFFFFF"/>
              <w:spacing w:line="360" w:lineRule="atLeast"/>
              <w:rPr>
                <w:rFonts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rPr>
              <w:t>新增/第四篇/常见运营问题篇/49.数据在装载中，发现数据有问题应如何处理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V3.10</w:t>
            </w:r>
          </w:p>
        </w:tc>
        <w:tc>
          <w:tcPr>
            <w:tcW w:w="819" w:type="dxa"/>
            <w:shd w:val="clear" w:color="auto" w:fill="FFFFFF"/>
            <w:vAlign w:val="center"/>
          </w:tcPr>
          <w:p>
            <w:pPr>
              <w:jc w:val="center"/>
              <w:rPr>
                <w:rFonts w:hint="eastAsia" w:eastAsia="宋体" w:asciiTheme="minorEastAsia" w:hAnsiTheme="minorEastAsia" w:cstheme="minorEastAsia"/>
                <w:color w:val="000000"/>
                <w:kern w:val="0"/>
                <w:sz w:val="20"/>
                <w:szCs w:val="20"/>
                <w:lang w:eastAsia="zh-CN"/>
              </w:rPr>
            </w:pPr>
            <w:r>
              <w:rPr>
                <w:rFonts w:hint="eastAsia" w:asciiTheme="minorEastAsia" w:hAnsiTheme="minorEastAsia" w:cstheme="minorEastAsia"/>
                <w:color w:val="000000"/>
                <w:kern w:val="0"/>
                <w:sz w:val="20"/>
                <w:szCs w:val="20"/>
                <w:lang w:eastAsia="zh-CN"/>
              </w:rPr>
              <w:t>第四篇</w:t>
            </w:r>
          </w:p>
        </w:tc>
        <w:tc>
          <w:tcPr>
            <w:tcW w:w="772" w:type="dxa"/>
            <w:shd w:val="clear" w:color="auto" w:fill="FFFFFF"/>
            <w:vAlign w:val="center"/>
          </w:tcPr>
          <w:p>
            <w:pPr>
              <w:jc w:val="center"/>
              <w:rPr>
                <w:rFonts w:hint="eastAsia"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A</w:t>
            </w:r>
          </w:p>
        </w:tc>
        <w:tc>
          <w:tcPr>
            <w:tcW w:w="1313" w:type="dxa"/>
            <w:shd w:val="clear" w:color="auto" w:fill="FFFFFF"/>
            <w:vAlign w:val="center"/>
          </w:tcPr>
          <w:p>
            <w:pPr>
              <w:jc w:val="center"/>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2019-10-30</w:t>
            </w:r>
          </w:p>
        </w:tc>
        <w:tc>
          <w:tcPr>
            <w:tcW w:w="4733" w:type="dxa"/>
            <w:shd w:val="clear" w:color="auto" w:fill="FFFFFF"/>
            <w:vAlign w:val="center"/>
          </w:tcPr>
          <w:p>
            <w:pPr>
              <w:widowControl/>
              <w:shd w:val="clear" w:color="auto" w:fill="FFFFFF"/>
              <w:spacing w:line="360" w:lineRule="atLeast"/>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新增/第四篇/常见运营问题篇/50.保单登记平台邮箱变更通知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V3.10</w:t>
            </w:r>
          </w:p>
        </w:tc>
        <w:tc>
          <w:tcPr>
            <w:tcW w:w="819"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eastAsia="zh-CN"/>
              </w:rPr>
              <w:t>第四篇</w:t>
            </w:r>
          </w:p>
        </w:tc>
        <w:tc>
          <w:tcPr>
            <w:tcW w:w="772"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A</w:t>
            </w:r>
          </w:p>
        </w:tc>
        <w:tc>
          <w:tcPr>
            <w:tcW w:w="1313"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2019-10-30</w:t>
            </w:r>
          </w:p>
        </w:tc>
        <w:tc>
          <w:tcPr>
            <w:tcW w:w="4733" w:type="dxa"/>
            <w:shd w:val="clear" w:color="auto" w:fill="FFFFFF"/>
            <w:vAlign w:val="center"/>
          </w:tcPr>
          <w:p>
            <w:pPr>
              <w:widowControl/>
              <w:shd w:val="clear" w:color="auto" w:fill="FFFFFF"/>
              <w:spacing w:line="360" w:lineRule="atLeast"/>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新增/第四篇/常见运营问题篇/51.保单登记领导小组信息表初次填写及变更时的补充说明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V3.10</w:t>
            </w:r>
          </w:p>
        </w:tc>
        <w:tc>
          <w:tcPr>
            <w:tcW w:w="819"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eastAsia="zh-CN"/>
              </w:rPr>
              <w:t>第四篇</w:t>
            </w:r>
          </w:p>
        </w:tc>
        <w:tc>
          <w:tcPr>
            <w:tcW w:w="772"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A</w:t>
            </w:r>
          </w:p>
        </w:tc>
        <w:tc>
          <w:tcPr>
            <w:tcW w:w="1313" w:type="dxa"/>
            <w:shd w:val="clear" w:color="auto" w:fill="FFFFFF"/>
            <w:vAlign w:val="center"/>
          </w:tcPr>
          <w:p>
            <w:pPr>
              <w:jc w:val="center"/>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2019-10-30</w:t>
            </w:r>
          </w:p>
        </w:tc>
        <w:tc>
          <w:tcPr>
            <w:tcW w:w="4733" w:type="dxa"/>
            <w:shd w:val="clear" w:color="auto" w:fill="FFFFFF"/>
            <w:vAlign w:val="center"/>
          </w:tcPr>
          <w:p>
            <w:pPr>
              <w:widowControl/>
              <w:shd w:val="clear" w:color="auto" w:fill="FFFFFF"/>
              <w:spacing w:line="360" w:lineRule="atLeast"/>
              <w:rPr>
                <w:rFonts w:hint="eastAsia" w:asciiTheme="minorEastAsia" w:hAnsiTheme="minorEastAsia" w:cstheme="minorEastAsia"/>
                <w:color w:val="000000"/>
                <w:kern w:val="0"/>
                <w:sz w:val="20"/>
                <w:szCs w:val="20"/>
              </w:rPr>
            </w:pPr>
            <w:r>
              <w:rPr>
                <w:rFonts w:hint="eastAsia" w:asciiTheme="minorEastAsia" w:hAnsiTheme="minorEastAsia" w:cstheme="minorEastAsia"/>
                <w:color w:val="000000"/>
                <w:kern w:val="0"/>
                <w:sz w:val="20"/>
                <w:szCs w:val="20"/>
                <w:lang w:val="en-US" w:eastAsia="zh-CN"/>
              </w:rPr>
              <w:t>新增/第四篇/常见运营问题篇/52.保单登记平台数据报送情况反馈模板</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hint="default"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V3.10</w:t>
            </w:r>
          </w:p>
        </w:tc>
        <w:tc>
          <w:tcPr>
            <w:tcW w:w="819" w:type="dxa"/>
            <w:shd w:val="clear" w:color="auto" w:fill="FFFFFF"/>
            <w:vAlign w:val="center"/>
          </w:tcPr>
          <w:p>
            <w:pPr>
              <w:jc w:val="center"/>
              <w:rPr>
                <w:rFonts w:hint="eastAsia" w:asciiTheme="minorEastAsia" w:hAnsiTheme="minorEastAsia" w:cstheme="minorEastAsia"/>
                <w:color w:val="000000"/>
                <w:kern w:val="0"/>
                <w:sz w:val="20"/>
                <w:szCs w:val="20"/>
                <w:lang w:eastAsia="zh-CN"/>
              </w:rPr>
            </w:pPr>
            <w:r>
              <w:rPr>
                <w:rFonts w:hint="eastAsia" w:asciiTheme="minorEastAsia" w:hAnsiTheme="minorEastAsia" w:cstheme="minorEastAsia"/>
                <w:color w:val="000000"/>
                <w:kern w:val="0"/>
                <w:sz w:val="20"/>
                <w:szCs w:val="20"/>
                <w:lang w:eastAsia="zh-CN"/>
              </w:rPr>
              <w:t>第四篇</w:t>
            </w:r>
          </w:p>
        </w:tc>
        <w:tc>
          <w:tcPr>
            <w:tcW w:w="772" w:type="dxa"/>
            <w:shd w:val="clear" w:color="auto" w:fill="FFFFFF"/>
            <w:vAlign w:val="center"/>
          </w:tcPr>
          <w:p>
            <w:pPr>
              <w:jc w:val="center"/>
              <w:rPr>
                <w:rFonts w:hint="default"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A</w:t>
            </w:r>
          </w:p>
        </w:tc>
        <w:tc>
          <w:tcPr>
            <w:tcW w:w="1313" w:type="dxa"/>
            <w:shd w:val="clear" w:color="auto" w:fill="FFFFFF"/>
            <w:vAlign w:val="center"/>
          </w:tcPr>
          <w:p>
            <w:pPr>
              <w:jc w:val="center"/>
              <w:rPr>
                <w:rFonts w:hint="default"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2019-10-31</w:t>
            </w:r>
          </w:p>
        </w:tc>
        <w:tc>
          <w:tcPr>
            <w:tcW w:w="4733" w:type="dxa"/>
            <w:shd w:val="clear" w:color="auto" w:fill="FFFFFF"/>
            <w:vAlign w:val="center"/>
          </w:tcPr>
          <w:p>
            <w:pPr>
              <w:widowControl/>
              <w:shd w:val="clear" w:color="auto" w:fill="FFFFFF"/>
              <w:spacing w:line="360" w:lineRule="atLeast"/>
              <w:rPr>
                <w:rFonts w:hint="default"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新增/第四篇/常见运营问题篇/53.保单登记平台数据报送情况反馈模板的补充说明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cantSplit/>
          <w:trHeight w:val="390" w:hRule="atLeast"/>
          <w:jc w:val="center"/>
        </w:trPr>
        <w:tc>
          <w:tcPr>
            <w:tcW w:w="993" w:type="dxa"/>
            <w:shd w:val="clear" w:color="auto" w:fill="FFFFFF"/>
            <w:vAlign w:val="center"/>
          </w:tcPr>
          <w:p>
            <w:pPr>
              <w:jc w:val="center"/>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V3.10</w:t>
            </w:r>
          </w:p>
        </w:tc>
        <w:tc>
          <w:tcPr>
            <w:tcW w:w="819" w:type="dxa"/>
            <w:shd w:val="clear" w:color="auto" w:fill="FFFFFF"/>
            <w:vAlign w:val="center"/>
          </w:tcPr>
          <w:p>
            <w:pPr>
              <w:jc w:val="center"/>
              <w:rPr>
                <w:rFonts w:hint="eastAsia" w:eastAsia="宋体" w:asciiTheme="minorEastAsia" w:hAnsiTheme="minorEastAsia" w:cstheme="minorEastAsia"/>
                <w:color w:val="000000"/>
                <w:kern w:val="0"/>
                <w:sz w:val="20"/>
                <w:szCs w:val="20"/>
                <w:lang w:eastAsia="zh-CN"/>
              </w:rPr>
            </w:pPr>
            <w:r>
              <w:rPr>
                <w:rFonts w:hint="eastAsia" w:asciiTheme="minorEastAsia" w:hAnsiTheme="minorEastAsia" w:cstheme="minorEastAsia"/>
                <w:color w:val="000000"/>
                <w:kern w:val="0"/>
                <w:sz w:val="20"/>
                <w:szCs w:val="20"/>
                <w:lang w:eastAsia="zh-CN"/>
              </w:rPr>
              <w:t>第四篇</w:t>
            </w:r>
          </w:p>
        </w:tc>
        <w:tc>
          <w:tcPr>
            <w:tcW w:w="772" w:type="dxa"/>
            <w:shd w:val="clear" w:color="auto" w:fill="FFFFFF"/>
            <w:vAlign w:val="center"/>
          </w:tcPr>
          <w:p>
            <w:pPr>
              <w:jc w:val="center"/>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U</w:t>
            </w:r>
          </w:p>
        </w:tc>
        <w:tc>
          <w:tcPr>
            <w:tcW w:w="1313" w:type="dxa"/>
            <w:shd w:val="clear" w:color="auto" w:fill="FFFFFF"/>
            <w:vAlign w:val="center"/>
          </w:tcPr>
          <w:p>
            <w:pPr>
              <w:jc w:val="center"/>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2019-10-30</w:t>
            </w:r>
          </w:p>
        </w:tc>
        <w:tc>
          <w:tcPr>
            <w:tcW w:w="4733" w:type="dxa"/>
            <w:shd w:val="clear" w:color="auto" w:fill="FFFFFF"/>
            <w:vAlign w:val="center"/>
          </w:tcPr>
          <w:p>
            <w:pPr>
              <w:widowControl/>
              <w:shd w:val="clear" w:color="auto" w:fill="FFFFFF"/>
              <w:spacing w:line="360" w:lineRule="atLeast"/>
              <w:rPr>
                <w:rFonts w:hint="default" w:eastAsia="宋体" w:asciiTheme="minorEastAsia" w:hAnsiTheme="minorEastAsia" w:cstheme="minorEastAsia"/>
                <w:color w:val="000000"/>
                <w:kern w:val="0"/>
                <w:sz w:val="20"/>
                <w:szCs w:val="20"/>
                <w:lang w:val="en-US" w:eastAsia="zh-CN"/>
              </w:rPr>
            </w:pPr>
            <w:r>
              <w:rPr>
                <w:rFonts w:hint="eastAsia" w:asciiTheme="minorEastAsia" w:hAnsiTheme="minorEastAsia" w:cstheme="minorEastAsia"/>
                <w:color w:val="000000"/>
                <w:kern w:val="0"/>
                <w:sz w:val="20"/>
                <w:szCs w:val="20"/>
                <w:lang w:val="en-US" w:eastAsia="zh-CN"/>
              </w:rPr>
              <w:t>修改/第四篇/常见运营问题篇/30.关于进一步规范保单登记平台数据报送工作的函</w:t>
            </w:r>
          </w:p>
        </w:tc>
      </w:tr>
    </w:tbl>
    <w:p>
      <w:pPr>
        <w:widowControl/>
        <w:rPr>
          <w:rFonts w:ascii="宋体" w:hAnsi="宋体"/>
          <w:b/>
        </w:rPr>
      </w:pPr>
      <w:r>
        <w:rPr>
          <w:rFonts w:ascii="宋体" w:hAnsi="宋体"/>
          <w:b/>
        </w:rPr>
        <w:br w:type="page"/>
      </w:r>
    </w:p>
    <w:p>
      <w:pPr>
        <w:pStyle w:val="37"/>
        <w:spacing w:before="0" w:after="0" w:line="560" w:lineRule="exact"/>
        <w:jc w:val="both"/>
        <w:rPr>
          <w:rFonts w:ascii="黑体" w:hAnsi="黑体" w:eastAsia="黑体" w:cs="黑体"/>
          <w:b w:val="0"/>
          <w:bCs w:val="0"/>
        </w:rPr>
      </w:pPr>
      <w:bookmarkStart w:id="2" w:name="_Toc508893801"/>
      <w:r>
        <w:rPr>
          <w:rFonts w:hint="eastAsia" w:ascii="黑体" w:hAnsi="黑体" w:eastAsia="黑体" w:cs="黑体"/>
          <w:b w:val="0"/>
          <w:bCs w:val="0"/>
        </w:rPr>
        <w:t>第一篇：文档勘误修订篇</w:t>
      </w:r>
    </w:p>
    <w:p>
      <w:pPr>
        <w:pStyle w:val="3"/>
        <w:spacing w:before="0" w:after="0" w:line="560" w:lineRule="exact"/>
        <w:rPr>
          <w:rFonts w:ascii="楷体" w:hAnsi="楷体" w:eastAsia="楷体" w:cs="楷体"/>
        </w:rPr>
      </w:pPr>
      <w:r>
        <w:rPr>
          <w:rFonts w:hint="eastAsia" w:ascii="楷体" w:hAnsi="楷体" w:eastAsia="楷体" w:cs="楷体"/>
        </w:rPr>
        <w:t>（一）2-2 数据模型和取数口径说明及要求（财）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1.2.1保单交易表(ProCTransaction)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w:t>
      </w:r>
      <w:r>
        <w:rPr>
          <w:rFonts w:hint="eastAsia" w:asciiTheme="minorEastAsia" w:hAnsiTheme="minorEastAsia" w:eastAsiaTheme="minorEastAsia" w:cstheme="minorEastAsia"/>
          <w:kern w:val="0"/>
          <w:szCs w:val="24"/>
        </w:rPr>
        <w:t>交易币别和本位币别的兑换率</w:t>
      </w:r>
      <w:r>
        <w:rPr>
          <w:rFonts w:hint="eastAsia" w:asciiTheme="minorEastAsia" w:hAnsiTheme="minorEastAsia" w:eastAsiaTheme="minorEastAsia" w:cstheme="minorEastAsia"/>
          <w:szCs w:val="24"/>
        </w:rPr>
        <w:t>”的字段类型修改为DECIMAL(16,6)。</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（2）“保费交易期次”（transactiontimes）字段类型修改为numeric。</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1.3.1保单基本信息表(ProCMain)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险投资金原币币别代码”的字段说明修改为“保险投资金的原币币别代码，对于原币包括两个及以上币种的情况，应将多种原币币种转换为其中任意的某一种原币币种进行报送。投资型产品必填。对应《业务代码表》中的“货币代码”，填报数字代码。对应二期该表中的“币别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（2）“结算利率”的字段说明修改为“结算利率。个人医疗险必填。”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1.3.2保单自然人投保人信息表(ProCAppnt)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（1）“身高”的字段类型修改为DECIMAL(16,4)。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（2）“体重”的字段类型修改为DECIMAL(16,4)。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（3）“投保人客户编号”（AppntNo）字段类型修改varchar2(200)。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（4）“详细地址”（Street）字段类型修改VARCHAR2(1000)。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1.3.3保单非自然人投保人信息表（ProCGrpAppnt）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分类代码”的字段说明修改为“行业是指从事国民经济中同性质的生产或其他经济社会的经营单位或者个体的组织结构体系的详细划分，如林业，汽车业，银行业等，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（2）“公司e_mail”（CompanyEmail）字段类型修改为VARCHAR2(4000)。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（3）“详细地址”（Street）字段类型修改VARCHAR2(1000)。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（4）“投保人客户编号”（AppntNo）字段类型修改varchar2(200)。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（5）“保信客户编号”（CustomerNo）字段类型修改varchar2(200)。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（6）“银行名称”（BankName）字段类型修改varchar2(255)。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（7）“净资产收益率”的字段说明修改为“单位净资产收益率。”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1.3.4保单自然人被保险人信息表(ProCInsured)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（1）“身高”的字段类型修改为DECIMAL(16,4)。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（2）“体重”的字段类型修改为DECIMAL(16,4)。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（3）“被保险人客户编号”（InsuredNo）字段类型修改VARCHAR2(200)。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（4）“详细地址”（InsuredAddress）字段类型修改VARCHAR2(1000)。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（5）“主被保人客户编号”（MainInsuredNo）字段类型修改VARCHAR2(200)。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1.3.5保单非自然人被保险人信息表（ProCGrpinsured）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分类代码”的字段说明修改为“行业是指从事国民经济中同性质的生产或其他经济社会的经营单位或者个体的组织结构体系的详细划分，如林业，汽车业，银行业等，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（2）“被保险人客户编号”（AssuredNo）字段类型修改为VARCHAR2(200)。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（3）“详细地址”（Street）字段类型修改VARCHAR2(1000)。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（4）“净资产收益率”的字段说明修改为“单位净资产收益率” 。</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1.3.6保单自然人受益人信息表(ProCBenefit)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（2）“受益人客户编号”（ICCustomerNo）字段类型修改为VARCHAR2(200)。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1.3.7保单非自然人受益人信息表(ProCGrpBenefit)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（2）“受益人客户编号”（ICCustomerNo）字段类型修改为VARCHAR2(200)。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1.3.8保单标的责任信息表（ProCItemKind）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（1）“责任编号”修改为可空。</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（2）“保险价值确定方式名称”（ValueSureName）字段类型修改为TEXT。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（3）“被保险人客户编号”（InsuredNo）字段类型修改为VARCHAR2(200)。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保费原币币别代码与本位币别兑换率”的字段说明修改为“保费原币币别代码与本位币别兑换率。对于原币包括两个及以上币种的情况，应将多种原币币种转换为其中任意的某一种原币币种进行报送。对应二期该表中的“标的币别与本位币别兑换率””。</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保费原币币别代码与保单合同显示币别兑换率”的字段说明修改为“保费原币币别代码与保单合同显示币别兑换率。对于原币包括两个及以上币种的情况，应将多种原币币种转换为其中任意的某一种原币币种进行报送。对应二期该表中的“标的币别与保单合同显示币别兑换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1.3.9保单限额信息表（ProCLimit）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（1）“条款编号”修改为条件必填，字段说明修改为“对应产品模块的【条款信息】中的“条款编号”。“限额级别代码”为‘02’时，该字段必填。对应二期该表中的“条款代码”。”。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（2）“限额”（Limit）字段英文名修改为limitfee，字段类型修改为numeric(22,4)。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11. 1.3.</w:t>
      </w:r>
      <w:r>
        <w:rPr>
          <w:rFonts w:ascii="仿宋" w:hAnsi="仿宋" w:eastAsia="仿宋" w:cs="仿宋"/>
          <w:sz w:val="28"/>
          <w:szCs w:val="28"/>
        </w:rPr>
        <w:t>10保单免赔额信息表（ProCDeductible）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（1）“免赔额描述”（LimitDescri）字段类型修改为TEXT。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1.3.14保单联共保信息表</w:t>
      </w:r>
      <w:r>
        <w:rPr>
          <w:rFonts w:hint="eastAsia" w:ascii="仿宋" w:hAnsi="仿宋" w:eastAsia="仿宋" w:cs="仿宋"/>
          <w:sz w:val="28"/>
          <w:szCs w:val="28"/>
        </w:rPr>
        <w:t xml:space="preserve">(ProCcoins)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（1）“联共保序号”字段的字段说明修改为“同一保单下联共保序号从1开始顺序递增，对应二期该表中的“序号”。”</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1.3.15船舶险_通用船舶信息表(</w:t>
      </w:r>
      <w:r>
        <w:rPr>
          <w:rFonts w:hint="eastAsia" w:ascii="仿宋" w:hAnsi="仿宋" w:eastAsia="仿宋" w:cs="仿宋"/>
          <w:sz w:val="28"/>
          <w:szCs w:val="28"/>
        </w:rPr>
        <w:t>ProCitem_CB_Ship</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（1）“船舶总长”字段的字段说明修改为“长度数值，船舶最前端至最后端之间包括外板和两端永久性固定突出物在内的水平距离，单位：米。”字段类型修改为DECIMAL(16,4)。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（2）“船舶型宽”字段的字段说明修改为“长度数值，船舶最宽的地方，单位：米。”；字段类型修改为DECIMAL(16,4)。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（3）“船舶型深”字段的字段说明修改为“长度数值，船长中点处，从龙骨板上缘量到干舷甲板横梁上缘的垂直距离，单位：米。”；字段类型修改为DECIMAL(16,4)。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（4）“主机功率”字段的字段说明修改为“船舶险标的船舶主机的功率，单位：千瓦。”；字段类型修改为DECIMAL(16,4)。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（5）“引擎最高速度”字段的字段说明修改为“游艇引擎最高速度，单位：公里/小时。”；字段类型修改为DECIMAL(16,4)。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（6）“船舶总吨位”的字段类型修改为DECIMAL(16,4)。</w:t>
      </w:r>
    </w:p>
    <w:p>
      <w:pPr>
        <w:pStyle w:val="4"/>
        <w:numPr>
          <w:ilvl w:val="255"/>
          <w:numId w:val="0"/>
        </w:numPr>
        <w:spacing w:before="0" w:after="0" w:line="560" w:lineRule="exact"/>
        <w:rPr>
          <w:rFonts w:ascii="仿宋" w:hAnsi="仿宋" w:eastAsia="仿宋" w:cs="仿宋"/>
          <w:sz w:val="32"/>
        </w:rPr>
      </w:pPr>
      <w:r>
        <w:rPr>
          <w:rFonts w:hint="eastAsia" w:ascii="仿宋" w:hAnsi="仿宋" w:eastAsia="仿宋" w:cs="仿宋"/>
          <w:sz w:val="28"/>
          <w:szCs w:val="28"/>
        </w:rPr>
        <w:t>14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1.3.16船舶险_船舶关系人信息表（ProCitem_CB_Sperson）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1.3.17船舶险_船舶建造信息表（ProCitem_CB_build）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（1）“船舶载重吨”的字段类型修改为DECIMAL(16,4)。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（2）“船舶总长”的字段类型修改为DECIMAL(16,4)。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（3）“船舶型宽”的字段类型修改为DECIMAL(16,4)。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（4）“船舶型深”的字段类型修改为DECIMAL(16,4)。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（5）“详细地址”（DetailAdd）字段类型修改为VARCHAR2(1000)。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16. 1.3.22</w:t>
      </w:r>
      <w:r>
        <w:rPr>
          <w:rFonts w:ascii="仿宋" w:hAnsi="仿宋" w:eastAsia="仿宋" w:cs="仿宋"/>
          <w:sz w:val="28"/>
          <w:szCs w:val="28"/>
        </w:rPr>
        <w:t>工程险_工程信息表（</w:t>
      </w:r>
      <w:r>
        <w:rPr>
          <w:rFonts w:hint="eastAsia" w:ascii="仿宋" w:hAnsi="仿宋" w:eastAsia="仿宋" w:cs="仿宋"/>
          <w:sz w:val="28"/>
          <w:szCs w:val="28"/>
        </w:rPr>
        <w:t>ProCitem_GC_Project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（2）“工程名称”（ProjectName）字段类型修改VARCHAR2(400)。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1.3.24工程险_关系人信息表（ProCitem_GC_Person）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（1）“详细地址”（DetailAdd）字段类型修改为VARCHAR2(1000)。</w:t>
      </w:r>
    </w:p>
    <w:p>
      <w:pPr>
        <w:pStyle w:val="4"/>
        <w:numPr>
          <w:ilvl w:val="255"/>
          <w:numId w:val="0"/>
        </w:numPr>
        <w:spacing w:before="0" w:after="0" w:line="560" w:lineRule="exact"/>
        <w:rPr>
          <w:rFonts w:ascii="仿宋" w:hAnsi="仿宋" w:eastAsia="仿宋" w:cs="仿宋"/>
          <w:sz w:val="32"/>
        </w:rPr>
      </w:pPr>
      <w:r>
        <w:rPr>
          <w:rFonts w:hint="eastAsia" w:ascii="仿宋" w:hAnsi="仿宋" w:eastAsia="仿宋" w:cs="仿宋"/>
          <w:sz w:val="28"/>
          <w:szCs w:val="28"/>
        </w:rPr>
        <w:t>18. 1.3.28</w:t>
      </w:r>
      <w:r>
        <w:rPr>
          <w:rFonts w:ascii="仿宋" w:hAnsi="仿宋" w:eastAsia="仿宋" w:cs="仿宋"/>
          <w:sz w:val="28"/>
          <w:szCs w:val="28"/>
        </w:rPr>
        <w:t>国内货运险_国内业务信息表（</w:t>
      </w:r>
      <w:r>
        <w:rPr>
          <w:rFonts w:hint="eastAsia" w:ascii="仿宋" w:hAnsi="仿宋" w:eastAsia="仿宋" w:cs="仿宋"/>
          <w:sz w:val="28"/>
          <w:szCs w:val="28"/>
        </w:rPr>
        <w:t>ProCitem_HY_Domestic</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19. 1.3.29</w:t>
      </w:r>
      <w:r>
        <w:rPr>
          <w:rFonts w:ascii="仿宋" w:hAnsi="仿宋" w:eastAsia="仿宋" w:cs="仿宋"/>
          <w:sz w:val="28"/>
          <w:szCs w:val="28"/>
        </w:rPr>
        <w:t>进出口货运险_进出口业务信息表（</w:t>
      </w:r>
      <w:r>
        <w:rPr>
          <w:rFonts w:hint="eastAsia" w:ascii="仿宋" w:hAnsi="仿宋" w:eastAsia="仿宋" w:cs="仿宋"/>
          <w:sz w:val="28"/>
          <w:szCs w:val="28"/>
        </w:rPr>
        <w:t>ProCitem_HY_Abroad</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（3）“理赔代理人名称”（CheckagentName）字段类型修改VARCHAR2(1000)。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（4）“加成比例”的字段说明修改为“保险加成率是为了保障被保险人的利润和已支付费用的补偿。”</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20. 1.3.30</w:t>
      </w:r>
      <w:r>
        <w:rPr>
          <w:rFonts w:ascii="仿宋" w:hAnsi="仿宋" w:eastAsia="仿宋" w:cs="仿宋"/>
          <w:sz w:val="28"/>
          <w:szCs w:val="28"/>
        </w:rPr>
        <w:t>货运险_通用货物标的信息表（</w:t>
      </w:r>
      <w:r>
        <w:rPr>
          <w:rFonts w:hint="eastAsia" w:ascii="仿宋" w:hAnsi="仿宋" w:eastAsia="仿宋" w:cs="仿宋"/>
          <w:sz w:val="28"/>
          <w:szCs w:val="28"/>
        </w:rPr>
        <w:t>ProCitem_HY_Cargo</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（3）“货物数量”的字段类型修改为DECIMAL(16,4)。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（4）“货物唛头信息”（Marks）字段类型修改TEXT。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（5）“货物明细名称”（ItemDetailName）字段类型修改为VARCHAR2(4000)。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1.3.32邮包运输险_邮包标的信息表（ProCitem_HY_Parcel）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（1）“货物数量”的字段类型修改为DECIMAL(16,4)。</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（2）“货物名称”（ItemName）字段类型修改TEXT。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22. 1.3.33</w:t>
      </w:r>
      <w:r>
        <w:rPr>
          <w:rFonts w:ascii="仿宋" w:hAnsi="仿宋" w:eastAsia="仿宋" w:cs="仿宋"/>
          <w:sz w:val="28"/>
          <w:szCs w:val="28"/>
        </w:rPr>
        <w:t>运输工具_机动车信息表（ProCitem_HY_Vehicle）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（3）“机动车核定载重”的字段类型修改为DECIMAL(16,4)。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23. 1.3.34</w:t>
      </w:r>
      <w:r>
        <w:rPr>
          <w:rFonts w:ascii="仿宋" w:hAnsi="仿宋" w:eastAsia="仿宋" w:cs="仿宋"/>
          <w:sz w:val="28"/>
          <w:szCs w:val="28"/>
        </w:rPr>
        <w:t>运输工具_火车信息表（</w:t>
      </w:r>
      <w:r>
        <w:rPr>
          <w:rFonts w:hint="eastAsia" w:ascii="仿宋" w:hAnsi="仿宋" w:eastAsia="仿宋" w:cs="仿宋"/>
          <w:sz w:val="28"/>
          <w:szCs w:val="28"/>
        </w:rPr>
        <w:t>ProCitem_HY_Train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24. 1.3.35</w:t>
      </w:r>
      <w:r>
        <w:rPr>
          <w:rFonts w:ascii="仿宋" w:hAnsi="仿宋" w:eastAsia="仿宋" w:cs="仿宋"/>
          <w:sz w:val="28"/>
          <w:szCs w:val="28"/>
        </w:rPr>
        <w:t>运输工具_船舶信息表（ProCitem_HY_Ship）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25. 1.3.36</w:t>
      </w:r>
      <w:r>
        <w:rPr>
          <w:rFonts w:ascii="仿宋" w:hAnsi="仿宋" w:eastAsia="仿宋" w:cs="仿宋"/>
          <w:sz w:val="28"/>
          <w:szCs w:val="28"/>
        </w:rPr>
        <w:t>运输工具_飞机信息表（</w:t>
      </w:r>
      <w:r>
        <w:rPr>
          <w:rFonts w:hint="eastAsia" w:ascii="仿宋" w:hAnsi="仿宋" w:eastAsia="仿宋" w:cs="仿宋"/>
          <w:sz w:val="28"/>
          <w:szCs w:val="28"/>
        </w:rPr>
        <w:t>ProCitem_HY_Plan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（1）“申报清单编号”修改为主键。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主键、必填，字段说明修改为“同一申报清单编号下每条申报明细的序号，同一申报清单编号下唯一，对应货运险标的信息【预约协议险_申报清单信息】中“申报明细序号”。非申报业务，该字段在同一保单下唯一。”</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26. 1.3.37</w:t>
      </w:r>
      <w:r>
        <w:rPr>
          <w:rFonts w:ascii="仿宋" w:hAnsi="仿宋" w:eastAsia="仿宋" w:cs="仿宋"/>
          <w:sz w:val="28"/>
          <w:szCs w:val="28"/>
        </w:rPr>
        <w:t>航空旅客行李险_航班信息表（</w:t>
      </w:r>
      <w:r>
        <w:rPr>
          <w:rFonts w:hint="eastAsia" w:ascii="仿宋" w:hAnsi="仿宋" w:eastAsia="仿宋" w:cs="仿宋"/>
          <w:sz w:val="28"/>
          <w:szCs w:val="28"/>
        </w:rPr>
        <w:t>ProCitem_HY_Flight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（1）“航班号”修改为主键。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27. 1.3.3</w:t>
      </w:r>
      <w:r>
        <w:rPr>
          <w:rFonts w:ascii="仿宋" w:hAnsi="仿宋" w:eastAsia="仿宋" w:cs="仿宋"/>
          <w:sz w:val="28"/>
          <w:szCs w:val="28"/>
        </w:rPr>
        <w:t>8网络购物运费损失险_货物信息表（ProCitem_HY_TRFreight）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（1）“发货地详细地址”（ShippingDetailAdd）字段类型修改为VARCHAR2(1000)。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（2）“收货地详细地址”（DeliveryDetailAdd）字段类型修改为VARCHAR2(1000)。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28. 1.3.40</w:t>
      </w:r>
      <w:r>
        <w:rPr>
          <w:rFonts w:ascii="仿宋" w:hAnsi="仿宋" w:eastAsia="仿宋" w:cs="仿宋"/>
          <w:sz w:val="28"/>
          <w:szCs w:val="28"/>
        </w:rPr>
        <w:t>石油险_项目信息表（ProCitem_SY_Work）</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（1）“项目详细地址”（DetailAdd）字段类型修改为VARCHAR2(1000)。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29. 1.3.</w:t>
      </w:r>
      <w:r>
        <w:rPr>
          <w:rFonts w:ascii="仿宋" w:hAnsi="仿宋" w:eastAsia="仿宋" w:cs="仿宋"/>
          <w:sz w:val="28"/>
          <w:szCs w:val="28"/>
        </w:rPr>
        <w:t>44石油开发工程险_工程信息表（ProCitem_SY_Project）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（1）“工程详细地址”（DetailAdd）字段类型修改为VARCHAR2(1000)。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30. 1.3.</w:t>
      </w:r>
      <w:r>
        <w:rPr>
          <w:rFonts w:ascii="仿宋" w:hAnsi="仿宋" w:eastAsia="仿宋" w:cs="仿宋"/>
          <w:sz w:val="28"/>
          <w:szCs w:val="28"/>
        </w:rPr>
        <w:t>46核电建筑安装工程保险_工程信息表（ProCitem_HD_Project）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（1）“详细地址”（DetailAdd）字段类型修改为VARCHAR2(1000)。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1.3.48航空险_航空器标的信息表（ProCitem_HK_AirCraft）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（1）“航空器生产序列号”（ASequenceNO）字段类型修改VARCHAR2(255)。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32. 1.3.49</w:t>
      </w:r>
      <w:r>
        <w:rPr>
          <w:rFonts w:ascii="仿宋" w:hAnsi="仿宋" w:eastAsia="仿宋" w:cs="仿宋"/>
          <w:sz w:val="28"/>
          <w:szCs w:val="28"/>
        </w:rPr>
        <w:t>航空险_关系人信息表（</w:t>
      </w:r>
      <w:r>
        <w:rPr>
          <w:rFonts w:hint="eastAsia" w:ascii="仿宋" w:hAnsi="仿宋" w:eastAsia="仿宋" w:cs="仿宋"/>
          <w:sz w:val="28"/>
          <w:szCs w:val="28"/>
        </w:rPr>
        <w:t>ProCitem_HK_Person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（1）“关系人序号”修改为主键。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1.3.52普通家财险_房屋信息表（</w:t>
      </w:r>
      <w:r>
        <w:rPr>
          <w:rFonts w:hint="eastAsia" w:ascii="仿宋" w:hAnsi="仿宋" w:eastAsia="仿宋" w:cs="仿宋"/>
          <w:sz w:val="28"/>
          <w:szCs w:val="28"/>
        </w:rPr>
        <w:t>ProCitem_JC_House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（1）“房地产开发商名称”字段的字段说明修改为“贷款抵押房屋房地产开发商名称。当投保的标的房屋为贷款抵押房屋时，该字段必填。”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（2）“商品房预售许可证编号”字段的字段说明修改为“贷款抵押房屋商品房预售的许可证编号。当投保的标的房屋为贷款抵押房屋时，该字段必填。”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（3）“购房合同编号” 字段的字段说明修改为“贷款抵押房屋购买房屋的合同编号。当投保的标的房屋为贷款抵押房屋时，该字段必填。”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（4）“期房代码”字段的字段说明修改为“对应《业务代码表》中的“期房代码”。当投保的标的房屋为贷款抵押房屋时，该字段必填。”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（5）“首付比例”字段的字段说明修改为“贷款抵押房屋的首付比例。取值范围0-1。当投保的标的房屋为贷款抵押房屋时，该字段必填。”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（6）“首付金额”字段的字段说明修改为“贷款抵押房屋的首付金额。当投保的标的房屋为贷款抵押房屋时，该字段必填。”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（7）“标的地址”（AddressNo）字段类型修改VARCHAR2(1000)。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1.3.54普通家财险_通用设备设施信息表（ProCitem_JC_Equ）</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（1）“标的地址”（AddressNo）字段类型修改为VARCHAR2(1000)。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1.3.55房屋贷款家财险_贷款信息表（PROCITEM_JC_LOAN）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（1）“贷款银行名称”（LoanBankName）字段类型修改VARCHAR2(255)。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1.3.61贷款保证险_贷款信息表（</w:t>
      </w:r>
      <w:r>
        <w:rPr>
          <w:rFonts w:hint="eastAsia" w:ascii="仿宋" w:hAnsi="仿宋" w:eastAsia="仿宋" w:cs="仿宋"/>
          <w:sz w:val="28"/>
          <w:szCs w:val="28"/>
        </w:rPr>
        <w:t>ProCitem_BZ_Loan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（1）“贷款期限”字段的字段说明修改为“贷款期限，单位：天。”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（2）“贷款机构名称”（LoanOrganizationName）字段类型修改VARCHAR2(255)。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（3）“贷款合同编号”（LoanContractNo）字段类型修改VARCHAR2(100)。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（4）“贷款利率”的字段说明修改为“贷款利率。”</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（5）“基准贷款利率”的字段说明修改为“央行(中国人民银行)发布给商业银行的贷款指导性利率。”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1.3.62贷款保证险_抵押车辆信息表（</w:t>
      </w:r>
      <w:r>
        <w:rPr>
          <w:rFonts w:hint="eastAsia" w:ascii="仿宋" w:hAnsi="仿宋" w:eastAsia="仿宋" w:cs="仿宋"/>
          <w:sz w:val="28"/>
          <w:szCs w:val="28"/>
        </w:rPr>
        <w:t>ProCitem_BZ_Car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（1）“行驶里程”字段的字段说明修改为“截止投保时车辆行驶里程数。单位：千米。”</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1.3.63贷款保证险_抵押房屋信息表（</w:t>
      </w:r>
      <w:r>
        <w:rPr>
          <w:rFonts w:hint="eastAsia" w:ascii="仿宋" w:hAnsi="仿宋" w:eastAsia="仿宋" w:cs="仿宋"/>
          <w:sz w:val="28"/>
          <w:szCs w:val="28"/>
        </w:rPr>
        <w:t>ProCitem_BZ_House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（1）“建筑面积”字段的字段说明修改为“购买房屋建筑面积。单位：平方米。”</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（2）“房产地址”（Address）字段类型修改为VARCHAR2(1000)。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1.3.64贷款保证险_其他抵押信息表（ProCitem_BZ_Loan_Mortgage）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（1）“抵/质押合同号”（MortgageNo）字段类型修改VARCHAR2(100)。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（2）“抵/质押物品名称”（MortgageteeName）字段类型修改VARCHAR2(255)。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1.3.66融资租赁履约保证险_租赁合同信息表（ProCitem_BZ_Lease）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（1）“租赁物地址”（LeaseAdd）字段类型修改为VARCHAR2(1000)。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1.3.67理财产品履约保证险_理财产品信息表（ProCitem_BZ_Finance）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（1）“理财产品利率”的字段说明修改为“保险期间内理财产品利率。”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1.3.68商业合同履约保证险_商业合同信息表（ProCitem_BZ_BizContract）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（1）“商业合同利率”的字段说明修改为“保险期间内商业合同利率。”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43. 1.3.70</w:t>
      </w:r>
      <w:r>
        <w:rPr>
          <w:rFonts w:ascii="仿宋" w:hAnsi="仿宋" w:eastAsia="仿宋" w:cs="仿宋"/>
          <w:sz w:val="28"/>
          <w:szCs w:val="28"/>
        </w:rPr>
        <w:t>单用途商业预付卡保证险_预付卡信息表（</w:t>
      </w:r>
      <w:r>
        <w:rPr>
          <w:rFonts w:hint="eastAsia" w:ascii="仿宋" w:hAnsi="仿宋" w:eastAsia="仿宋" w:cs="仿宋"/>
          <w:sz w:val="28"/>
          <w:szCs w:val="28"/>
        </w:rPr>
        <w:t>ProCitem_BZ_Prepayment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（1）“发卡企业行业分类代码”的字段说明修改为“代表发卡企业的行业分类的代码。对应《业务代码表》中的“国民经济行业分类代码”。”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（2）“发卡企业销售净利润率”的字段说明修改为“发卡企业的销售净利润率。”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1.3.71工程履约保证险_工程项目信息表（ProCitem_BZ_Construction）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（1）“工程项目名称”（ProjectName）字段类型修改VARCHAR2(500)。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1.3.75国内贸易信用保险_保单扩展信息表（</w:t>
      </w:r>
      <w:r>
        <w:rPr>
          <w:rFonts w:hint="eastAsia" w:ascii="仿宋" w:hAnsi="仿宋" w:eastAsia="仿宋" w:cs="仿宋"/>
          <w:sz w:val="28"/>
          <w:szCs w:val="28"/>
        </w:rPr>
        <w:t>ProCitem_XY_TPolExtent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（1）“最高延长期限”字段的字段说明修改为“被保险人在买方不能按时付款时自动给该买方一定宽限期。单位：天。”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（2）“赔款等待期”字段的字段说明修改为“根据保单约定，被保险人向保险人报案之后至提出索赔申请等行为之前必须经过的最少时间。单位：天。”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（3）“最长信用期限” 字段的字段说明修改为“投保人在投保单中对拟投保买方清单中提供的最长的信用期限。单位：天。”</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1.3.76国内贸易信用保险_最近完整会计年度商品销售信息表（</w:t>
      </w:r>
      <w:r>
        <w:rPr>
          <w:rFonts w:hint="eastAsia" w:ascii="仿宋" w:hAnsi="仿宋" w:eastAsia="仿宋" w:cs="仿宋"/>
          <w:sz w:val="28"/>
          <w:szCs w:val="28"/>
        </w:rPr>
        <w:t>ProCitem_XY_TAccYearSales</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（1）“信用期限”字段的字段说明修改为“被保险人自失去对货物的实际控制时起至获得买方支付的取得货物相应对价时止的期间（赊销适用）。单位：天。”</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1.3.78国内贸易信用保险_过去三年最大三笔呆坏账及逾期应收账款信息表（ProCitem_XY_TBadLoan）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（1）“债务人地址”（DebtorAdress）字段类型修改为VARCHAR2(1000)。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w:t>
      </w:r>
      <w:r>
        <w:rPr>
          <w:rFonts w:hint="eastAsia" w:ascii="仿宋" w:hAnsi="仿宋" w:eastAsia="仿宋" w:cs="仿宋"/>
          <w:sz w:val="28"/>
          <w:szCs w:val="28"/>
        </w:rPr>
        <w:t>79</w:t>
      </w:r>
      <w:r>
        <w:rPr>
          <w:rFonts w:ascii="仿宋" w:hAnsi="仿宋" w:eastAsia="仿宋" w:cs="仿宋"/>
          <w:sz w:val="28"/>
          <w:szCs w:val="28"/>
        </w:rPr>
        <w:t>短期出口信用保险_保单扩展信息表（</w:t>
      </w:r>
      <w:r>
        <w:rPr>
          <w:rFonts w:hint="eastAsia" w:ascii="仿宋" w:hAnsi="仿宋" w:eastAsia="仿宋" w:cs="仿宋"/>
          <w:sz w:val="28"/>
          <w:szCs w:val="28"/>
        </w:rPr>
        <w:t>ProCitem_XY_EPolExtent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（1）“信用限额闲置期” 字段的字段说明修改为“保险合同中约定的未使用信用限额的最长期限。单位：天。”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（2）“赔款等待期”字段的字段说明修改为“根据保单约定，被保险人向保险人报案之后至提出索赔申请等行为之前必须经过的最少时间。单位：天。”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（3）“产品编号”修改为非主键。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49. 1.3.80</w:t>
      </w:r>
      <w:r>
        <w:rPr>
          <w:rFonts w:ascii="仿宋" w:hAnsi="仿宋" w:eastAsia="仿宋" w:cs="仿宋"/>
          <w:sz w:val="28"/>
          <w:szCs w:val="28"/>
        </w:rPr>
        <w:t>短期出口信用保险_最近一个完整会计年度商品销售信息表（</w:t>
      </w:r>
      <w:r>
        <w:rPr>
          <w:rFonts w:hint="eastAsia" w:ascii="仿宋" w:hAnsi="仿宋" w:eastAsia="仿宋" w:cs="仿宋"/>
          <w:sz w:val="28"/>
          <w:szCs w:val="28"/>
        </w:rPr>
        <w:t>ProCitem_XY_EAccYearSales</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（1）“商品名称描述”修改为非主键。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50. 1.3.8</w:t>
      </w:r>
      <w:r>
        <w:rPr>
          <w:rFonts w:ascii="仿宋" w:hAnsi="仿宋" w:eastAsia="仿宋" w:cs="仿宋"/>
          <w:sz w:val="28"/>
          <w:szCs w:val="28"/>
        </w:rPr>
        <w:t>1短期出口信用保险_最大几笔逾期未收汇信息表（ProCitem_XY_EOverdueRemit）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（1）“债务人地址”（DebtorAdress）字段类型修改为VARCHAR2(1000)。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51. 1.3.8</w:t>
      </w:r>
      <w:r>
        <w:rPr>
          <w:rFonts w:ascii="仿宋" w:hAnsi="仿宋" w:eastAsia="仿宋" w:cs="仿宋"/>
          <w:sz w:val="28"/>
          <w:szCs w:val="28"/>
        </w:rPr>
        <w:t>2贸易信用保险卖方_扩展信息表（ProCitem_XY_Extent）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（1）“投保人客户编号”（AppntNo）字段类型修改为VARCHAR2(200)。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52. 1.3.8</w:t>
      </w:r>
      <w:r>
        <w:rPr>
          <w:rFonts w:ascii="仿宋" w:hAnsi="仿宋" w:eastAsia="仿宋" w:cs="仿宋"/>
          <w:sz w:val="28"/>
          <w:szCs w:val="28"/>
        </w:rPr>
        <w:t>3贸易信用保险卖方_关联公司信息表（ProCitem_XY_CoInvolved）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53. 1.3.8</w:t>
      </w:r>
      <w:r>
        <w:rPr>
          <w:rFonts w:ascii="仿宋" w:hAnsi="仿宋" w:eastAsia="仿宋" w:cs="仿宋"/>
          <w:sz w:val="28"/>
          <w:szCs w:val="28"/>
        </w:rPr>
        <w:t>4贸易信用保险_业务经营信息表（ProCitem_XY_BizOperation）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1.3.85贸易信用保险限额信息_买方信息表（</w:t>
      </w:r>
      <w:r>
        <w:rPr>
          <w:rFonts w:hint="eastAsia" w:ascii="仿宋" w:hAnsi="仿宋" w:eastAsia="仿宋" w:cs="仿宋"/>
          <w:sz w:val="28"/>
          <w:szCs w:val="28"/>
        </w:rPr>
        <w:t>ProCitem_XY_Buyer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（1）“信用期限”字段的字段说明修改为“被保险人自失去对货物的实际控制时起至获得买方支付的取得货物相应对价时止的期间。单位：天。”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（3）“买方地址”（BuyerAddress）字段类型修改为VARCHAR2(1000)。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55. 1.3.86贸易信用保险_明细申报信息表（ProCitem_XY_DetailReport）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（1）“信用期限（天）”字段英文名称修改为“CreditDeadlineday”。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56. 1.3.87</w:t>
      </w:r>
      <w:r>
        <w:rPr>
          <w:rFonts w:ascii="仿宋" w:hAnsi="仿宋" w:eastAsia="仿宋" w:cs="仿宋"/>
          <w:sz w:val="28"/>
          <w:szCs w:val="28"/>
        </w:rPr>
        <w:t>贸易信用保险_总额申报信息表（</w:t>
      </w:r>
      <w:r>
        <w:rPr>
          <w:rFonts w:hint="eastAsia" w:ascii="仿宋" w:hAnsi="仿宋" w:eastAsia="仿宋" w:cs="仿宋"/>
          <w:sz w:val="28"/>
          <w:szCs w:val="28"/>
        </w:rPr>
        <w:t>ProCitem_XY_TotalAmnt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（1）“买方编号”修改为非主键。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1.3.88信用保险_贷款信息表（</w:t>
      </w:r>
      <w:r>
        <w:rPr>
          <w:rFonts w:hint="eastAsia" w:ascii="仿宋" w:hAnsi="仿宋" w:eastAsia="仿宋" w:cs="仿宋"/>
          <w:sz w:val="28"/>
          <w:szCs w:val="28"/>
        </w:rPr>
        <w:t>ProCitem_XY_Loan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（1）“贷款期限”字段的字段说明修改为“贷款期限。单位：天。”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（2）“赔款准备期”字段的字段说明修改为“银行报案后向银行支付赔款的最长期限。单位：天。”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（3）“贷款用途名称”的字段说明修改为“贷款用途名称，如公司经营、个人消费、购车等。”</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（4）“贷款机构地址”（LoanOrganizationAddress）字段类型修改为VARCHAR2(1000)。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（5）“贷款机构名称”（LoanOrganizationName）字段类型修改为VARCHAR2(255)。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（6）“贷款利率”的字段说明修改为“贷款利率。”</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（7）“基准贷款利率”的字段说明修改为“央行(中国人民银行)发布给商业银行的贷款指导性利率。”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1.3.89金融机构贷款损失信用保险_保单扩展信息表（ProCitem_XY_PolExtent）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1.3.90国家助学信用保险_贷款学生信息表（ProCitem_XY_Student）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（1）“年级/班级”字段英文名称修改为“GradeClass”。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（2）“年级/班级”（GradeClass）字段类型修改为VARCHAR2(120)。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1.3.93电厂财产险_企业扩展信息表（ProCitem_QC_PlantExtent）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61. 1.3.94</w:t>
      </w:r>
      <w:r>
        <w:rPr>
          <w:rFonts w:ascii="仿宋" w:hAnsi="仿宋" w:eastAsia="仿宋" w:cs="仿宋"/>
          <w:sz w:val="28"/>
          <w:szCs w:val="28"/>
        </w:rPr>
        <w:t>石化财产险_企业扩展信息表（</w:t>
      </w:r>
      <w:r>
        <w:rPr>
          <w:rFonts w:hint="eastAsia" w:ascii="仿宋" w:hAnsi="仿宋" w:eastAsia="仿宋" w:cs="仿宋"/>
          <w:sz w:val="28"/>
          <w:szCs w:val="28"/>
        </w:rPr>
        <w:t>ProCitem_QC_PCExtent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1.3.95石化财产险_风险信息表（</w:t>
      </w:r>
      <w:r>
        <w:rPr>
          <w:rFonts w:hint="eastAsia" w:ascii="仿宋" w:hAnsi="仿宋" w:eastAsia="仿宋" w:cs="仿宋"/>
          <w:sz w:val="28"/>
          <w:szCs w:val="28"/>
        </w:rPr>
        <w:t>ProCitem_QC_PCRisk</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（1）“炼油厂年原油加工量” 字段的字段说明修改为“炼油厂年原油加工量。单位：万吨。”；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“合成树脂及塑料年产量” 字段的字段说明修改为“石油化工厂合成树脂及塑料年产量。单位：万吨。”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（2）“合纤原料及聚合物、合成纤维年产量” 字段的字段说明修改为“石油化工厂合纤原料及聚合物、合成纤维年产量。单位：万吨。”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（3）“合成橡胶年产量”字段的字段说明修改为“石油化工厂合成橡胶年产量。单位：万吨。”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（4）“基本有机原料年产量” 字段的字段说明修改为“石油化工厂基本有机原料年产量。单位：万吨。”。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63. 1.3.96</w:t>
      </w:r>
      <w:r>
        <w:rPr>
          <w:rFonts w:ascii="仿宋" w:hAnsi="仿宋" w:eastAsia="仿宋" w:cs="仿宋"/>
          <w:sz w:val="28"/>
          <w:szCs w:val="28"/>
        </w:rPr>
        <w:t>现金保险财产险_风险信息表（</w:t>
      </w:r>
      <w:r>
        <w:rPr>
          <w:rFonts w:hint="eastAsia" w:ascii="仿宋" w:hAnsi="仿宋" w:eastAsia="仿宋" w:cs="仿宋"/>
          <w:sz w:val="28"/>
          <w:szCs w:val="28"/>
        </w:rPr>
        <w:t>ProCitem_QC_CashRisk</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（2）“经营场所”（BizPlace）字段类型修改为VARCHAR2(1000)。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（3）“金库地址”（VaultAddress）字段类型修改为VARCHAR2(1000)。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（4）“被保险人客户编号”（InsuredNo）字段类型修改为VARCHAR2(200)。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64. 1.3.97</w:t>
      </w:r>
      <w:r>
        <w:rPr>
          <w:rFonts w:ascii="仿宋" w:hAnsi="仿宋" w:eastAsia="仿宋" w:cs="仿宋"/>
          <w:sz w:val="28"/>
          <w:szCs w:val="28"/>
        </w:rPr>
        <w:t>营业中断保险_保单扩展信息表（</w:t>
      </w:r>
      <w:r>
        <w:rPr>
          <w:rFonts w:hint="eastAsia" w:ascii="仿宋" w:hAnsi="仿宋" w:eastAsia="仿宋" w:cs="仿宋"/>
          <w:sz w:val="28"/>
          <w:szCs w:val="28"/>
        </w:rPr>
        <w:t>ProCitem_QC_InterruptRisk</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（1）“最大赔偿期”字段的字段说明修改为“指保险有效期内发生灾害事故后至恢复正常的最长时间。单位：天。”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（2）“物质财产损失保险保单号”修改为非主键、非必填。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（3）“物质财产损失保险产品名称”修改为可空。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65. 1.3.98</w:t>
      </w:r>
      <w:r>
        <w:rPr>
          <w:rFonts w:ascii="仿宋" w:hAnsi="仿宋" w:eastAsia="仿宋" w:cs="仿宋"/>
          <w:sz w:val="28"/>
          <w:szCs w:val="28"/>
        </w:rPr>
        <w:t>商业楼宇财产险_楼宇信息表（</w:t>
      </w:r>
      <w:r>
        <w:rPr>
          <w:rFonts w:hint="eastAsia" w:ascii="仿宋" w:hAnsi="仿宋" w:eastAsia="仿宋" w:cs="仿宋"/>
          <w:sz w:val="28"/>
          <w:szCs w:val="28"/>
        </w:rPr>
        <w:t>ProCitem_QC_Building</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（1）“标的序号”修改为必填。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（2）“地址名称（ADRESSNAME）字段类型修改为text。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1.3.99工程机械设备财产险_设备信息表（ProCitem_QC_Equipment）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（1）“车架号/整机编号”字段英文名称修改为“VinNoMachineNo”。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（2）“机械设备名称”字段的字段说明修改为“对应【条款标的关系信息】中的“标的项目中文描述”。”</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（3）“标的序号”修改为必填。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67. 1.3.100</w:t>
      </w:r>
      <w:r>
        <w:rPr>
          <w:rFonts w:ascii="仿宋" w:hAnsi="仿宋" w:eastAsia="仿宋" w:cs="仿宋"/>
          <w:sz w:val="28"/>
          <w:szCs w:val="28"/>
        </w:rPr>
        <w:t>企财险_通用设备设施信息表（</w:t>
      </w:r>
      <w:r>
        <w:rPr>
          <w:rFonts w:hint="eastAsia" w:ascii="仿宋" w:hAnsi="仿宋" w:eastAsia="仿宋" w:cs="仿宋"/>
          <w:sz w:val="28"/>
          <w:szCs w:val="28"/>
        </w:rPr>
        <w:t>ProCitem_QC_Facility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68. 1.3.101</w:t>
      </w:r>
      <w:r>
        <w:rPr>
          <w:rFonts w:ascii="仿宋" w:hAnsi="仿宋" w:eastAsia="仿宋" w:cs="仿宋"/>
          <w:sz w:val="28"/>
          <w:szCs w:val="28"/>
        </w:rPr>
        <w:t>责任险保单扩展信息表（</w:t>
      </w:r>
      <w:r>
        <w:rPr>
          <w:rFonts w:hint="eastAsia" w:ascii="仿宋" w:hAnsi="仿宋" w:eastAsia="仿宋" w:cs="仿宋"/>
          <w:sz w:val="28"/>
          <w:szCs w:val="28"/>
        </w:rPr>
        <w:t>ProCitem_ZR_PolExtent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（1）“产品编号”修改为非主键。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（2）“报告起期”字段说明修改为“期内发生式责任保险中，保险合同当事人在保险合同中约定的从保险责任终止日往后延续的起始日期。”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报告止期”修改为非必填，字段说明修改为“期内发生式责任保险中，保险合同当事人在保险合同中约定的从保险责任终止日往后延续的截止日期。当索赔基础代码为“01-期内发生式”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追溯起期”修改为非必填，字段说明修改为“期内索赔式责任保险中，保险合同当事人在保险合同中约定的从保险责任起始日向前追溯的起始日期。当索赔基础代码为“02-期内索赔式”时，该字段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（5）“追溯止期”字段说明修改为“期内索赔式责任保险中，保险合同当事人在保险合同中约定的从保险责任起始日向前追溯的截止日期。”</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69. 1.3.10</w:t>
      </w:r>
      <w:r>
        <w:rPr>
          <w:rFonts w:ascii="仿宋" w:hAnsi="仿宋" w:eastAsia="仿宋" w:cs="仿宋"/>
          <w:sz w:val="28"/>
          <w:szCs w:val="28"/>
        </w:rPr>
        <w:t>2道路客运承运人责任险_承运人信息表（ProCitem_ZR_PCarrier）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（1）“承运人地址名称”（AddName）字段类型修改为VARCHAR2(1000)。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70. 1.3.106</w:t>
      </w:r>
      <w:r>
        <w:rPr>
          <w:rFonts w:ascii="仿宋" w:hAnsi="仿宋" w:eastAsia="仿宋" w:cs="仿宋"/>
          <w:sz w:val="28"/>
          <w:szCs w:val="28"/>
        </w:rPr>
        <w:t>环境污染责任险_企业信息表（</w:t>
      </w:r>
      <w:r>
        <w:rPr>
          <w:rFonts w:hint="eastAsia" w:ascii="仿宋" w:hAnsi="仿宋" w:eastAsia="仿宋" w:cs="仿宋"/>
          <w:sz w:val="28"/>
          <w:szCs w:val="28"/>
        </w:rPr>
        <w:t>ProCitem_ZR_EnvCo</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（2）“企业地址”（AddName）字段类型修改为VARCHAR2(1000)。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71. 1.3.10</w:t>
      </w:r>
      <w:r>
        <w:rPr>
          <w:rFonts w:ascii="仿宋" w:hAnsi="仿宋" w:eastAsia="仿宋" w:cs="仿宋"/>
          <w:sz w:val="28"/>
          <w:szCs w:val="28"/>
        </w:rPr>
        <w:t>7校方责任险_学校信息表（ProCitem_ZR_School）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（1）“学校地址”（SchoolAddress）字段类型修改为VARCHAR2(1000)。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72. 1.3.10</w:t>
      </w:r>
      <w:r>
        <w:rPr>
          <w:rFonts w:ascii="仿宋" w:hAnsi="仿宋" w:eastAsia="仿宋" w:cs="仿宋"/>
          <w:sz w:val="28"/>
          <w:szCs w:val="28"/>
        </w:rPr>
        <w:t>8职业院校实习责任险_职业院校信息表（ProCitem_ZR_VCollege）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（1）“院校地址”（CollegeAdd）字段类型修改为VARCHAR2(1000)。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1.3.109职业院校实习责任险_学生信息（Procitem_Zr_Vcstudent）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（1）“年级”（GRADE）字段类型修改VARCHAR2(120)。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1.3.110食品安全责任险（餐饮企业）_营业场所信息表（ProCitem_ZR_FSBizField）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（1）“营业场所地址”（BizAddress）字段类型修改为VARCHAR2(1000)。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1.3.111食品安全责任险（生产、流通、加工企业）_企业信息表（ProCitem_ZR_FSCorp）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（1）“营业场所地址”（BizAddress）字段类型修改为VARCHAR2(1000)。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1.3.113养老机构责任险_养老机构信息表（ProCitem_ZR_Pension）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（1）“养老机构地址”（PIAddress）字段类型修改为VARCHAR2(1000)。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1.3.114供电责任险_供电机构信息表（</w:t>
      </w:r>
      <w:r>
        <w:rPr>
          <w:rFonts w:hint="eastAsia" w:ascii="仿宋" w:hAnsi="仿宋" w:eastAsia="仿宋" w:cs="仿宋"/>
          <w:sz w:val="28"/>
          <w:szCs w:val="28"/>
        </w:rPr>
        <w:t>ProCitem_ZR_PSupplyOrg</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（1）“年供电量”字段的字段说明修改为“供电机构的年供电量。单位：kwh。”</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（2）“营业处所地址”（BizPlaceAddress）字段类型修改为VARCHAR2(1000)。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w:t>
      </w:r>
      <w:r>
        <w:rPr>
          <w:rFonts w:hint="eastAsia" w:ascii="仿宋" w:hAnsi="仿宋" w:eastAsia="仿宋" w:cs="仿宋"/>
          <w:sz w:val="28"/>
          <w:szCs w:val="28"/>
        </w:rPr>
        <w:t>.116</w:t>
      </w:r>
      <w:r>
        <w:rPr>
          <w:rFonts w:ascii="仿宋" w:hAnsi="仿宋" w:eastAsia="仿宋" w:cs="仿宋"/>
          <w:sz w:val="28"/>
          <w:szCs w:val="28"/>
        </w:rPr>
        <w:t>特种设备第三者责任险_特种设备信息表（</w:t>
      </w:r>
      <w:r>
        <w:rPr>
          <w:rFonts w:hint="eastAsia" w:ascii="仿宋" w:hAnsi="仿宋" w:eastAsia="仿宋" w:cs="仿宋"/>
          <w:sz w:val="28"/>
          <w:szCs w:val="28"/>
        </w:rPr>
        <w:t>ProCitem_ZR_SpecialEquip</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（1）“检验期限”字段的字段说明修改为“设备的检验期限。单位：天。”</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（2）“特种设备使用地址”（UsePlace）字段类型修改为VARCHAR2(1000)。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1.3.117公众责任险_场所信息表（</w:t>
      </w:r>
      <w:r>
        <w:rPr>
          <w:rFonts w:hint="eastAsia" w:ascii="仿宋" w:hAnsi="仿宋" w:eastAsia="仿宋" w:cs="仿宋"/>
          <w:sz w:val="28"/>
          <w:szCs w:val="28"/>
        </w:rPr>
        <w:t>ProCitem_ZR_PublicSite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（1）“营业场所面积”字段的字段说明修改为“场所的面积。单位：平方米。”</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（2）“风险暴露面积”字段的字段说明修改为“场所的风险暴露面积。单位：平方米。”</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场所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（4）“营业场所地址”（BizAddress）字段类型修改为VARCHAR2(1000)。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80. 1.3.118建筑工程质量责任险_工程信息表(ProCitem_ZR_Construction)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（1）“工程建造开始日期”修改为可空，字段说明修改为“工程建造的开始日期”。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（2）“工程建造结束日期”修改为必填，字段说明修改为“工程建造的结束日期”。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（3）“工程地址”（Address）字段类型修改为VARCHAR2(1000)。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（4）“工程序号”（serialno）字段类型修改为numeric。</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（5）“免赔期”（deductperiod）字段类型修改为numeric。</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81. 1.3.1</w:t>
      </w:r>
      <w:r>
        <w:rPr>
          <w:rFonts w:ascii="仿宋" w:hAnsi="仿宋" w:eastAsia="仿宋" w:cs="仿宋"/>
          <w:sz w:val="28"/>
          <w:szCs w:val="28"/>
        </w:rPr>
        <w:t>20首台（套）重大技术装备责任险_申报机构信息表（ProCitem_ZR_ReportAgency）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（1）“申报机构地址”（OrgAdd）字段类型修改为VARCHAR2(1000)。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82. 1.3.1</w:t>
      </w:r>
      <w:r>
        <w:rPr>
          <w:rFonts w:ascii="仿宋" w:hAnsi="仿宋" w:eastAsia="仿宋" w:cs="仿宋"/>
          <w:sz w:val="28"/>
          <w:szCs w:val="28"/>
        </w:rPr>
        <w:t>23安全生产责任险_企业信息表（ProCitem_ZR_Corporation）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（1）“企业地址”（AddName）字段类型修改为VARCHAR2(1000)。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83. 1.3.1</w:t>
      </w:r>
      <w:r>
        <w:rPr>
          <w:rFonts w:ascii="仿宋" w:hAnsi="仿宋" w:eastAsia="仿宋" w:cs="仿宋"/>
          <w:sz w:val="28"/>
          <w:szCs w:val="28"/>
        </w:rPr>
        <w:t>25补充工伤责任险_企业信息表（ProCitem_ZR_InjuryCo）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（1）“企业地址”（AddName）字段类型修改为VARCHAR2(1000)。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84. 1.3.126</w:t>
      </w:r>
      <w:r>
        <w:rPr>
          <w:rFonts w:ascii="仿宋" w:hAnsi="仿宋" w:eastAsia="仿宋" w:cs="仿宋"/>
          <w:sz w:val="28"/>
          <w:szCs w:val="28"/>
        </w:rPr>
        <w:t>雇主责任险_企业信息表（</w:t>
      </w:r>
      <w:r>
        <w:rPr>
          <w:rFonts w:hint="eastAsia" w:ascii="仿宋" w:hAnsi="仿宋" w:eastAsia="仿宋" w:cs="仿宋"/>
          <w:sz w:val="28"/>
          <w:szCs w:val="28"/>
        </w:rPr>
        <w:t>ProCitem_ZR_ErCorporation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字段说明修改为：按企业、事业单位、机关团体和个体从业人员所从事的生产经营活动或其他社会经济活动的性质进行行业分类。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（2）“企业地址”（AddName）字段类型修改为VARCHAR2(1000)。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85. 1.3.12</w:t>
      </w:r>
      <w:r>
        <w:rPr>
          <w:rFonts w:ascii="仿宋" w:hAnsi="仿宋" w:eastAsia="仿宋" w:cs="仿宋"/>
          <w:sz w:val="28"/>
          <w:szCs w:val="28"/>
        </w:rPr>
        <w:t>9医疗责任险</w:t>
      </w:r>
      <w:r>
        <w:rPr>
          <w:rFonts w:hint="eastAsia" w:ascii="仿宋" w:hAnsi="仿宋" w:eastAsia="仿宋" w:cs="仿宋"/>
          <w:sz w:val="28"/>
          <w:szCs w:val="28"/>
        </w:rPr>
        <w:t>_医疗机构信息表（ProCitem_ZR_MedicalInt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（1）“医疗机构地址”（MIAddress）字段类型修改为VARCHAR2(1000)。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86. 1.3.133医疗责任险理赔_影像资料表(ProCitem_ZR_MCLImage)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（1）在“文件名称”字段下方按如下内容顺序添加“文件路径”、“文件格式”、“文件大小”字段：</w:t>
      </w:r>
    </w:p>
    <w:tbl>
      <w:tblPr>
        <w:tblStyle w:val="39"/>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1290"/>
        <w:gridCol w:w="1160"/>
        <w:gridCol w:w="700"/>
        <w:gridCol w:w="660"/>
        <w:gridCol w:w="2295"/>
        <w:gridCol w:w="1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4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字段中文名</w:t>
            </w:r>
          </w:p>
        </w:tc>
        <w:tc>
          <w:tcPr>
            <w:tcW w:w="129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字段英文名</w:t>
            </w:r>
          </w:p>
        </w:tc>
        <w:tc>
          <w:tcPr>
            <w:tcW w:w="116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字段类型</w:t>
            </w:r>
          </w:p>
        </w:tc>
        <w:tc>
          <w:tcPr>
            <w:tcW w:w="70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主键</w:t>
            </w:r>
          </w:p>
        </w:tc>
        <w:tc>
          <w:tcPr>
            <w:tcW w:w="66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必填</w:t>
            </w:r>
          </w:p>
        </w:tc>
        <w:tc>
          <w:tcPr>
            <w:tcW w:w="229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字段说明</w:t>
            </w:r>
          </w:p>
        </w:tc>
        <w:tc>
          <w:tcPr>
            <w:tcW w:w="102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适用险类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4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文件路径</w:t>
            </w:r>
          </w:p>
        </w:tc>
        <w:tc>
          <w:tcPr>
            <w:tcW w:w="129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FilePath</w:t>
            </w:r>
          </w:p>
        </w:tc>
        <w:tc>
          <w:tcPr>
            <w:tcW w:w="11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VARCHAR2(255)</w:t>
            </w:r>
          </w:p>
        </w:tc>
        <w:tc>
          <w:tcPr>
            <w:tcW w:w="70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6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2295"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文件的存储路径。</w:t>
            </w:r>
          </w:p>
        </w:tc>
        <w:tc>
          <w:tcPr>
            <w:tcW w:w="1023"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责任险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4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文件格式</w:t>
            </w:r>
          </w:p>
        </w:tc>
        <w:tc>
          <w:tcPr>
            <w:tcW w:w="129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FileFormat</w:t>
            </w:r>
          </w:p>
        </w:tc>
        <w:tc>
          <w:tcPr>
            <w:tcW w:w="11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VARCHAR2(255)</w:t>
            </w:r>
          </w:p>
        </w:tc>
        <w:tc>
          <w:tcPr>
            <w:tcW w:w="70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6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2295"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文件存储的格式。</w:t>
            </w:r>
          </w:p>
        </w:tc>
        <w:tc>
          <w:tcPr>
            <w:tcW w:w="1023"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责任险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4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文件大小</w:t>
            </w:r>
          </w:p>
        </w:tc>
        <w:tc>
          <w:tcPr>
            <w:tcW w:w="129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FileSize</w:t>
            </w:r>
          </w:p>
        </w:tc>
        <w:tc>
          <w:tcPr>
            <w:tcW w:w="11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NUMBER</w:t>
            </w:r>
          </w:p>
        </w:tc>
        <w:tc>
          <w:tcPr>
            <w:tcW w:w="70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660"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p>
        </w:tc>
        <w:tc>
          <w:tcPr>
            <w:tcW w:w="2295"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文件的大小，单位 /KB。</w:t>
            </w:r>
          </w:p>
        </w:tc>
        <w:tc>
          <w:tcPr>
            <w:tcW w:w="1023"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责任险</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87. 1.3.13</w:t>
      </w:r>
      <w:r>
        <w:rPr>
          <w:rFonts w:ascii="仿宋" w:hAnsi="仿宋" w:eastAsia="仿宋" w:cs="仿宋"/>
          <w:sz w:val="28"/>
          <w:szCs w:val="28"/>
        </w:rPr>
        <w:t>4会计师事务所职业责任险_会计师事务所信息表（ProCitem_ZR_AccountFirm）</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（1）“办公场所地址”（Address）字段类型修改为VARCHAR2(1000)。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88. 1.3.13</w:t>
      </w:r>
      <w:r>
        <w:rPr>
          <w:rFonts w:ascii="仿宋" w:hAnsi="仿宋" w:eastAsia="仿宋" w:cs="仿宋"/>
          <w:sz w:val="28"/>
          <w:szCs w:val="28"/>
        </w:rPr>
        <w:t>7建筑工程设计责任险_建筑设计单位信息表（ProCitem_ZR_ArchDesignCo）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（1）“建筑设计单位地址”（DesAddress）字段类型修改为VARCHAR2(1000)。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89. 1.3.1</w:t>
      </w:r>
      <w:r>
        <w:rPr>
          <w:rFonts w:ascii="仿宋" w:hAnsi="仿宋" w:eastAsia="仿宋" w:cs="仿宋"/>
          <w:sz w:val="28"/>
          <w:szCs w:val="28"/>
        </w:rPr>
        <w:t>41产品延长保修责任险</w:t>
      </w:r>
      <w:r>
        <w:rPr>
          <w:rFonts w:hint="eastAsia" w:ascii="仿宋" w:hAnsi="仿宋" w:eastAsia="仿宋" w:cs="仿宋"/>
          <w:sz w:val="28"/>
          <w:szCs w:val="28"/>
        </w:rPr>
        <w:t>_产品信息表（ProCitem_ZR_WExtProduct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（1）“购买人地址”（BuyerAddress）字段类型修改为VARCHAR2(1000)。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1.3.142机动车延长保修责任险_机动车信息表（</w:t>
      </w:r>
      <w:r>
        <w:rPr>
          <w:rFonts w:hint="eastAsia" w:ascii="仿宋" w:hAnsi="仿宋" w:eastAsia="仿宋" w:cs="仿宋"/>
          <w:sz w:val="28"/>
          <w:szCs w:val="28"/>
        </w:rPr>
        <w:t>ProCitem_ZR_WExtVehicle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（1）“发动机排量”字段的字段说明修改为“发动机排量。单位：升”。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1.3.143诉讼财产保全责任险_保全财产信息表（ProCitem_ZR_PrptPreserve）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（1）“案件编号”（CASENO）字段类型修改VARCHAR2(100)。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（2）“保全标的描述”（PropItemDesc）字段类型修改TEXT。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（3）“保全法院地址”（Add）字段英文名修改为address，字段类型修改为VARCHAR2(1000)。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1.3.148建工意外险_工程项目信息表（ProCConstruction）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（1）“建工险工程施工地址”（ConstructAddress）字段类型修改为VARCHAR2(1000)。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1.4.1保单批改作业信息表（ProPmain）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（1）“批改保费原币金额变化量（含税）”字段英文名称修改为“ChgPremiumTaxOrig”。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（2）“批改保费变化量（含税）”字段英文名称修改为“ChgPremiumTax”。</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（3）“批改保费原币金额变化量（不含税）”字段英文名称修改为“</w:t>
      </w:r>
      <w:r>
        <w:rPr>
          <w:rFonts w:hint="eastAsia" w:asciiTheme="minorEastAsia" w:hAnsiTheme="minorEastAsia" w:eastAsiaTheme="minorEastAsia" w:cstheme="minorEastAsia"/>
          <w:szCs w:val="24"/>
        </w:rPr>
        <w:tab/>
      </w:r>
      <w:r>
        <w:rPr>
          <w:rFonts w:hint="eastAsia" w:asciiTheme="minorEastAsia" w:hAnsiTheme="minorEastAsia" w:eastAsiaTheme="minorEastAsia" w:cstheme="minorEastAsia"/>
          <w:szCs w:val="24"/>
        </w:rPr>
        <w:t>ChgPremiumNoTaxOrig”。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（4）“批改保费变化量（不含税）”字段英文名称修改为“ChgPremiumNoTax”。</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1.4.2保单自然人领款人信息表（ProCpayeeAccount）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（1）“账户名称”（AccountName）字段类型修改为VARCHAR2(255)。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（2）“银行名称”（BankName）字段类型修改为VARCHAR2(255)。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1.4.3保单非自然人领款人信息表（ProCGrpPayeeAccount）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（1）“账号/卡号”字段英文名称修改为“AccountCardNo”。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（2）“账户名称”（AccountName）字段类型修改为VARCHAR2(255)。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（3）“银行名称”（BankName）字段类型修改为VARCHAR2(255)。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1.4.4保单批改责任信息表（ProCUWLiability）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（1）“批改保费原币金额变化量（含税）”字段英文名称修改为“ChgPremiumTaxOrig”。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（2）“批改保费变化量（含税）”字段英文名称修改为“ChgPremiumTax”。</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（3）“批改保费原币金额变化量（不含税）”字段英文名称修改为“</w:t>
      </w:r>
      <w:r>
        <w:rPr>
          <w:rFonts w:hint="eastAsia" w:asciiTheme="minorEastAsia" w:hAnsiTheme="minorEastAsia" w:eastAsiaTheme="minorEastAsia" w:cstheme="minorEastAsia"/>
          <w:szCs w:val="24"/>
        </w:rPr>
        <w:tab/>
      </w:r>
      <w:r>
        <w:rPr>
          <w:rFonts w:hint="eastAsia" w:asciiTheme="minorEastAsia" w:hAnsiTheme="minorEastAsia" w:eastAsiaTheme="minorEastAsia" w:cstheme="minorEastAsia"/>
          <w:szCs w:val="24"/>
        </w:rPr>
        <w:t>ChgPremiumNoTaxOrig”。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（4）“批改保费变化量（不含税）”字段英文名称修改为“ChgPremiumNoTax”。</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97. 1.5.3</w:t>
      </w:r>
      <w:r>
        <w:rPr>
          <w:rFonts w:ascii="仿宋" w:hAnsi="仿宋" w:eastAsia="仿宋" w:cs="仿宋"/>
          <w:sz w:val="28"/>
          <w:szCs w:val="28"/>
        </w:rPr>
        <w:t>保单佣金信息表（</w:t>
      </w:r>
      <w:r>
        <w:rPr>
          <w:rFonts w:hint="eastAsia" w:ascii="仿宋" w:hAnsi="仿宋" w:eastAsia="仿宋" w:cs="仿宋"/>
          <w:sz w:val="28"/>
          <w:szCs w:val="28"/>
        </w:rPr>
        <w:t>ProCcommission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（1）“货币代码”修改为主键。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98. 1.5.4</w:t>
      </w:r>
      <w:r>
        <w:rPr>
          <w:rFonts w:ascii="仿宋" w:hAnsi="仿宋" w:eastAsia="仿宋" w:cs="仿宋"/>
          <w:sz w:val="28"/>
          <w:szCs w:val="28"/>
        </w:rPr>
        <w:t>保单佣金明细信息表（</w:t>
      </w:r>
      <w:r>
        <w:rPr>
          <w:rFonts w:hint="eastAsia" w:ascii="仿宋" w:hAnsi="仿宋" w:eastAsia="仿宋" w:cs="仿宋"/>
          <w:sz w:val="28"/>
          <w:szCs w:val="28"/>
        </w:rPr>
        <w:t>ProCcommissionDetail</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（1）“佣金比例”字段的字段类型修改为DECIMAL(14,6)。</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（2）“中介机构法人机构编码/代理人编码”的中文名称改为“中介机构法人机构编码/代理人编码/从业人员编码”，字段说明修改为：中介机构法人机构编码/代理人编码/从业人员编码。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（3）“中介机构法人机构名称/代理人名称”的中文名称改为“中介机构法人机构名称/代理人名称/从业人员名称”，字段说明修改为：中介机构的业务经营许可证记载的法人机构名称/代理人名称/从业人员名称。</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1.6.1理赔报案信息表（ProLRegist）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（1）“出险过程描述”（AccIdentDesc）字段类型修改TEXT。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1.6.2理赔报案处理信息表（ProLRegistDeal）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（1）“未立案原因/注销原因”（NoClaimReason）字段类型修改TEXT。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1.7.1理赔立案信息表（ProLClaimOpinion）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（1）“立案意见”（Opinions）字段类型修改TEXT。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（2）“出险过程描述”（AccIdentDesc）字段类型修改TEXT。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（3）“立案处理机构编号”（ClaimDealCode）字段类型修改为VARCHAR2(50)。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1.7.2理赔立案处理信息表(ProLClaimOpinionDeal)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（1）“立案注销原因/立案零结原因” （CancelReasons）字段类型修改为TEXT。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1.8.1理赔结案信息表（ProLClaim）</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（1）“出险过程描述”（AccIdentDesc）字段类型修改TEXT。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（2）“调查结论”（SurveyConclusion）字段类型修改TEXT。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（3）“结案处理机构编号”（ClaimAcceptanceCode）字段类型修改为VARCHAR2(50)。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1.8.2理赔明细信息表（ProLClaimPolicy）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（1）“理算报告”（UnitLcText）字段类型修改TEXT。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（2）“受损程度描述”（LossDegree）字段类型修改TEXT。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（3）“损失计算公式”（UnitCompensateexp）字段类型修改TEXT。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（4）“理赔结论说明”（GiveTypeDescription）字段类型修改为TEXT。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（5）“受损标的名称”（LossItemName）字段类型修改为VARCHAR2(255)。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105</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1.8.3理赔人伤明细信息表</w:t>
      </w:r>
      <w:r>
        <w:rPr>
          <w:rFonts w:hint="eastAsia" w:ascii="仿宋" w:hAnsi="仿宋" w:eastAsia="仿宋" w:cs="仿宋"/>
          <w:sz w:val="28"/>
          <w:szCs w:val="28"/>
        </w:rPr>
        <w:t>(ProLClaimInjuryDetail</w:t>
      </w:r>
      <w:r>
        <w:rPr>
          <w:rFonts w:ascii="仿宋" w:hAnsi="仿宋" w:eastAsia="仿宋" w:cs="仿宋"/>
          <w:sz w:val="28"/>
          <w:szCs w:val="28"/>
        </w:rPr>
        <w:t>)</w:t>
      </w:r>
      <w:r>
        <w:rPr>
          <w:rFonts w:hint="eastAsia" w:ascii="仿宋" w:hAnsi="仿宋" w:eastAsia="仿宋" w:cs="仿宋"/>
          <w:sz w:val="28"/>
          <w:szCs w:val="28"/>
        </w:rPr>
        <w:t xml:space="preserve">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人员序号”、“人员名称”、“性别代码”、“年龄”、“证件类型代码”、“证件号码”、“责任比例”、“免赔额原币币别代码”、“免赔额原币金额”、“免赔额”、“免赔率”字段的报送险类修改为“全险种”。</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（2）“责任比例”的字段说明修改为“人伤理赔责任核赔金额在实际人伤损失金额中的占比，取值范围0-1”。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（3）“损失计算公式”（UnitCompensateexp）的字段类型修改为TEXT。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（4）“理赔结论说明”（GiveTypeDescription）的字段类型修改为TEXT。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106</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1.8.4理赔费用信息表（ProLClaimExpense）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（1）“公估机构名称”（AdjusterName）字段类型修改VARCHAR2(255)。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（2）“汇率”的字段说明修改为“外币与人民币的兑换率。”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1.8.5理赔自然人受益人信息表(ProLBnf)</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（1）“受益人详细地址”（BenefitDetailAdd）字段类型修改为VARCHAR2(1000)。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（2）“领款人详细地址”（PayDetailAdd）字段类型修改为VARCHAR2(1000)。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（3）“被保人客户编号”（InsuredNo）字段类型修改为VARCHAR2(200)。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（4）“保信受益人客户编号”（CustomerNo）字段类型修改为VARCHAR2(200)。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（5）“保信领款人客户编号”（PayCustomerNo）字段类型修改为VARCHAR2(200)。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（6）“银行账户名”（AccName）字段类型修改为VARCHAR2(255)。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（7）“银行名称”（BankName）字段类型修改为VARCHAR2(255)。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1.8.6理赔非自然人受益人信息表(ProLGrpbnf)</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（1）“非自然人受益人/领款人详细地址”（DetailAdd）字段类型修改为VARCHAR2(1000)。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（2）“被保人客户编号”（InsuredNo）字段类型修改为VARCHAR2(200)。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（3）“保信客户编号”（CustomerNo）字段类型修改为VARCHAR2(200)。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（4）“银行账户名”（AccName）字段类型修改为VARCHAR2(255)。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（5）“银行名称”（BankName）字段类型修改为VARCHAR2(255)。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1.8.7理赔医疗收据信息表(ProLReceipt)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（1）“保信客户编号”（CustomerNo）字段类型修改为VARCHAR2(200)。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（2）“出险人客户编号”（ClaimantNo）字段类型修改为VARCHAR2(200)。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1.8.8理赔医疗费用信息表(ProLMedicalFee)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（1）“出险人客户编号”（ClaimantNo）字段类型修改为VARCHAR2(200)。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（2）“保信客户编号”（CustomerNo）字段类型修改为VARCHAR2(200)。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（3）“医疗费用类型名称”（CostItemName）字段类型修改varchar(255)。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1.8.10出险人信息表(ProLClaimantInfo)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（1）“出险人客户编号”（ClaimantNo）字段类型修改为VARCHAR2(200)。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（2）“保信客户编号”（CustomerNo）字段类型修改为VARCHAR2(200)。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1.8.11手术信息表(ProLOperation)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（1）“出险人客户编号”（ClaimantNo）字段类型修改为VARCHAR2(200)。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（2）“保信客户编号”（CustomerNo）字段类型修改为VARCHAR2(200)。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1.8.12疾病信息表(</w:t>
      </w:r>
      <w:r>
        <w:rPr>
          <w:rFonts w:hint="eastAsia" w:ascii="仿宋" w:hAnsi="仿宋" w:eastAsia="仿宋" w:cs="仿宋"/>
          <w:sz w:val="28"/>
          <w:szCs w:val="28"/>
        </w:rPr>
        <w:t>ProLDisease)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（1）“疾病名称”的字段说明修改为：若“疾病类型代码”为“2”且“疾病代码”为9999时，需上传具体的西医疾病名称。若“疾病类型代码”为“1”且“中医疾病代码”为9999时，需上传具体的中医疾病名称。</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肿瘤形态学代码”的字段说明修改为：若“疾病代码”为“C00-D48：肿瘤”（含）到“D48.9：动态未定或动态未知的肿瘤，未特指”（含）的范围时，需上传肿瘤形态学代码（非必录）。对应《业务代码表》中的“肿瘤形态学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（3）“肿瘤学形态学名称”的字段说明修改为：若“肿瘤形态学代码”为9999时，需上传具体的肿瘤形态学名称。</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（4）删除“肿瘤形态学代码”的主键要求。</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（5）“出险人客户编号”（ClaimantNo）字段类型修改为VARCHAR2(200)。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（6）“保信客户编号”（CustomerNo）字段类型修改为VARCHAR2(200)。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1.8.13理赔追偿信息表</w:t>
      </w:r>
      <w:r>
        <w:rPr>
          <w:rFonts w:hint="eastAsia" w:ascii="仿宋" w:hAnsi="仿宋" w:eastAsia="仿宋" w:cs="仿宋"/>
          <w:sz w:val="28"/>
          <w:szCs w:val="28"/>
        </w:rPr>
        <w:t>(ProLReplevy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（1）“被追偿方国别代码” 字段的报送险类修改为“全险种”。</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被追偿方证件类型代码”改为必填，字段说明修改为“被追偿方为国内个人时，对应《业务代码表》中的“个人身份证件类型代码”；被追偿方为国内团体时，对应《业务代码表》中的“组织机构常用证件类型代码”。当被追偿方为海外主体时，可报送默认值。”</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（3）“被追偿方名称”（RecoveryName）字段类型修改varchar(500)。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（4）“追偿原因” （RecoveryReason）字段类型修改为text。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115. 1.10.1</w:t>
      </w:r>
      <w:r>
        <w:rPr>
          <w:rFonts w:ascii="仿宋" w:hAnsi="仿宋" w:eastAsia="仿宋" w:cs="仿宋"/>
          <w:sz w:val="28"/>
          <w:szCs w:val="28"/>
        </w:rPr>
        <w:t>收费明细表（</w:t>
      </w:r>
      <w:r>
        <w:rPr>
          <w:rFonts w:hint="eastAsia" w:ascii="仿宋" w:hAnsi="仿宋" w:eastAsia="仿宋" w:cs="仿宋"/>
          <w:sz w:val="28"/>
          <w:szCs w:val="28"/>
        </w:rPr>
        <w:t>ProPay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（1）“到帐时间”的字段说明修改为“到帐时间指该笔收款记录在银行资金到银行账号的时间或现金收取时间，格式为YYYY-MM-DD HH:MM:SS”。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（2）“核销日期”的字段说明修改为“核销日期指该笔收款对应到业务上某笔业务收入的确认日期，格式为DATE”。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（3）“付款人账户名”（PayerAccName）字段类型修改为VARCHAR2(255)。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（4）“付款人银行名称”（PayerBankName）字段类型修改为VARCHAR2(255)。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116. 1.10.2</w:t>
      </w:r>
      <w:r>
        <w:rPr>
          <w:rFonts w:ascii="仿宋" w:hAnsi="仿宋" w:eastAsia="仿宋" w:cs="仿宋"/>
          <w:sz w:val="28"/>
          <w:szCs w:val="28"/>
        </w:rPr>
        <w:t>付费明细表（</w:t>
      </w:r>
      <w:r>
        <w:rPr>
          <w:rFonts w:hint="eastAsia" w:ascii="仿宋" w:hAnsi="仿宋" w:eastAsia="仿宋" w:cs="仿宋"/>
          <w:sz w:val="28"/>
          <w:szCs w:val="28"/>
        </w:rPr>
        <w:t>ProGet</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（1）“实付时间”的字段说明修改为“实付时间指该笔付款记录在银行资金从银行账号转出的时间或现金支付时间，格式为YYYY-MM-DD HH:MM:SS”。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（2）“核销日期”的字段说明修改为“核销日期该笔付款对应到业务上某笔业务支出的确认日期，格式为DATE”。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（3）“领款人银行账号”的字段类型修改为“VARCHAR2(100)”。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（4）“领款人账户名”（PayeeAccName）字段类型修改为VARCHAR2(255)。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（5）“领款人银行名称”（PayeeBankName）字段类型修改为VARCHAR2(255)。</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117. 1.11.4</w:t>
      </w:r>
      <w:r>
        <w:rPr>
          <w:rFonts w:ascii="仿宋" w:hAnsi="仿宋" w:eastAsia="仿宋" w:cs="仿宋"/>
          <w:sz w:val="28"/>
          <w:szCs w:val="28"/>
        </w:rPr>
        <w:t>再保比例合约分项信息表（</w:t>
      </w:r>
      <w:r>
        <w:rPr>
          <w:rFonts w:hint="eastAsia" w:ascii="仿宋" w:hAnsi="仿宋" w:eastAsia="仿宋" w:cs="仿宋"/>
          <w:sz w:val="28"/>
          <w:szCs w:val="28"/>
        </w:rPr>
        <w:t>FhSection</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（1）“溢额线数”字段的字段类型修改为DECIMAL(14,6)。</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（2）“浮动手续费率下限(%)”的中文名称修改为“浮动手续费率下限”，字段说明修改为“浮动手续费率的下限，取值范围0-1”。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（3）“浮动手续费率上限(%)”的中文名称修改为“浮动手续费率上限”，字段说明修改为“浮动手续费率的上限，取值范围0-1”。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118. 1.14.1</w:t>
      </w:r>
      <w:r>
        <w:rPr>
          <w:rFonts w:ascii="仿宋" w:hAnsi="仿宋" w:eastAsia="仿宋" w:cs="仿宋"/>
          <w:sz w:val="28"/>
          <w:szCs w:val="28"/>
        </w:rPr>
        <w:t>再保比例合约分入信息表（</w:t>
      </w:r>
      <w:r>
        <w:rPr>
          <w:rFonts w:hint="eastAsia" w:ascii="仿宋" w:hAnsi="仿宋" w:eastAsia="仿宋" w:cs="仿宋"/>
          <w:sz w:val="28"/>
          <w:szCs w:val="28"/>
        </w:rPr>
        <w:t>FhiRepolicy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（1）在“合约分项编码”字段下方按如下内容添加“序号”字段：</w:t>
      </w:r>
    </w:p>
    <w:tbl>
      <w:tblPr>
        <w:tblStyle w:val="39"/>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134"/>
        <w:gridCol w:w="757"/>
        <w:gridCol w:w="660"/>
        <w:gridCol w:w="2078"/>
        <w:gridCol w:w="1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字段中文名</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字段英文名</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字段类型</w:t>
            </w:r>
          </w:p>
        </w:tc>
        <w:tc>
          <w:tcPr>
            <w:tcW w:w="75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主键</w:t>
            </w:r>
          </w:p>
        </w:tc>
        <w:tc>
          <w:tcPr>
            <w:tcW w:w="66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必填</w:t>
            </w:r>
          </w:p>
        </w:tc>
        <w:tc>
          <w:tcPr>
            <w:tcW w:w="207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字段说明</w:t>
            </w:r>
          </w:p>
        </w:tc>
        <w:tc>
          <w:tcPr>
            <w:tcW w:w="118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适用险类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序号</w:t>
            </w:r>
          </w:p>
        </w:tc>
        <w:tc>
          <w:tcPr>
            <w:tcW w:w="1276"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SerialNo</w:t>
            </w:r>
          </w:p>
        </w:tc>
        <w:tc>
          <w:tcPr>
            <w:tcW w:w="1134"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NUMBER</w:t>
            </w:r>
          </w:p>
        </w:tc>
        <w:tc>
          <w:tcPr>
            <w:tcW w:w="757"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是</w:t>
            </w:r>
          </w:p>
        </w:tc>
        <w:tc>
          <w:tcPr>
            <w:tcW w:w="660"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p>
        </w:tc>
        <w:tc>
          <w:tcPr>
            <w:tcW w:w="2078"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同一合约分项编码下，序号从1开始，依次顺序递增。</w:t>
            </w:r>
          </w:p>
        </w:tc>
        <w:tc>
          <w:tcPr>
            <w:tcW w:w="1183"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全险种</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119. 1.14.2</w:t>
      </w:r>
      <w:r>
        <w:rPr>
          <w:rFonts w:ascii="仿宋" w:hAnsi="仿宋" w:eastAsia="仿宋" w:cs="仿宋"/>
          <w:sz w:val="28"/>
          <w:szCs w:val="28"/>
        </w:rPr>
        <w:t>再保比例合约分入批改信息表（</w:t>
      </w:r>
      <w:r>
        <w:rPr>
          <w:rFonts w:hint="eastAsia" w:ascii="仿宋" w:hAnsi="仿宋" w:eastAsia="仿宋" w:cs="仿宋"/>
          <w:sz w:val="28"/>
          <w:szCs w:val="28"/>
        </w:rPr>
        <w:t>FhiReendor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（1）在“合约分项编码”字段下方按如下内容添加“序号”字段：</w:t>
      </w:r>
    </w:p>
    <w:tbl>
      <w:tblPr>
        <w:tblStyle w:val="39"/>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134"/>
        <w:gridCol w:w="757"/>
        <w:gridCol w:w="660"/>
        <w:gridCol w:w="2088"/>
        <w:gridCol w:w="1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字段中文名</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字段英文名</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字段类型</w:t>
            </w:r>
          </w:p>
        </w:tc>
        <w:tc>
          <w:tcPr>
            <w:tcW w:w="75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主键</w:t>
            </w:r>
          </w:p>
        </w:tc>
        <w:tc>
          <w:tcPr>
            <w:tcW w:w="66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必填</w:t>
            </w:r>
          </w:p>
        </w:tc>
        <w:tc>
          <w:tcPr>
            <w:tcW w:w="208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字段说明</w:t>
            </w:r>
          </w:p>
        </w:tc>
        <w:tc>
          <w:tcPr>
            <w:tcW w:w="117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适用险类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序号</w:t>
            </w:r>
          </w:p>
        </w:tc>
        <w:tc>
          <w:tcPr>
            <w:tcW w:w="1276"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ascii="宋体" w:hAnsi="宋体" w:cs="宋体"/>
                <w:color w:val="FF0000"/>
                <w:kern w:val="0"/>
                <w:sz w:val="20"/>
                <w:szCs w:val="20"/>
              </w:rPr>
              <w:t>SerialNo</w:t>
            </w:r>
          </w:p>
        </w:tc>
        <w:tc>
          <w:tcPr>
            <w:tcW w:w="1134"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NUMBER</w:t>
            </w:r>
          </w:p>
        </w:tc>
        <w:tc>
          <w:tcPr>
            <w:tcW w:w="757"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是</w:t>
            </w:r>
          </w:p>
        </w:tc>
        <w:tc>
          <w:tcPr>
            <w:tcW w:w="660"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p>
        </w:tc>
        <w:tc>
          <w:tcPr>
            <w:tcW w:w="2088"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同一合约分项编码下，序号从1开始，依次顺序递增。</w:t>
            </w:r>
          </w:p>
        </w:tc>
        <w:tc>
          <w:tcPr>
            <w:tcW w:w="1173"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全险种</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120. 1.14.3</w:t>
      </w:r>
      <w:r>
        <w:rPr>
          <w:rFonts w:ascii="仿宋" w:hAnsi="仿宋" w:eastAsia="仿宋" w:cs="仿宋"/>
          <w:sz w:val="28"/>
          <w:szCs w:val="28"/>
        </w:rPr>
        <w:t>再保比例合约分入赔案信息表（</w:t>
      </w:r>
      <w:r>
        <w:rPr>
          <w:rFonts w:hint="eastAsia" w:ascii="仿宋" w:hAnsi="仿宋" w:eastAsia="仿宋" w:cs="仿宋"/>
          <w:sz w:val="28"/>
          <w:szCs w:val="28"/>
        </w:rPr>
        <w:t>FhiRepay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（1）在“合约分项编码”字段下方按如下内容添加“序号”字段：</w:t>
      </w:r>
    </w:p>
    <w:tbl>
      <w:tblPr>
        <w:tblStyle w:val="39"/>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76"/>
        <w:gridCol w:w="1134"/>
        <w:gridCol w:w="757"/>
        <w:gridCol w:w="660"/>
        <w:gridCol w:w="2118"/>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字段中文名</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字段英文名</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字段类型</w:t>
            </w:r>
          </w:p>
        </w:tc>
        <w:tc>
          <w:tcPr>
            <w:tcW w:w="75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主键</w:t>
            </w:r>
          </w:p>
        </w:tc>
        <w:tc>
          <w:tcPr>
            <w:tcW w:w="66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必填</w:t>
            </w:r>
          </w:p>
        </w:tc>
        <w:tc>
          <w:tcPr>
            <w:tcW w:w="21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字段说明</w:t>
            </w:r>
          </w:p>
        </w:tc>
        <w:tc>
          <w:tcPr>
            <w:tcW w:w="114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适用险类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384"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序号</w:t>
            </w:r>
          </w:p>
        </w:tc>
        <w:tc>
          <w:tcPr>
            <w:tcW w:w="1276"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ascii="宋体" w:hAnsi="宋体" w:cs="宋体"/>
                <w:color w:val="FF0000"/>
                <w:kern w:val="0"/>
                <w:sz w:val="20"/>
                <w:szCs w:val="20"/>
              </w:rPr>
              <w:t>SerialNo</w:t>
            </w:r>
          </w:p>
        </w:tc>
        <w:tc>
          <w:tcPr>
            <w:tcW w:w="1134"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NUMBER</w:t>
            </w:r>
          </w:p>
        </w:tc>
        <w:tc>
          <w:tcPr>
            <w:tcW w:w="757"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是</w:t>
            </w:r>
          </w:p>
        </w:tc>
        <w:tc>
          <w:tcPr>
            <w:tcW w:w="660"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p>
        </w:tc>
        <w:tc>
          <w:tcPr>
            <w:tcW w:w="2118"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同一合约分项编码下，序号从1开始，依次顺序递增。</w:t>
            </w:r>
          </w:p>
        </w:tc>
        <w:tc>
          <w:tcPr>
            <w:tcW w:w="1143"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s="宋体"/>
                <w:color w:val="FF0000"/>
                <w:kern w:val="0"/>
                <w:sz w:val="20"/>
                <w:szCs w:val="20"/>
              </w:rPr>
              <w:t>全险种</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121. 1.16.1</w:t>
      </w:r>
      <w:r>
        <w:rPr>
          <w:rFonts w:ascii="仿宋" w:hAnsi="仿宋" w:eastAsia="仿宋" w:cs="仿宋"/>
          <w:sz w:val="28"/>
          <w:szCs w:val="28"/>
        </w:rPr>
        <w:t>再保比例临分分入保单信息表（</w:t>
      </w:r>
      <w:r>
        <w:rPr>
          <w:rFonts w:hint="eastAsia" w:ascii="仿宋" w:hAnsi="仿宋" w:eastAsia="仿宋" w:cs="仿宋"/>
          <w:sz w:val="28"/>
          <w:szCs w:val="28"/>
        </w:rPr>
        <w:t>FciRepolicy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122. 1.16.2</w:t>
      </w:r>
      <w:r>
        <w:rPr>
          <w:rFonts w:ascii="仿宋" w:hAnsi="仿宋" w:eastAsia="仿宋" w:cs="仿宋"/>
          <w:sz w:val="28"/>
          <w:szCs w:val="28"/>
        </w:rPr>
        <w:t>再保比例临分分入批单信息表（</w:t>
      </w:r>
      <w:r>
        <w:rPr>
          <w:rFonts w:hint="eastAsia" w:ascii="仿宋" w:hAnsi="仿宋" w:eastAsia="仿宋" w:cs="仿宋"/>
          <w:sz w:val="28"/>
          <w:szCs w:val="28"/>
        </w:rPr>
        <w:t>FpiReendor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123. 1.16.3</w:t>
      </w:r>
      <w:r>
        <w:rPr>
          <w:rFonts w:ascii="仿宋" w:hAnsi="仿宋" w:eastAsia="仿宋" w:cs="仿宋"/>
          <w:sz w:val="28"/>
          <w:szCs w:val="28"/>
        </w:rPr>
        <w:t>再保比例临分分入赔案信息表（</w:t>
      </w:r>
      <w:r>
        <w:rPr>
          <w:rFonts w:hint="eastAsia" w:ascii="仿宋" w:hAnsi="仿宋" w:eastAsia="仿宋" w:cs="仿宋"/>
          <w:sz w:val="28"/>
          <w:szCs w:val="28"/>
        </w:rPr>
        <w:t>FliRepay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124. 1.17.1</w:t>
      </w:r>
      <w:r>
        <w:rPr>
          <w:rFonts w:ascii="仿宋" w:hAnsi="仿宋" w:eastAsia="仿宋" w:cs="仿宋"/>
          <w:sz w:val="28"/>
          <w:szCs w:val="28"/>
        </w:rPr>
        <w:t>再保比例临分分入分摊信息表（</w:t>
      </w:r>
      <w:r>
        <w:rPr>
          <w:rFonts w:hint="eastAsia" w:ascii="仿宋" w:hAnsi="仿宋" w:eastAsia="仿宋" w:cs="仿宋"/>
          <w:sz w:val="28"/>
          <w:szCs w:val="28"/>
        </w:rPr>
        <w:t>FhShare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125. 1.21.1</w:t>
      </w:r>
      <w:r>
        <w:rPr>
          <w:rFonts w:ascii="仿宋" w:hAnsi="仿宋" w:eastAsia="仿宋" w:cs="仿宋"/>
          <w:sz w:val="28"/>
          <w:szCs w:val="28"/>
        </w:rPr>
        <w:t>超赔临分分入层信息表（</w:t>
      </w:r>
      <w:r>
        <w:rPr>
          <w:rFonts w:hint="eastAsia" w:ascii="仿宋" w:hAnsi="仿宋" w:eastAsia="仿宋" w:cs="仿宋"/>
          <w:sz w:val="28"/>
          <w:szCs w:val="28"/>
        </w:rPr>
        <w:t>FhiXTreaty</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126. 1.22.1</w:t>
      </w:r>
      <w:r>
        <w:rPr>
          <w:rFonts w:ascii="仿宋" w:hAnsi="仿宋" w:eastAsia="仿宋" w:cs="仿宋"/>
          <w:sz w:val="28"/>
          <w:szCs w:val="28"/>
        </w:rPr>
        <w:t>超赔临分分入分摊信息表（</w:t>
      </w:r>
      <w:r>
        <w:rPr>
          <w:rFonts w:hint="eastAsia" w:ascii="仿宋" w:hAnsi="仿宋" w:eastAsia="仿宋" w:cs="仿宋"/>
          <w:sz w:val="28"/>
          <w:szCs w:val="28"/>
        </w:rPr>
        <w:t>FeoXsettle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（1）“危险单位号”修改为主键、必填。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127</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w:t>
      </w:r>
      <w:r>
        <w:rPr>
          <w:rFonts w:hint="eastAsia" w:ascii="仿宋" w:hAnsi="仿宋" w:eastAsia="仿宋" w:cs="仿宋"/>
          <w:sz w:val="28"/>
          <w:szCs w:val="28"/>
        </w:rPr>
        <w:t>21</w:t>
      </w:r>
      <w:r>
        <w:rPr>
          <w:rFonts w:ascii="仿宋" w:hAnsi="仿宋" w:eastAsia="仿宋" w:cs="仿宋"/>
          <w:sz w:val="28"/>
          <w:szCs w:val="28"/>
        </w:rPr>
        <w:t>.</w:t>
      </w:r>
      <w:r>
        <w:rPr>
          <w:rFonts w:hint="eastAsia" w:ascii="仿宋" w:hAnsi="仿宋" w:eastAsia="仿宋" w:cs="仿宋"/>
          <w:sz w:val="28"/>
          <w:szCs w:val="28"/>
        </w:rPr>
        <w:t>2</w:t>
      </w:r>
      <w:r>
        <w:rPr>
          <w:rFonts w:ascii="仿宋" w:hAnsi="仿宋" w:eastAsia="仿宋" w:cs="仿宋"/>
          <w:sz w:val="28"/>
          <w:szCs w:val="28"/>
        </w:rPr>
        <w:t>超赔临分分入层分出人信息表（</w:t>
      </w:r>
      <w:r>
        <w:rPr>
          <w:rFonts w:hint="eastAsia" w:ascii="仿宋" w:hAnsi="仿宋" w:eastAsia="仿宋" w:cs="仿宋"/>
          <w:sz w:val="28"/>
          <w:szCs w:val="28"/>
        </w:rPr>
        <w:t>FhiXLayer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128</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w:t>
      </w:r>
      <w:r>
        <w:rPr>
          <w:rFonts w:hint="eastAsia" w:ascii="仿宋" w:hAnsi="仿宋" w:eastAsia="仿宋" w:cs="仿宋"/>
          <w:sz w:val="28"/>
          <w:szCs w:val="28"/>
        </w:rPr>
        <w:t>2</w:t>
      </w:r>
      <w:r>
        <w:rPr>
          <w:rFonts w:ascii="仿宋" w:hAnsi="仿宋" w:eastAsia="仿宋" w:cs="仿宋"/>
          <w:sz w:val="28"/>
          <w:szCs w:val="28"/>
        </w:rPr>
        <w:t>3.</w:t>
      </w:r>
      <w:r>
        <w:rPr>
          <w:rFonts w:hint="eastAsia" w:ascii="仿宋" w:hAnsi="仿宋" w:eastAsia="仿宋" w:cs="仿宋"/>
          <w:sz w:val="28"/>
          <w:szCs w:val="28"/>
        </w:rPr>
        <w:t>1</w:t>
      </w:r>
      <w:r>
        <w:rPr>
          <w:rFonts w:ascii="仿宋" w:hAnsi="仿宋" w:eastAsia="仿宋" w:cs="仿宋"/>
          <w:sz w:val="28"/>
          <w:szCs w:val="28"/>
        </w:rPr>
        <w:t>超赔临分分出层信息表（</w:t>
      </w:r>
      <w:r>
        <w:rPr>
          <w:rFonts w:hint="eastAsia" w:ascii="仿宋" w:hAnsi="仿宋" w:eastAsia="仿宋" w:cs="仿宋"/>
          <w:sz w:val="28"/>
          <w:szCs w:val="28"/>
        </w:rPr>
        <w:t>FeoXLayer</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129</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w:t>
      </w:r>
      <w:r>
        <w:rPr>
          <w:rFonts w:hint="eastAsia" w:ascii="仿宋" w:hAnsi="仿宋" w:eastAsia="仿宋" w:cs="仿宋"/>
          <w:sz w:val="28"/>
          <w:szCs w:val="28"/>
        </w:rPr>
        <w:t>2</w:t>
      </w:r>
      <w:r>
        <w:rPr>
          <w:rFonts w:ascii="仿宋" w:hAnsi="仿宋" w:eastAsia="仿宋" w:cs="仿宋"/>
          <w:sz w:val="28"/>
          <w:szCs w:val="28"/>
        </w:rPr>
        <w:t>3.</w:t>
      </w:r>
      <w:r>
        <w:rPr>
          <w:rFonts w:hint="eastAsia" w:ascii="仿宋" w:hAnsi="仿宋" w:eastAsia="仿宋" w:cs="仿宋"/>
          <w:sz w:val="28"/>
          <w:szCs w:val="28"/>
        </w:rPr>
        <w:t>2</w:t>
      </w:r>
      <w:r>
        <w:rPr>
          <w:rFonts w:ascii="仿宋" w:hAnsi="仿宋" w:eastAsia="仿宋" w:cs="仿宋"/>
          <w:sz w:val="28"/>
          <w:szCs w:val="28"/>
        </w:rPr>
        <w:t>超赔临分分出层接受人信息表（</w:t>
      </w:r>
      <w:r>
        <w:rPr>
          <w:rFonts w:hint="eastAsia" w:ascii="仿宋" w:hAnsi="仿宋" w:eastAsia="仿宋" w:cs="仿宋"/>
          <w:sz w:val="28"/>
          <w:szCs w:val="28"/>
        </w:rPr>
        <w:t>FeoXReins</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130</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w:t>
      </w:r>
      <w:r>
        <w:rPr>
          <w:rFonts w:hint="eastAsia" w:ascii="仿宋" w:hAnsi="仿宋" w:eastAsia="仿宋" w:cs="仿宋"/>
          <w:sz w:val="28"/>
          <w:szCs w:val="28"/>
        </w:rPr>
        <w:t>24</w:t>
      </w:r>
      <w:r>
        <w:rPr>
          <w:rFonts w:ascii="仿宋" w:hAnsi="仿宋" w:eastAsia="仿宋" w:cs="仿宋"/>
          <w:sz w:val="28"/>
          <w:szCs w:val="28"/>
        </w:rPr>
        <w:t>.</w:t>
      </w:r>
      <w:r>
        <w:rPr>
          <w:rFonts w:hint="eastAsia" w:ascii="仿宋" w:hAnsi="仿宋" w:eastAsia="仿宋" w:cs="仿宋"/>
          <w:sz w:val="28"/>
          <w:szCs w:val="28"/>
        </w:rPr>
        <w:t>1</w:t>
      </w:r>
      <w:r>
        <w:rPr>
          <w:rFonts w:ascii="仿宋" w:hAnsi="仿宋" w:eastAsia="仿宋" w:cs="仿宋"/>
          <w:sz w:val="28"/>
          <w:szCs w:val="28"/>
        </w:rPr>
        <w:t>超赔临分分出摊回信息表（</w:t>
      </w:r>
      <w:r>
        <w:rPr>
          <w:rFonts w:hint="eastAsia" w:ascii="仿宋" w:hAnsi="仿宋" w:eastAsia="仿宋" w:cs="仿宋"/>
          <w:sz w:val="28"/>
          <w:szCs w:val="28"/>
        </w:rPr>
        <w:t>ProLClaimShare</w:t>
      </w:r>
      <w:r>
        <w:rPr>
          <w:rFonts w:ascii="仿宋" w:hAnsi="仿宋" w:eastAsia="仿宋" w:cs="仿宋"/>
          <w:sz w:val="28"/>
          <w:szCs w:val="28"/>
        </w:rPr>
        <w: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（1）“层编码”的字段说明修改为“超赔层编码。”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131</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1.25.1产品信息表(ProDRisk)</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（1）“险类代码”（ClassCode）字段类型修改为VARCHAR2(50)。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132</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1.25.2条款信息表（prodClause）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（1）“条款编号”（clauseCode）字段类型修改varchar2(100)。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（2）“险类代码”（ClassCode）字段类型修改为VARCHAR2(50)。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133</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1.25.4条款责任关系信息表（ProDClauseKind）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（1）“责任英文名称”（KindEname）字段类型修改VARCHAR2(255)。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（2）“费率适用地区” （AreaName）字段类型修改为text。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134</w:t>
      </w:r>
      <w:r>
        <w:rPr>
          <w:rFonts w:ascii="仿宋" w:hAnsi="仿宋" w:eastAsia="仿宋" w:cs="仿宋"/>
          <w:sz w:val="28"/>
          <w:szCs w:val="28"/>
        </w:rPr>
        <w:t>.</w:t>
      </w:r>
      <w:r>
        <w:rPr>
          <w:rFonts w:hint="eastAsia" w:ascii="仿宋" w:hAnsi="仿宋" w:eastAsia="仿宋" w:cs="仿宋"/>
          <w:sz w:val="28"/>
          <w:szCs w:val="28"/>
        </w:rPr>
        <w:t xml:space="preserve"> </w:t>
      </w:r>
      <w:r>
        <w:rPr>
          <w:rFonts w:ascii="仿宋" w:hAnsi="仿宋" w:eastAsia="仿宋" w:cs="仿宋"/>
          <w:sz w:val="28"/>
          <w:szCs w:val="28"/>
        </w:rPr>
        <w:t>1.26.1客户黑名单信息表(ProCBlacklist)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（1）“黑名单客户编号”（BlackListNo）字段类型修改为VARCHAR2(200)。</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（2）“保信客户编号”（CustomerNo）字段类型修改为VARCHAR2(200)。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135. 1.5.1</w:t>
      </w:r>
      <w:r>
        <w:rPr>
          <w:rFonts w:ascii="仿宋" w:hAnsi="仿宋" w:eastAsia="仿宋" w:cs="仿宋"/>
          <w:sz w:val="28"/>
          <w:szCs w:val="28"/>
        </w:rPr>
        <w:t>保险公司从业人员信息表(ProCSales)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（1）“业务职级名称”（BusinessRankName）字段类型修改为VARCHAR2(200)。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136. 2.2</w:t>
      </w:r>
      <w:r>
        <w:rPr>
          <w:rFonts w:ascii="仿宋" w:hAnsi="仿宋" w:eastAsia="仿宋" w:cs="仿宋"/>
          <w:sz w:val="28"/>
          <w:szCs w:val="28"/>
        </w:rPr>
        <w:t>取数规则说明</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（1）2.2.9批改的【保单批改责任信息】、【保单收费计划】修改为非必报。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（2）2.2.10续期的【保单收费计划】修改为非必报。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（3）2.2.11满期的【保单标的责任信息】、【保单收费计划】修改为非必报。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（4）2.2.16理赔结案的【保单收费计划】修改为非必报。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（5）2.2.25再保分出业务新增的【保单基本信息】修改为非必报。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（6）2.2.26再保分出业务批改的【保单基本信息】、【保单批改作业信息】修改为非必报。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（7）2.2.27再保分出业务摊回的【保单基本信息】修改为非必报。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（8）2.2.31申报业务明细新增的【保单基本信息】、【保单标的责任信息】、【保单收费计划】修改为非必报。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137. </w:t>
      </w:r>
      <w:r>
        <w:rPr>
          <w:rFonts w:ascii="仿宋" w:hAnsi="仿宋" w:eastAsia="仿宋" w:cs="仿宋"/>
          <w:sz w:val="28"/>
          <w:szCs w:val="28"/>
        </w:rPr>
        <w:t>2.2.10续期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删除2.2.10.2报送说明中的第2条“发生《业务代码表》中“批改类型代码”对应的批改项目时，需要报送相关的【批改作业信息】以及最新的保单模块信息，当涉及到退费时，还需报送【保单自然人领款人信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138. </w:t>
      </w:r>
      <w:r>
        <w:rPr>
          <w:rFonts w:ascii="仿宋" w:hAnsi="仿宋" w:eastAsia="仿宋" w:cs="仿宋"/>
          <w:sz w:val="28"/>
          <w:szCs w:val="28"/>
        </w:rPr>
        <w:t>3.3.1码表校验</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赔追偿信息】的“被追偿方证件类型代码”字段的字段说明修改为“被追偿方为国内个人时，对应《业务代码表》中的“个人身份证件类型代码”；被追偿方为国内团体时，对应《业务代码表》中的“组织机构常用证件类型代码”。当被追偿方为海外主体时，可报送默认值。”</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3.3.1码表校验该部分的说明由“凡是表中需要使用代码的字段，必须全部使用《2-3中国保险业保单登记管理信息平台（第三期）-业务代码（财）》中的代码。”修改为“凡是表中保险公司有对应报送数据，并需要使用代码的字段，必须全部使用《2-3中国保险业保单登记管理信息平台（第三期）-业务代码（财）》中的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（3）【保单非自然人投保人信息】的“行业分类代码”的字段说明修改为：对应《业务代码表》中的“国民经济行业分类代码”。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（4）【保单非自然人被保险人信息】的“行业分类代码”的字段说明修改为：对应《业务代码表》中的“国民经济行业分类代码”。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（5）【单用途商业预付卡保证险_预付卡信息】的“发卡企业行业分类代码”的字段说明修改为：对应《业务代码表》中的“国民经济行业分类代码”。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（6）【贸易信用保险限额信息_买方信息】的“行业代码”的字段中文名称修改为“行业分类代码”。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（7）【石化财产险_企业扩展信息】的“行业代码”的字段中文名称修改为“行业分类代码”。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（8）【现金保险财产险_风险信息】的“行业代码”的字段中文名称修改为“行业分类代码”。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（9）【环境污染责任险_企业信息】的“行业代码”的字段中文名称修改为“行业分类代码”。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（10）【公众责任险_场所信息】的“场所行业代码”的字段中文名称修改为“行业分类代码”。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（11）【雇主责任险_企业信息】的“行业代码”的字段中文名称修改为“行业分类代码”。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（12）【疾病信息表】的“肿瘤形态学代码”字段的字段说明修改为：对应《业务代码表》中的“肿瘤形态学代码”。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139. </w:t>
      </w:r>
      <w:r>
        <w:rPr>
          <w:rFonts w:ascii="仿宋" w:hAnsi="仿宋" w:eastAsia="仿宋" w:cs="仿宋"/>
          <w:sz w:val="28"/>
          <w:szCs w:val="28"/>
        </w:rPr>
        <w:t>3</w:t>
      </w:r>
      <w:r>
        <w:rPr>
          <w:rFonts w:hint="eastAsia" w:ascii="仿宋" w:hAnsi="仿宋" w:eastAsia="仿宋" w:cs="仿宋"/>
          <w:sz w:val="28"/>
          <w:szCs w:val="28"/>
        </w:rPr>
        <w:t>.3.2</w:t>
      </w:r>
      <w:r>
        <w:rPr>
          <w:rFonts w:ascii="仿宋" w:hAnsi="仿宋" w:eastAsia="仿宋" w:cs="仿宋"/>
          <w:sz w:val="28"/>
          <w:szCs w:val="28"/>
        </w:rPr>
        <w:t>表内/外关系核对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（1）【保单基本信息】表内关系由【“交易编码”在该表中唯一】修改为【“交易编码”在保单交易表中存在】。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（2）【保单自然人投保人信息】表内关系由【“交易编码”在该表中唯一】修改为【“交易编码”在保单交易表中存在】。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（3）【保单非自然人投保人信息】表内关系由【“交易编码”在“保单交易表”中唯一】修改为【“交易编码”在保单交易表中存在】。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（4）【保单批改作业信息】表内关系由【“交易编码”在该表中唯一】修改为【“交易编码”在保单交易表中存在】。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（5）【理赔报案信息】表内关系由【“交易编码”在该表中唯一】修改为【“交易编码”在保单交易表中存在】。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（6）【理赔报案处理信息】表内关系由【“交易编码”在该表中唯一】修改为【“交易编码”在保单交易表中存在】。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（7）【理赔立案信息】表内关系由【“交易编码”在该表中唯一】修改为【“交易编码”在保单交易表中存在】。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（8）【理赔立案信息】删除规则【“报案编号”在理赔报案信息表中：同一交易编码、同一保单编号下相等】。</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（9）【理赔立案处理信息】表内关系由【“交易编码”在该表中唯一】修改为【“交易编码”在保单交易表中存在】。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（10）【理赔结案信息】表内关系由【“交易编码”在该表中唯一】修改为【“交易编码”在保单交易表中存在】。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（11）【理赔明细信息】表内关系由【“交易编码”在该表中唯一】修改为【“交易编码”在保单交易表中存在】。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（12）【产品信息】表内关系删除【“交易编码”在该表中唯一】。</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（13）【条款信息】表内关系删除【“交易编码”在该表中唯一】。</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（14）【收费明细表】删除规则【“原业务数据交易编码”在保单交易表中存在】。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（15）【付费明细表】删除规则【“原业务数据交易编码”在保单交易表中存在】。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（16）【再保比例合约分项信息】修改规则为：【“合约编码”在再保比例合约信息表中存在】。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（17）【再保比例分出合约分项接受人信息】修改规则为：【“合约编码”在再保比例合约分项信息表中存在】和【“合约分项编码”在再保比例合约分项信息表中同一合约编码下存在】。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（18）【再保比例分入合约分项分出人信息】修改规则为：【“合约编码”在再保比例合约分项信息表中存在】和【“合约分项编码”在再保比例合约分项信息表中同一合约编码下存在】。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（19）【再保比例分出保单信息】修改规则为：【“合约编码”在再保比例合约分项信息表中存在】和【“合约分项编码”在再保比例合约分项信息表中同一合约编码下存在】。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（20）【再保比例分出批单信息】修改规则为：【“合约编码”在再保比例合约分项信息表中存在】和【“合约分项编码”在再保比例合约分项信息表中同一合约编码下存在】。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（21）【再保比例分出摊回信息】修改规则为：【“合约编码”在再保比例合约信息表中存在】和删除【“赔案编号”在理赔结案信息表中：同一交易编码下存在】。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22）【再保比例合约分入信息】删除规则【“合约分项编码”在该表中：同一公司编码、同一交易编码、同一合约编码下唯一】；新增规则【“序号”在该表中：同一公司编码、同一交易编码、同一合约编码、同一合约分项编码下唯一】；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（23）【再保比例合约分入信息】修改规则为：【“合约编码”在再保比例合约分项信息表中存在】和【“合约分项编码”在再保比例合约分项信息表中同一合约编码下存在】。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24）【再保比例合约分入批改信息】删除规则【“合约分项编码”在该表中：同一公司编码、同一交易编码、同一合约编码下唯一】；新增规则【“序号”在该表中：同一公司编码、同一交易编码、同一合约编码、同一合约分项编码下唯一】；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（25）【再保比例合约分入批改信息】修改规则为：【“合约编码”在再保比例合约分项信息表中存在】和【“合约分项编码”在再保比例合约分项信息表中同一合约编码下存在】。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26）【再保比例合约分入赔案信息】删除规则【“合约分项编码”在该表中：同一公司编码、同一交易编码、同一合约编码下唯一】；新增规则【“序号”在该表中：同一公司编码、同一交易编码、同一合约编码、同一合约分项编码下唯一】；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（27）【再保比例合约分入赔案信息】修改规则为：【“合约编码”在再保比例合约分项信息表中存在】和【“合约分项编码”在再保比例合约分项信息表中同一合约编码下存在】。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（28）【再保比例合约分入分摊信息】修改规则为：【“合约编码”在再保比例合约分项信息表中存在】和【“合约分项编码”在再保比例合约分项信息表中同一合约编码下存在】。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（29）【超赔合约分出业务赔款摊回信息】修改规则为：【“合约编码”在超赔合约层信息表中存在】和【“合约层编码”在超赔合约层信息表中同一合约编码下存在】。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（30）【超赔合约分入业务赔款分摊信息】修改规则为：【“合约编码”在超赔合约层信息表中存在】和【“合约层编码”在超赔合约层信息表中同一合约编码下存在】。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（31）【超赔临分分入层分出人信息】修改规则为：【“层编码”在超赔临分分入层信息表中存在】。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（32）【超赔临分分入分摊信息】修改规则为：【“合约层编码”在超赔临分分入层信息表中存在】。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（33）【超赔临分分出层信息】修改规则为：【“层编码”在超赔合约层信息表中存在】。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（34）【超赔临分分出层接受人信息】修改规则为：【 “层编码”在超赔临分分出层信息表中存在】。</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140. </w:t>
      </w:r>
      <w:r>
        <w:rPr>
          <w:rFonts w:ascii="仿宋" w:hAnsi="仿宋" w:eastAsia="仿宋" w:cs="仿宋"/>
          <w:sz w:val="28"/>
          <w:szCs w:val="28"/>
        </w:rPr>
        <w:t>城乡居民住宅地震巨灾保险数据报送要求</w:t>
      </w:r>
    </w:p>
    <w:p>
      <w:pPr>
        <w:pStyle w:val="52"/>
        <w:numPr>
          <w:ilvl w:val="255"/>
          <w:numId w:val="0"/>
        </w:numPr>
        <w:spacing w:line="560" w:lineRule="exact"/>
        <w:ind w:firstLine="480" w:firstLineChars="200"/>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由“城乡居民住宅地震巨灾保险的所有数据由上海保险交易所向平台报送，各保险公司无需报送。”修改为“城乡居民住宅地震巨灾保险的业务，如果是共保业务，则由主共方报送。如果是直保业务，则由各公司报送各自数据。”</w:t>
      </w:r>
    </w:p>
    <w:p>
      <w:pPr>
        <w:pStyle w:val="3"/>
        <w:spacing w:before="0" w:after="0" w:line="560" w:lineRule="exact"/>
        <w:rPr>
          <w:rFonts w:ascii="楷体" w:hAnsi="楷体" w:eastAsia="楷体" w:cs="楷体"/>
        </w:rPr>
      </w:pPr>
      <w:r>
        <w:rPr>
          <w:rFonts w:hint="eastAsia" w:ascii="楷体" w:hAnsi="楷体" w:eastAsia="楷体" w:cs="楷体"/>
        </w:rPr>
        <w:t>（二）2-3 业务代码（财）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CD000004个人身份证件类型代码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（1）目录页该代码“版本日期”修改为“2017/9/29”；</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（2）增加代码项：118-中国人民解放军士兵证、119-中国人民武装警察部队士兵证、520-香港永久性居民身份证、521-香港居民身份证、550-港澳台居民居住证；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代码项修改：“123-警官证”名称修改为“123-人民警察证”、“225-毕业证书”名称修改为“225-毕业证”、“413-因公普通护照”名称修改为“413-公务普通护照”、“417-外国人出入境证”名称修改为“417-外国人出入境通行证”、“516-港澳同胞回乡证（通行卡）”名称修改为“516-港澳居民来往内地通行证”、“553-外国人永久居留身份证”名称修改为“553-外国人永久居留证”、“554-外国人居留证”名称修改为“554-外国人居留证或居留许可”、“557-出籍证书”名称修改为“557-退籍证书”。</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CD000018保单终止原因代码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CD000020批改类型代码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（2）在“86-联系形式变更批改”下方按如下内容增加“87-公司解约”。</w:t>
      </w:r>
    </w:p>
    <w:tbl>
      <w:tblPr>
        <w:tblStyle w:val="39"/>
        <w:tblW w:w="5160" w:type="dxa"/>
        <w:tblInd w:w="0"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87</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公司解约</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w:t>
            </w: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（3）“04-变更受益人或收益比例”名称修改为“04-变更受益人或受益比例”。</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（4）在“62-变更联共保信息”下方按如下内容增加“71-修改补贴系数”。</w:t>
      </w:r>
    </w:p>
    <w:tbl>
      <w:tblPr>
        <w:tblStyle w:val="39"/>
        <w:tblW w:w="5160" w:type="dxa"/>
        <w:tblInd w:w="0"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71</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修改补贴系数</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CD000030疾病代码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CD000026财产险出险原因代码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（2）“1-自然灾害”的说明修改为“本级不使用”。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（3）“161-火山爆发”、“162-堰塞湖”、“163-大坝决堤造成的水淹”、“164-内涝”、“165-低温冷害”、“166-高温”、“167-沙尘暴”按以上顺序调整至“117-龙卷风”下方。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（4）“195-其他自然灾害”调整至“167-沙尘暴”下方。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（5）在“195-其他自然灾害”下方按如下内容增加“12-责任事故”。</w:t>
      </w:r>
    </w:p>
    <w:tbl>
      <w:tblPr>
        <w:tblStyle w:val="39"/>
        <w:tblW w:w="6658" w:type="dxa"/>
        <w:tblInd w:w="0"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953"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85"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Cs/>
                <w:kern w:val="0"/>
                <w:sz w:val="20"/>
                <w:szCs w:val="20"/>
              </w:rPr>
              <w:t>12</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Cs/>
                <w:kern w:val="0"/>
                <w:sz w:val="20"/>
                <w:szCs w:val="20"/>
              </w:rPr>
              <w:t>责任事故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本级不使用</w:t>
            </w: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（6）“119-人身意外伤害”调整至“330-他人肇事逃逸”下方。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（7）“123-盗窃抢劫”、“124-水管爆裂”、“125-飞行物体坠落”、“126-空坠物”、“127-电气事故”、“128-意外断电”、“129-碰撞”、“131-倾覆”按以上顺序调整至“330-他人肇事逃逸”下方。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在“155-附加责任”下方按如下内容顺序增加“168-交通事故”、“169-航班延误”、“170-污染”、“171-虚假信息或信息未披露”、“172-董事高管责任”、“173-其他职业过失”、“174-违规操作、违章作业”、“175-场地、设施缺陷”、“176-未尽到及时救助”、“177-未尽到安全保障义务”、“178-其他经营过失”、“179-医疗事故”、“180-职业病”。</w:t>
      </w:r>
    </w:p>
    <w:tbl>
      <w:tblPr>
        <w:tblStyle w:val="39"/>
        <w:tblW w:w="6658" w:type="dxa"/>
        <w:tblInd w:w="0"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953"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85"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168</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交通事故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本级不使用</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169</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航班延误</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170</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污染</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171</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虚假信息或信息未披露</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172</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董事高管责任</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173</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其他职业过失</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174</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违规操作、违章作业</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175</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场地、设施缺陷</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176</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未尽到及时救助</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177</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未尽到安全保障义务</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178</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其他经营过失</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179</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医疗事故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Cs/>
                <w:sz w:val="20"/>
                <w:szCs w:val="20"/>
              </w:rPr>
            </w:pPr>
            <w:r>
              <w:rPr>
                <w:rFonts w:hint="eastAsia" w:asciiTheme="minorEastAsia" w:hAnsiTheme="minorEastAsia" w:eastAsiaTheme="minorEastAsia" w:cstheme="minorEastAsia"/>
                <w:bCs/>
                <w:sz w:val="20"/>
                <w:szCs w:val="20"/>
              </w:rPr>
              <w:t>180</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职业病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（9）“2-地质灾害”的说明修改为“本级不使用”。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（10）“213-火灾、爆炸”的说明修改为“本次不使用”。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（11）“214-台风、恶劣气候、地震等自然灾害”的说明修改为“本次不使用”。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（12）在“273-腐烂”下方按如下内容顺序增加“274-霉变”。</w:t>
      </w:r>
    </w:p>
    <w:tbl>
      <w:tblPr>
        <w:tblStyle w:val="39"/>
        <w:tblW w:w="6658" w:type="dxa"/>
        <w:tblInd w:w="0"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953"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85"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274</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霉变</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w:t>
            </w: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（13）“3-意外事故”的说明修改为“本级不使用”。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（14）在“131-倾覆”下方按如下内容顺序增加“331-塌方”、“332-坍塌”、“333-坠落”、“334-变形”、“335-电压异常”、“336-跌倒、摔伤”、“337-飞机失事”、“338-机械伤害”、“339-溺水”。</w:t>
      </w:r>
    </w:p>
    <w:tbl>
      <w:tblPr>
        <w:tblStyle w:val="39"/>
        <w:tblW w:w="6658" w:type="dxa"/>
        <w:tblInd w:w="0"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953"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85"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331</w:t>
            </w:r>
          </w:p>
        </w:tc>
        <w:tc>
          <w:tcPr>
            <w:tcW w:w="2953"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塌方</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332</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坍塌</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333</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坠落</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334</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变形</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335</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电压异常</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336</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跌倒、摔伤</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337</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飞机失事</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338</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机械伤害</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339</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溺水</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（15）“137-短路、超电压等电气事故”、“138-计算机故障”、“139-电梯事故”、“197-其他机损意外事故”、“196-其他意外事故”按如上顺序调整至“339-溺水”下方。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（16）“4-生物灾害”的说明修改为“本级不使用”。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（17）“5-指数出险”的说明修改为“本级不使用”。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（18）“6-养殖业保险专用出险原因”的说明修改为“本级不使用”。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19）在“6-养殖业保险专用出险原因”下方按如下内容增加“7-信用险专用出险原因”、“701-买方拖欠”、“702-买方拒收”、“703-买方破产”、“704-买方无正当理由拒绝履行合同”、“705-开证行拖欠”、“706-开证行破产”、“707-开证行拒绝承兑”、“708-政治风险”、“799-其他信用险出险原因”。</w:t>
      </w:r>
    </w:p>
    <w:tbl>
      <w:tblPr>
        <w:tblStyle w:val="39"/>
        <w:tblW w:w="6658" w:type="dxa"/>
        <w:tblInd w:w="0"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953"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85"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7</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信用险专用出险原因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本级不使用</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701</w:t>
            </w:r>
          </w:p>
        </w:tc>
        <w:tc>
          <w:tcPr>
            <w:tcW w:w="2953"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买方拖欠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702</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买方拒收</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703</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买方破产</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704</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买方无正当理由拒绝履行合同</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705</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开证行拖欠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706</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开证行破产</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707</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开证行拒绝承兑</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708</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政治风险</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799</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其他信用险出险原因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CD000032收付款方式代码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 “版本日期”修改为“2017/11/24”。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CD000044销售渠道类型代码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（1）目录页该代码“三期变更说明”列的内容修改为“三期调整”，“版本日期”修改为“2017/11/24”。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CD000048国别代码</w:t>
      </w:r>
    </w:p>
    <w:p>
      <w:pPr>
        <w:pStyle w:val="52"/>
        <w:numPr>
          <w:ilvl w:val="255"/>
          <w:numId w:val="0"/>
        </w:numPr>
        <w:spacing w:line="560" w:lineRule="exact"/>
        <w:rPr>
          <w:rFonts w:ascii="宋体" w:hAnsi="宋体" w:cs="宋体"/>
          <w:sz w:val="20"/>
          <w:szCs w:val="20"/>
        </w:rPr>
      </w:pPr>
      <w:r>
        <w:rPr>
          <w:rFonts w:hint="eastAsia" w:asciiTheme="minorEastAsia" w:hAnsiTheme="minorEastAsia" w:eastAsiaTheme="minorEastAsia" w:cstheme="minorEastAsia"/>
          <w:szCs w:val="24"/>
        </w:rPr>
        <w:t>（1）增加17条代码值，如下所示，修改三期变更说明为“三期调整”。</w:t>
      </w:r>
    </w:p>
    <w:p>
      <w:r>
        <w:rPr>
          <w:rFonts w:hint="eastAsia"/>
        </w:rPr>
        <w:object>
          <v:shape id="_x0000_i1025" o:spt="75" type="#_x0000_t75" style="height:66pt;width:72.75pt;" o:ole="t" filled="f" o:preferrelative="t" stroked="f" coordsize="21600,21600">
            <v:path/>
            <v:fill on="f" focussize="0,0"/>
            <v:stroke on="f" joinstyle="miter"/>
            <v:imagedata r:id="rId7" o:title=""/>
            <o:lock v:ext="edit" aspectratio="t"/>
            <w10:wrap type="none"/>
            <w10:anchorlock/>
          </v:shape>
          <o:OLEObject Type="Embed" ProgID="Package" ShapeID="_x0000_i1025" DrawAspect="Icon" ObjectID="_1468075725" r:id="rId6">
            <o:LockedField>false</o:LockedField>
          </o:OLEObject>
        </w:objec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CD000068手术代码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CD000095财产险产品类型代码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（1）目录页该代码“三期变更说明”列的内容修改为“三期调整”，“版本日期”修改为“2017/11/22”。</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CD000103保单种类代码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CD000104业务性质代码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CD000106保险分支机构代码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CD000153中医疾病代码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 “版本日期”修改为“2017/10/13”。</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CD000192担保方式代码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CD000198追偿类型代码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CD000212财产险赔案费用类型代码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（2）在“093-伤残鉴定费”下方按如下内容顺序增加“094-翻译费”、“095-破产债权登记费”、“096-物权保留登记费”、“097-认证费”。</w:t>
      </w:r>
    </w:p>
    <w:tbl>
      <w:tblPr>
        <w:tblStyle w:val="39"/>
        <w:tblW w:w="5160" w:type="dxa"/>
        <w:tblInd w:w="0"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094</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翻译费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095</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破产债权登记费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096</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物权保留登记费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097</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认证费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（3）代码项修改：“012-续医费”名称修改为“012-后续治疗费”、 “034-伙食补助费”名称修改为“034-住院伙食补助费”、 “017-残补费”名称修改为“017-残疾赔偿金”、 “018-残具费”名称修改为“018-残疾辅助器具费”、 “019-死补费”名称修改为“019-死亡补偿费”、 “036-生活费”名称修改为“036-被扶养人生活费”。</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CD000221报案处理类型代码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CD000237医疗机构代码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（1）目录页该代码“三期变更说明”列的内容修改为“三期调整”，“版本日期”修改“2017/10/13”。</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CD000248财险收费类型代码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（2）“05-收保费”的说明修改为“收承保保费”。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（3）“30-退储金保费” 的说明修改为“适用于储金型产品”。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（4）“79-收分保手续费”的说明修改为“本次暂不使用”。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（5）“80-收分保税款”的说明修改为“本次暂不使用”。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（6）“81-收纯益手续费”的说明修改为“本次暂不使用”。</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CD000249财险付费类型代码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（2）“01-确认赔款支出”的说明修改为“本次暂不使用”。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（3）“12-减保/减费-应付保费”的说明修改为“本次暂不使用”。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（4）“24-退保/退费-应付保费”的说明修改为“本次暂不使用”。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（5）“53-支应付手续费”的说明修改为“本次暂不使用”。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（6）“56-确认职工业务绩效”的说明修改为“本次暂不使用”。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（7）“57-支付职工业务绩效”的说明修改为“本次暂不使用”。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（8）“79-支申购费用”的说明修改为“本次暂不使用”。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（9）“98-支分保手续费”的说明修改为“本次暂不使用”。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（10）“100-支经纪费”的说明修改为“本次暂不使用”。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（11）“102-支分保税款”的说明修改为“本次暂不使用”。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（12）“103-支纯益手续费”的说明修改为“本次暂不使用”。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（13）新增码值“105-追回款转付客户”。</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（14）新增码值“106-追回款转付再保人”。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CD000275占用性质代码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（1）新增码值“99-其他”。</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CD000276国民经济行业分类代码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（1）增加码值：99-其他。</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CD000303争议解决方式代码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（2）在“02-仲裁”下方按如下内容顺序增加“03-协商”和“99-其他”。</w:t>
      </w:r>
    </w:p>
    <w:tbl>
      <w:tblPr>
        <w:tblStyle w:val="39"/>
        <w:tblW w:w="5160" w:type="dxa"/>
        <w:tblInd w:w="0" w:type="dxa"/>
        <w:tblLayout w:type="fixed"/>
        <w:tblCellMar>
          <w:top w:w="0" w:type="dxa"/>
          <w:left w:w="108" w:type="dxa"/>
          <w:bottom w:w="0" w:type="dxa"/>
          <w:right w:w="108" w:type="dxa"/>
        </w:tblCellMar>
      </w:tblPr>
      <w:tblGrid>
        <w:gridCol w:w="1720"/>
        <w:gridCol w:w="1720"/>
        <w:gridCol w:w="1720"/>
      </w:tblGrid>
      <w:tr>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285"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03</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协商</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　</w:t>
            </w:r>
          </w:p>
        </w:tc>
      </w:tr>
      <w:tr>
        <w:tblPrEx>
          <w:tblCellMar>
            <w:top w:w="0" w:type="dxa"/>
            <w:left w:w="108" w:type="dxa"/>
            <w:bottom w:w="0" w:type="dxa"/>
            <w:right w:w="108" w:type="dxa"/>
          </w:tblCellMar>
        </w:tblPrEx>
        <w:trPr>
          <w:trHeight w:val="208"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99</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CD000338贸易风险类别代码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（1）在“02-政治风险”下方按如下内容增加“03-商业风险与政治风险”。</w:t>
      </w:r>
    </w:p>
    <w:tbl>
      <w:tblPr>
        <w:tblStyle w:val="39"/>
        <w:tblW w:w="5949" w:type="dxa"/>
        <w:tblInd w:w="113" w:type="dxa"/>
        <w:tblLayout w:type="fixed"/>
        <w:tblCellMar>
          <w:top w:w="0" w:type="dxa"/>
          <w:left w:w="108" w:type="dxa"/>
          <w:bottom w:w="0" w:type="dxa"/>
          <w:right w:w="108" w:type="dxa"/>
        </w:tblCellMar>
      </w:tblPr>
      <w:tblGrid>
        <w:gridCol w:w="1720"/>
        <w:gridCol w:w="2528"/>
        <w:gridCol w:w="1701"/>
      </w:tblGrid>
      <w:tr>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2528"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01"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03</w:t>
            </w:r>
          </w:p>
        </w:tc>
        <w:tc>
          <w:tcPr>
            <w:tcW w:w="2528"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商业风险与政治风险</w:t>
            </w:r>
          </w:p>
        </w:tc>
        <w:tc>
          <w:tcPr>
            <w:tcW w:w="1701"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　</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CD000383船舶种类代码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（1）参照规范由“CB-T16158-1996内河船舶分类与代码”修改为“GB-T16158-1996内河船舶分类与代码”。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9200-实习船”下方按如下内容顺序增加“10000-海洋工程”、“10001-钻井平台”、“10002-浮式生产储油船”、“10003-油田守护船”、“10004-风电安装船”、“10005-储油平台”、“10006-修井平台”、“10007-生活平台”、“10008-定位船”、“10009-钻井驳”、“10010-修井驳”、“10011-铺石船”、“10012-过驳平台船”、“10013-海洋工程辅助船”、“10014-半潜式海洋平台”、“11000-渔船”、“11001-围网渔船”、“11002-拖网渔船”、“11003-刺网渔船”、“11004-延绳钓渔船”、“11005-捕虾船”、“11006-捕鲸船”、“11007-水产加工船”、“11008-采蛎壳船”、“11009-金枪渔船”、“11010-远洋渔船”、“11011-活鱼舱船”、“11012-休闲渔船”、“11013-冷藏渔船”、“11014-收鲜船”、“11015-鱿鱼钓船”、“11016-多种作业渔船”、“11017-捕蟹船”、“11018-渔业辅助船”、“12000-军舰”，共计35项。</w:t>
      </w:r>
    </w:p>
    <w:tbl>
      <w:tblPr>
        <w:tblStyle w:val="39"/>
        <w:tblpPr w:leftFromText="180" w:rightFromText="180" w:vertAnchor="text" w:horzAnchor="page" w:tblpX="2419" w:tblpY="352"/>
        <w:tblOverlap w:val="never"/>
        <w:tblW w:w="7078" w:type="dxa"/>
        <w:tblInd w:w="0" w:type="dxa"/>
        <w:tblLayout w:type="fixed"/>
        <w:tblCellMar>
          <w:top w:w="15" w:type="dxa"/>
          <w:left w:w="15" w:type="dxa"/>
          <w:bottom w:w="15" w:type="dxa"/>
          <w:right w:w="15" w:type="dxa"/>
        </w:tblCellMar>
      </w:tblPr>
      <w:tblGrid>
        <w:gridCol w:w="1080"/>
        <w:gridCol w:w="4035"/>
        <w:gridCol w:w="1963"/>
      </w:tblGrid>
      <w:tr>
        <w:tblPrEx>
          <w:tblCellMar>
            <w:top w:w="15" w:type="dxa"/>
            <w:left w:w="15" w:type="dxa"/>
            <w:bottom w:w="15" w:type="dxa"/>
            <w:right w:w="15" w:type="dxa"/>
          </w:tblCellMar>
        </w:tblPrEx>
        <w:tc>
          <w:tcPr>
            <w:tcW w:w="1080"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403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963"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15" w:type="dxa"/>
            <w:left w:w="15" w:type="dxa"/>
            <w:bottom w:w="15" w:type="dxa"/>
            <w:right w:w="15" w:type="dxa"/>
          </w:tblCellMar>
        </w:tblPrEx>
        <w:tc>
          <w:tcPr>
            <w:tcW w:w="1080" w:type="dxa"/>
            <w:tcBorders>
              <w:top w:val="single" w:color="auto"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10000</w:t>
            </w:r>
          </w:p>
        </w:tc>
        <w:tc>
          <w:tcPr>
            <w:tcW w:w="4035" w:type="dxa"/>
            <w:tcBorders>
              <w:top w:val="single" w:color="auto"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海洋工程</w:t>
            </w:r>
          </w:p>
        </w:tc>
        <w:tc>
          <w:tcPr>
            <w:tcW w:w="1963" w:type="dxa"/>
            <w:tcBorders>
              <w:top w:val="single" w:color="auto"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10001</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钻井平台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10002</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浮式生产储油船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10003</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油田守护船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10004</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风电安装船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10005</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储油平台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10006</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修井平台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10007</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生活平台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10008</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定位船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10009</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钻井驳</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10010</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修井驳</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10011</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铺石船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10012</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过驳平台船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10013</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海洋工程辅助船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10014</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半潜式海洋平台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11000</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11001</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围网渔船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11002</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拖网渔船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11003</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刺网渔船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11004</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延绳钓渔船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11005</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捕虾船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11006</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捕鲸船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11007</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水产加工船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11008</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采蛎壳船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11009</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金枪渔船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11010</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远洋渔船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11011</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活鱼舱船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11012</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休闲渔船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11013</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冷藏渔船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11014</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收鲜船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11015</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鱿鱼钓船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11016</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多种作业渔船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11017</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捕蟹船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11018</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渔业辅助船</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r>
        <w:tblPrEx>
          <w:tblCellMar>
            <w:top w:w="15" w:type="dxa"/>
            <w:left w:w="15" w:type="dxa"/>
            <w:bottom w:w="15" w:type="dxa"/>
            <w:right w:w="15" w:type="dxa"/>
          </w:tblCellMar>
        </w:tblPrEx>
        <w:tc>
          <w:tcPr>
            <w:tcW w:w="1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12000</w:t>
            </w:r>
          </w:p>
        </w:tc>
        <w:tc>
          <w:tcPr>
            <w:tcW w:w="4035"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lang w:bidi="ar"/>
              </w:rPr>
              <w:t>军舰</w:t>
            </w:r>
          </w:p>
        </w:tc>
        <w:tc>
          <w:tcPr>
            <w:tcW w:w="19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kern w:val="0"/>
                <w:sz w:val="20"/>
                <w:szCs w:val="20"/>
              </w:rPr>
            </w:pPr>
          </w:p>
        </w:tc>
      </w:tr>
    </w:tbl>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Pr>
        <w:pStyle w:val="52"/>
        <w:numPr>
          <w:ilvl w:val="255"/>
          <w:numId w:val="0"/>
        </w:numPr>
        <w:spacing w:line="560" w:lineRule="exact"/>
        <w:rPr>
          <w:rFonts w:ascii="宋体" w:hAnsi="宋体" w:cs="宋体"/>
          <w:sz w:val="20"/>
          <w:szCs w:val="20"/>
        </w:rPr>
      </w:pPr>
    </w:p>
    <w:p/>
    <w:p/>
    <w:p/>
    <w:p/>
    <w:p/>
    <w:p/>
    <w:p/>
    <w:p/>
    <w:p/>
    <w:p/>
    <w:p/>
    <w:p/>
    <w:p/>
    <w:p/>
    <w:p/>
    <w:p/>
    <w:p/>
    <w:p/>
    <w:p/>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CD000395货运险运输方式代码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（1）“5-邮件运输”的说明修改为“通过邮件运输货物的方式。”</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（2）“6-多式联运”的说明修改为“通过多式联运进行货物（或）人员运输的方式。”</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CD000428肿瘤形态学代码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（1）增加代码项：CD000428肿瘤形态学代码。代码项具体码值参见《肿瘤形态学代码.xlsx》。</w:t>
      </w: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r>
        <w:rPr>
          <w:rFonts w:asciiTheme="minorEastAsia" w:hAnsiTheme="minorEastAsia" w:eastAsiaTheme="minorEastAsia" w:cstheme="minorEastAsia"/>
          <w:szCs w:val="24"/>
        </w:rPr>
        <w:pict>
          <v:shape id="_x0000_s1028" o:spid="_x0000_s1028" o:spt="75" type="#_x0000_t75" style="position:absolute;left:0pt;margin-left:0pt;margin-top:-43.6pt;height:66pt;width:72.75pt;z-index:251659264;mso-width-relative:page;mso-height-relative:page;" o:ole="t" filled="f" o:preferrelative="t" stroked="f" coordsize="21600,21600">
            <v:path/>
            <v:fill on="f" focussize="0,0"/>
            <v:stroke on="f" joinstyle="miter"/>
            <v:imagedata r:id="rId9" o:title=""/>
            <o:lock v:ext="edit" aspectratio="t"/>
          </v:shape>
          <o:OLEObject Type="Embed" ProgID="Package" ShapeID="_x0000_s1028" DrawAspect="Icon" ObjectID="_1468075726" r:id="rId8">
            <o:LockedField>false</o:LockedField>
          </o:OLEObject>
        </w:pic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CD000142人身险伤残代码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（1）增加代码项： 999-其它；</w:t>
      </w:r>
    </w:p>
    <w:p>
      <w:pPr>
        <w:spacing w:line="560" w:lineRule="exact"/>
      </w:pPr>
      <w:r>
        <w:rPr>
          <w:rFonts w:hint="eastAsia" w:asciiTheme="minorEastAsia" w:hAnsiTheme="minorEastAsia" w:eastAsiaTheme="minorEastAsia" w:cstheme="minorEastAsia"/>
          <w:szCs w:val="24"/>
        </w:rPr>
        <w:t>（2）在“999-其它”下方按如下内容增加：“01”名称“双目永久完全失明的”、“02”名称“两上肢腕关节以上或两下肢踝关节以上”、“03”名称“一上肢腕关节以上及一下肢踝关节以上缺失的”、“04”名称“一目永久完全失明及一上肢腕关节以上缺失的”、“05”名称“一目永久完全失明及一下肢踝关节以上缺失的”、“06”名称“四肢关节机能永久完全丧失的”、“07”名称“咀嚼、吞咽机能永久完全丧失的”、“08”名称“中枢神经系统机能或胸、腹部脏器机能极度障碍，终身不能从事任何工作，为维持生命必要的日常生活活动，全需他人扶助的”、“09”名称“两上肢、或两下肢、或一上肢及一下肢，各有三大关节中的两个关节以上机能永久完全丧失的”、“10”名称“十手指缺失的”、“11”名称“一上肢腕关节以上缺失或一上肢的三大关节全部机能永久完全丧失的”、“12”名称“一下肢踝关节以上缺失或一下肢的三大关节全部机能永久完全丧失的”、“13”名称“双耳听觉机能永久完全丧失的”、“14”名称“十手指机能永久完全丧失的”、“15”名称“十足趾缺失的”、“16”名称“一目永久完全失明的”、“17”名称“一上肢三大关节中，有二关节之机能永久完全丧失的”、“18”名称“一下肢三大关节中，有二关节之机能永久完全丧失的”、“19”名称“一手含拇指及食指，有四手指以上缺失的”、“20”名称“一下肢永久缩短5公分以上的”、“21”名称“语言机能永久完全丧失的”、“22”名称“十足趾机能永久完全丧失的”、“23”名称“一上肢三大关节中，有一关节之机能永久完全丧失的”、“24”名称“一下肢三大关节中，有一关节之机能永久完全丧失的”、“25”名称“两手拇指缺失的”、“26”名称“一足五趾缺失的”、“27”名称“两眼眼睑显著缺损的”、“28”名称“一耳听觉机能永久完全丧失的”、“29”名称“鼻部缺损且嗅觉机能遗存显著障碍的”、“30”名称“一手拇指及食指缺失，或含拇指或食指有三个或三个以上手指缺失的”、“31”名称“一手含拇指或食指有三个或三个以上手指机能永久完全丧失的”、“32”名称“一足五趾机能永久完全丧失的”、“33”名称“一手拇指或食指缺失，或中指、无名指和小拇指中有二个或二个以上手指缺失的”、“34”名称“一手拇指及食指机能永久完全丧失的”，共计34项。</w:t>
      </w:r>
    </w:p>
    <w:tbl>
      <w:tblPr>
        <w:tblStyle w:val="39"/>
        <w:tblW w:w="8282" w:type="dxa"/>
        <w:tblInd w:w="0" w:type="dxa"/>
        <w:tblLayout w:type="fixed"/>
        <w:tblCellMar>
          <w:top w:w="15" w:type="dxa"/>
          <w:left w:w="15" w:type="dxa"/>
          <w:bottom w:w="15" w:type="dxa"/>
          <w:right w:w="15" w:type="dxa"/>
        </w:tblCellMar>
      </w:tblPr>
      <w:tblGrid>
        <w:gridCol w:w="1082"/>
        <w:gridCol w:w="4785"/>
        <w:gridCol w:w="2415"/>
      </w:tblGrid>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478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241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01</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双目永久完全失明的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02</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两上肢腕关节以上或两下肢踝关节以上缺失的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03</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一上肢腕关节以上及一下肢踝关节以上缺失的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04</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一目永久完全失明及一上肢腕关节以上缺失的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05</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一目永久完全失明及一下肢踝关节以上缺失的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06</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四肢关节机能永久完全丧失的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07</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咀嚼、吞咽机能永久完全丧失的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08</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中枢神经系统机能或胸、腹部脏器机能极度障碍，终身不能从事任何工作，为维持生命必要的日常生活活动，全需他人扶助的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09</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两上肢、或两下肢、或一上肢及一下肢，各有三大关节中的两个关节以上机能永久完全丧失的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10</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十手指缺失的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11</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一上肢腕关节以上缺失或一上肢的三大关节全部机能永久完全丧失的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12</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一下肢踝关节以上缺失或一下肢的三大关节全部机能永久完全丧失的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13</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双耳听觉机能永久完全丧失的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14</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十手指机能永久完全丧失的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15</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十足趾缺失的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16</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一目永久完全失明的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17</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一上肢三大关节中，有二关节之机能永久完全丧失的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18</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一下肢三大关节中，有二关节之机能永久完全丧失的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19</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一手含拇指及食指，有四手指以上缺失的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20</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一下肢永久缩短5公分以上的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21</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语言机能永久完全丧失的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22</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十足趾机能永久完全丧失的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23</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一上肢三大关节中，有一关节之机能永久完全丧失的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24</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一下肢三大关节中，有一关节之机能永久完全丧失的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bCs/>
                <w:sz w:val="20"/>
                <w:szCs w:val="20"/>
              </w:rPr>
              <w:t>25</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两手拇指缺失的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26</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一足五趾缺失的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27</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两眼眼睑显著缺损的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28</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一耳听觉机能永久完全丧失的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29</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鼻部缺损且嗅觉机能遗存显著障碍的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30</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一手拇指及食指缺失，或含拇指或食指有三个或三个以上手指缺失的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31</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一手含拇指或食指有三个或三个以上手指机能永久完全丧失的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32</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一足五趾机能永久完全丧失的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33</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一手拇指或食指缺失，或中指、无名指和小拇指中有二个或二个以上手指缺失的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r>
        <w:tblPrEx>
          <w:tblCellMar>
            <w:top w:w="15" w:type="dxa"/>
            <w:left w:w="15" w:type="dxa"/>
            <w:bottom w:w="15" w:type="dxa"/>
            <w:right w:w="15" w:type="dxa"/>
          </w:tblCellMar>
        </w:tblPrEx>
        <w:tc>
          <w:tcPr>
            <w:tcW w:w="10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jc w:val="center"/>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34</w:t>
            </w:r>
          </w:p>
        </w:tc>
        <w:tc>
          <w:tcPr>
            <w:tcW w:w="4785" w:type="dxa"/>
            <w:tcBorders>
              <w:top w:val="single" w:color="000000" w:sz="4" w:space="0"/>
              <w:left w:val="single" w:color="000000" w:sz="4" w:space="0"/>
              <w:bottom w:val="single" w:color="000000" w:sz="4" w:space="0"/>
              <w:right w:val="single" w:color="000000" w:sz="4" w:space="0"/>
            </w:tcBorders>
            <w:shd w:val="clear" w:color="auto" w:fill="FFFFFF"/>
            <w:vAlign w:val="bottom"/>
          </w:tcPr>
          <w:p>
            <w:pPr>
              <w:widowControl/>
              <w:rPr>
                <w:rFonts w:asciiTheme="minorEastAsia" w:hAnsiTheme="minorEastAsia" w:eastAsiaTheme="minorEastAsia" w:cstheme="minorEastAsia"/>
                <w:kern w:val="0"/>
                <w:sz w:val="20"/>
                <w:szCs w:val="20"/>
                <w:lang w:bidi="ar"/>
              </w:rPr>
            </w:pPr>
            <w:r>
              <w:rPr>
                <w:rFonts w:hint="eastAsia" w:asciiTheme="minorEastAsia" w:hAnsiTheme="minorEastAsia" w:eastAsiaTheme="minorEastAsia" w:cstheme="minorEastAsia"/>
                <w:kern w:val="0"/>
                <w:sz w:val="20"/>
                <w:szCs w:val="20"/>
                <w:lang w:bidi="ar"/>
              </w:rPr>
              <w:t>一手拇指及食指机能永久完全丧失的</w:t>
            </w:r>
          </w:p>
        </w:tc>
        <w:tc>
          <w:tcPr>
            <w:tcW w:w="2415"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heme="minorEastAsia" w:hAnsiTheme="minorEastAsia" w:eastAsiaTheme="minorEastAsia" w:cstheme="minorEastAsia"/>
                <w:b/>
                <w:bCs/>
                <w:kern w:val="0"/>
                <w:sz w:val="20"/>
                <w:szCs w:val="20"/>
                <w:lang w:bidi="ar"/>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30. CD000242 财产险数量单位代码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（1）在“27-延长米”下方按如下内容增加“28-棒”。</w:t>
      </w:r>
    </w:p>
    <w:tbl>
      <w:tblPr>
        <w:tblStyle w:val="39"/>
        <w:tblW w:w="5160" w:type="dxa"/>
        <w:tblInd w:w="113"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代码</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名称</w:t>
            </w:r>
          </w:p>
        </w:tc>
        <w:tc>
          <w:tcPr>
            <w:tcW w:w="1720" w:type="dxa"/>
            <w:tcBorders>
              <w:top w:val="single" w:color="auto" w:sz="4" w:space="0"/>
              <w:left w:val="nil"/>
              <w:bottom w:val="single" w:color="auto" w:sz="4" w:space="0"/>
              <w:right w:val="single" w:color="auto" w:sz="4" w:space="0"/>
            </w:tcBorders>
            <w:shd w:val="clear" w:color="000000" w:fill="D7D7D7" w:themeFill="background1" w:themeFillShade="D8"/>
            <w:vAlign w:val="center"/>
          </w:tcPr>
          <w:p>
            <w:pPr>
              <w:widowControl/>
              <w:jc w:val="center"/>
              <w:rPr>
                <w:rFonts w:asciiTheme="minorEastAsia" w:hAnsiTheme="minorEastAsia" w:eastAsiaTheme="minorEastAsia" w:cstheme="minorEastAsia"/>
                <w:b/>
                <w:sz w:val="20"/>
                <w:szCs w:val="20"/>
              </w:rPr>
            </w:pPr>
            <w:r>
              <w:rPr>
                <w:rFonts w:hint="eastAsia" w:asciiTheme="minorEastAsia" w:hAnsiTheme="minorEastAsia" w:eastAsiaTheme="minorEastAsia" w:cstheme="minorEastAsia"/>
                <w:b/>
                <w:sz w:val="20"/>
                <w:szCs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28</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棒</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菌类计量单位</w:t>
            </w:r>
          </w:p>
        </w:tc>
      </w:tr>
    </w:tbl>
    <w:p>
      <w:pPr>
        <w:pStyle w:val="3"/>
        <w:spacing w:before="0" w:after="0" w:line="560" w:lineRule="exact"/>
        <w:rPr>
          <w:rFonts w:ascii="楷体" w:hAnsi="楷体" w:eastAsia="楷体" w:cs="楷体"/>
        </w:rPr>
      </w:pPr>
      <w:r>
        <w:rPr>
          <w:rFonts w:hint="eastAsia" w:ascii="楷体" w:hAnsi="楷体" w:eastAsia="楷体" w:cs="楷体"/>
        </w:rPr>
        <w:t>（三）2-4 数据抽取技术方案说明及接口规范（财）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修改4.1章校验未通过明细文件</w:t>
      </w:r>
    </w:p>
    <w:p>
      <w:pPr>
        <w:rPr>
          <w:rFonts w:ascii="仿宋" w:hAnsi="仿宋" w:eastAsia="仿宋" w:cs="仿宋"/>
          <w:sz w:val="28"/>
          <w:szCs w:val="28"/>
        </w:rPr>
      </w:pPr>
      <w:r>
        <w:rPr>
          <w:rFonts w:hint="eastAsia" w:ascii="仿宋" w:hAnsi="仿宋" w:eastAsia="仿宋" w:cs="仿宋"/>
          <w:sz w:val="28"/>
          <w:szCs w:val="28"/>
        </w:rPr>
        <w:object>
          <v:shape id="_x0000_i1026" o:spt="75" type="#_x0000_t75" style="height:66pt;width:72.75pt;" o:ole="t" filled="f" o:preferrelative="t" stroked="f" coordsize="21600,21600">
            <v:path/>
            <v:fill on="f" focussize="0,0"/>
            <v:stroke on="f" joinstyle="miter"/>
            <v:imagedata r:id="rId11" o:title=""/>
            <o:lock v:ext="edit" aspectratio="t"/>
            <w10:wrap type="none"/>
            <w10:anchorlock/>
          </v:shape>
          <o:OLEObject Type="Embed" ProgID="Package" ShapeID="_x0000_i1026" DrawAspect="Icon" ObjectID="_1468075727" r:id="rId10">
            <o:LockedField>false</o:LockedField>
          </o:OLEObject>
        </w:objec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2. 修改4.2章明细对账差异文件 </w:t>
      </w:r>
    </w:p>
    <w:p>
      <w:pPr>
        <w:rPr>
          <w:rFonts w:ascii="仿宋" w:hAnsi="仿宋" w:eastAsia="仿宋" w:cs="仿宋"/>
          <w:sz w:val="28"/>
          <w:szCs w:val="28"/>
        </w:rPr>
      </w:pPr>
      <w:r>
        <w:rPr>
          <w:rFonts w:hint="eastAsia" w:ascii="仿宋" w:hAnsi="仿宋" w:eastAsia="仿宋" w:cs="仿宋"/>
          <w:sz w:val="28"/>
          <w:szCs w:val="28"/>
        </w:rPr>
        <w:object>
          <v:shape id="_x0000_i1027" o:spt="75" type="#_x0000_t75" style="height:66pt;width:72.75pt;" o:ole="t" filled="f" o:preferrelative="t" stroked="f" coordsize="21600,21600">
            <v:path/>
            <v:fill on="f" focussize="0,0"/>
            <v:stroke on="f" joinstyle="miter"/>
            <v:imagedata r:id="rId13" o:title=""/>
            <o:lock v:ext="edit" aspectratio="t"/>
            <w10:wrap type="none"/>
            <w10:anchorlock/>
          </v:shape>
          <o:OLEObject Type="Embed" ProgID="Package" ShapeID="_x0000_i1027" DrawAspect="Icon" ObjectID="_1468075728" r:id="rId12">
            <o:LockedField>false</o:LockedField>
          </o:OLEObject>
        </w:objec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4.4 章节校验未通过明细文件</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国内货运险_国内业务信息表、进出口货运险_进出口业务信息表、货运险_通用货物标的信息表、运输工具_机动车信息表、运输工具_火车信息表、运输工具_船舶信息表、运输工具_飞机信息表，七张错误日志表中新增 “申报明细序号”（PolicyidvDetailNo）；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（2）航空旅客行李险_航班信息表错误日志表中新增 “航班号”（AirNo）；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（3）再保比例临分分入保单信息表错误日志表中新增 “分出人编码”（ReinsCode）；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（4）再保比例临分分入保单信息表错误日志增加“分出人编码”（ReinsCode）；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（5）再保比例临分分入批单信息表错误日志增加“危险单位号”（DangerNo）；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（6）再保比例临分分入赔案信息表错误日志增加“危险单位号”（DangerNo）；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（7）再保比例临分分入分摊信息表错误日志增加“危险单位号”（DangerNo）；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（8）超赔临分分入层信息表错误日志增加“危险单位号”（DangerNo）；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（9）超赔临分分入分摊信息表错误日志增加“危险单位号”（DangerNo）。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4.5 章节明细对账差异文件</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国内货运险_国内业务信息表、进出口货运险_进出口业务信息表、货运险_通用货物标的信息表、运输工具_机动车信息表、运输工具_火车信息表、运输工具_船舶信息表、运输工具_飞机信息表，七张错误日志表中新增 “申报明细序号”（PolicyidvDetailNo）；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（2）航空旅客行李险_航班信息表错误日志表中新增 “航班号”（AirNo）；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（3）再保比例临分分入保单信息表错误日志表中新增 “分出人编码”（ReinsCode）；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（4）再保比例临分分入保单信息表错误日志增加“分出人编码”（ReinsCode）；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（5）再保比例临分分入批单信息表错误日志增加“危险单位号”（DangerNo）；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（6）再保比例临分分入赔案信息表错误日志增加“危险单位号”（DangerNo）；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（7）再保比例临分分入分摊信息表错误日志增加“危险单位号”（DangerNo）；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（8）超赔临分分入层信息表错误日志增加“危险单位号”（DangerNo）；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（9）超赔临分分入分摊信息表错误日志增加“危险单位号”（DangerNo）。</w:t>
      </w:r>
    </w:p>
    <w:p>
      <w:pPr>
        <w:pStyle w:val="3"/>
        <w:spacing w:before="0" w:after="0" w:line="560" w:lineRule="exact"/>
        <w:rPr>
          <w:rFonts w:ascii="楷体" w:hAnsi="楷体" w:eastAsia="楷体" w:cs="楷体"/>
        </w:rPr>
      </w:pPr>
      <w:r>
        <w:rPr>
          <w:rFonts w:hint="eastAsia" w:ascii="楷体" w:hAnsi="楷体" w:eastAsia="楷体" w:cs="楷体"/>
        </w:rPr>
        <w:t>（四）2-5 数据上报样例及说明（财）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保单交易表(ProCtransaction)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（1）表英文名修改为“ProCTransaction”。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保单基本信息表(ProCmain)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（1）表英文名修改为“ProCMain”。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保单自然人投保人表(ProCappnt)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（1）表英文名修改为“ProCAppnt”。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保单自然人被保险人表(ProCinsured)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（1）表英文名修改为“ProCInsured”。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保单自然人受益人表(ProCbenefit)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（1）表英文名修改为“ProCBenefit”。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保单非自然人受益人表(ProCbenefit)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（1）表英文名修改为“ProCGrpBenefit”。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保单标的责任信息表(ProCitemkind)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（1）表英文名修改为“ProCItemkind”。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保单限额信息表(ProClimit)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（1）表英文名修改为“ProCLimit”。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保单免赔额信息表(ProClimit)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（1）表英文名修改为“ProCDeductible”。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保政策性系数信息表(ProCplan)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（1）表英文名修改为“ProCPRate”。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保单非自然人领款人信息表(ProCpayeeAccount)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（1）表英文名修改为“ProCGrpPayeeAccount”。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保单批改责任信息表(ProCpayeeAccount)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（1）表英文名修改为“ProCUWLiability”。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保险公司从业人员信息表(ProCsales)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（1）表英文名修改为“ProCSales”。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保险中介机构及从业人员信息表(ProCagent)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（1）表英文名修改为“ProCAgent”。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保险中介机构及从业人员信息表(ProCagent)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（1）表英文名修改为“ProCAgent”。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船舶险_通用船舶信息表(ProCcommissionDetail)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（1）表英文名修改为“ProCitem_CB_Ship”。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船舶险_船舶关系人信息表(ProCcommissionDetail)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（1）表英文名修改为“ProCitem_CB_Sperson”。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船舶险_船舶建造信息表(ProCcommissionDetail)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（1）表英文名修改为“ProCitem_CB_build”。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船舶险_船舶建造关系人信息表(ProCcommissionDetail)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（1）表英文名修改为“ProCitem_CB_Bperson”。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集装箱保险_保单扩展信息表(ProCcommissionDetail)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（1）表英文名修改为“ProCitem_CB_PolExtent”。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集装箱保险_集装箱信息表(ProCcommissionDetail)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（1）表英文名修改为“ProCitem_CB_Container”。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船舶首台套重大技术装备综合保险_申报装备信息表(ProCcommissionDetail)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（1）表英文名修改为“ProCitem_CB_Equip”。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工程险_工程信息表(ProCcommissionDetail)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（1）表英文名修改为“ProCitem_GC_Project”。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（2）“详细地址”字段类型又原来的“VARCHAR2(50)”改为“VARCHAR2(500)”。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工程险_设备信息表(ProCcommissionDetail)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（1）表英文名修改为“ProCitem_GC_Equip”。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工程险_关系人信息表(ProCcommissionDetail)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（1）表英文名修改为“ProCitem_GC_Person”。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工程险_机损险设备信息表(ProCcommissionDetail)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（1）表英文名修改为“ProCitem_GC_JSEquip”。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工程险_施工机具设备信息表(ProCcommissionDetail)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（1）表英文名修改为“ProCitem_GC_SGEquip”。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预约协议险_申报清单信息表(ProCcommissionDetail)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（1）表英文名修改为“ProCitem_HY_Declarelist”。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国内货运险_国内业务信息(ProCcommissionDetail)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（1）表英文名修改为“ProCitem_HY_Domestic”。</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30. 进出口货运险_进出口业务信息表(ProCcommissionDetail)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（1）表英文名修改为“ProCitem_HY_Abroad”。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31. 货运险_通用货物标的信息表(ProCcommissionDetail)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（1）表英文名修改为“ProCitem_HY_Cargo”。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32. 油气管道货运险_油气标的信息表(ProCcommissionDetail)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（1）表英文名修改为“ProCitem_HY_Oilgas”。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33. 邮包运输险_邮包标的信息表(ProCcommissionDetail)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（1）表英文名修改为“ProCitem_HY_Parcel”。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34. 运输工具_机动车信息表(ProCcommissionDetail)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（1）表英文名修改为“ProCitem_HY_Vehicle”。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35. 运输工具_火车信息表(ProCcommissionDetail)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（1）表英文名修改为“ProCitem_HY_Train”。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36. 运输工具_船舶信息表(ProCcommissionDetail)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（1）表英文名修改为“ProCitem_HY_Ship”。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37. 运输工具_飞机信息表(ProCcommissionDetail)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宋体" w:hAnsi="宋体" w:cs="宋体"/>
          <w:sz w:val="20"/>
          <w:szCs w:val="20"/>
        </w:rPr>
        <w:t>（</w:t>
      </w:r>
      <w:r>
        <w:rPr>
          <w:rFonts w:hint="eastAsia" w:asciiTheme="minorEastAsia" w:hAnsiTheme="minorEastAsia" w:eastAsiaTheme="minorEastAsia" w:cstheme="minorEastAsia"/>
          <w:szCs w:val="24"/>
        </w:rPr>
        <w:t>1）表英文名修改为“ProCitem_HY_Plan”。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38. 航空旅客行李险_航班信息表(ProCcommissionDetail)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（1）表英文名修改为“ProCitem_HY_Flight”。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39. 网络购物运费损失险_货物信息表(ProCcommissionDetail)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（1）表英文名修改为“ProCitem_HY_TRFreight”。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40. 随车行李险_车辆信息表(ProCcommissionDetail)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（1）表英文名修改为“ProCitem_HY_LugCar”。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41. 石油险_项目信息表(ProCcommissionDetail)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（1）表英文名修改为“ProCitem_SY_Work”。</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42. 石油险_标的井信息表(ProCcommissionDetail)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（1）表英文名修改为“ProCitem_SY_Well”。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43. 石油财产险_钻井设备信息表（ProCitem_SY_Equipment）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（1）缺少该表信息。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44. 石油财产险_钻井平台信息表(ProCcommissionDetail)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（1）表英文名修改为“ProCitem_SY_Platform”。</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45. 石油开发工程险_工程信息表(ProCcommissionDetail)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（1）表英文名修改为“ProCitem_SY_Project”。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46. 核运输险_运输信息表(ProCcommissionDetail)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（1）表英文名修改为“ProCitem_HD_Carriage”。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47. 核电建筑安装工程保险_工程信息表(ProCcommissionDetail)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（1）表英文名修改为“ProCitem_HD_Project”。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48. 特险首台套重大技术装备保险_申报装备信息表(ProCcommissionDetail)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（1）表英文名修改为“ProCitem_TX_Equip”。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49. 航空险_航空器标的信息表(ProCcommissionDetail)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（1）表英文名修改为“ProCitem_HK_AirCraft”；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（2）表内容错误。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50. 航空险_关系人信息表(ProCcommissionDetail)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（1）表英文名修改为“ProCitem_HK_Person”。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51. 航天险_卫星标的信息表(ProCcommissionDetail)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（1）表英文名修改为“ProCitem_HK_Satellite”。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52. 航天险_火箭标的信息表(ProCcommissionDetail)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（1）表英文名修改为“ProCitem_HK_Rocket”。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53. 普通家财险_房屋信息表(ProCcommissionDetail)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（1）表英文名修改为“ProCitem_JC_House”。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54. 普通家财险_电子产品标的信息表(ProCcommissionDetail)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（1）表英文名修改为“ProCitem_JC_Electronic”。</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55. 普通家财险_通用设备设施信息表(ProCcommissionDetail)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（1）表英文名修改为“ProCitem_JC_Equ”。</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56. 房屋贷款家财险_贷款信息表(ProCcommissionDetail)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（1）表英文名修改为“ProCitem_JC_Loan”。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57. 费用损失家财险_个人资金账户信息表(ProCcommissionDetail)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（1）表英文名修改为“ProCitem_JC_Account”。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58. 费用损失家财险_邮轮信息表(ProCcommissionDetail)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（1）表英文名修改为“ProCitem_JC_Liner”。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59. 费用损失家财险_酒店信息表(ProCcommissionDetail)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（1）表英文名修改为“ProCitem_JC_Hotel”。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60. 费用损失家财险_航班信息表(ProCcommissionDetail)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（1）表英文名修改为“ProCitem_JC_Air”。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61. 费用损失家财险_通用费用信息表(ProCcommissionDetail)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（1）表英文名修改为“ProCitem_JC_Fee”。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62. 贷款保证险_贷款信息表(ProCcommissionDetail)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（1）表英文名修改为“ProCitem_BZ_Loan”。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63. 贷款保证险_抵押车辆信息表(ProCcommissionDetail)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（1）表英文名修改为“ProCitem_BZ_Car”。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64. 贷款保证险_抵押房屋信息表(ProCcommissionDetail)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（1）表英文名修改为“ProCitem_BZ_House”。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65. 贷款保证险_其他抵押信息表(ProCcommissionDetail)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（1）表英文名修改为“ProCitem_BZ_Loan_Mortgage”。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66. 助学贷款保证险_学生借款人信息表(ProCcommissionDetail)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（1）表英文名修改为“ProCitem_BZ_Student”。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67. 融资租赁履约保证险_租赁合同信息表(ProCcommissionDetail)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（1）表英文名修改为“ProCitem_BZ_Lease”。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68. 理财产品履约保证险_理财产品信息表(ProCcommissionDetail)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（1）表英文名修改为“ProCitem_BZ_Finance”。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69. 商业合同履约保证险_商业合同信息表(ProCcommissionDetail)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（1）表英文名修改为“ProCitem_BZ_BizContract”。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70. 产品质量保证险_产品标的信息表(ProCcommissionDetail)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（1）表英文名修改为“ProCitem_BZ_ProdInsured”。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71. 单用途商业预付卡保证险_预付卡信息表(ProCcommissionDetail)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（1）表英文名修改为“ProCitem_BZ_Prepayment”。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72. 工程履约保证险_工程项目信息表(ProCcommissionDetail)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（1）表英文名修改为“ProCitem_BZ_Construction”。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73. 雇员忠诚保证险_雇员岗位分组信息表(ProCcommissionDetail)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（1）表英文名修改为“ProCitem_BZ_EmployeeUnit”。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74. 雇员忠诚保证险_雇员信息表(ProCcommissionDetail)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（1）表英文名修改为“ProCitem_BZ_Employee”。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75. 诉讼保全保证险_诉讼保全信息表(ProCcommissionDetail)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（1）表英文名修改为“ProCitem_BZ_Litigation”。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76. 国内贸易信用保险_保单扩展信息表(ProCcommissionDetail)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（1）表英文名修改为“ProCitem_XY_TPolExtent”。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77. 国内贸易信用保险_最近完整会计年度商品销售信息表(ProCcommissionDetail)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（1）表英文名修改为“ProCitem_XY_TAccYearSales”。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78. 国内贸易信用保险_非关联公司(国内)历年逾期应收账款信息(ProCcommissionDetail)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（1）表英文名修改为“ProCitem_XY_TOverdueAR”。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79. 国内贸易信用保险_过去三年最大三笔呆坏账及逾期应收账款信息表(ProCcommissionDetail)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（1）表英文名修改为“ProCitem_XY_TBadLoan”。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80. 短期出口信用保险_保单扩展信息表(ProCcommissionDetail)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（1）表英文名修改为“ProCitem_XY_EPolExtent”。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81. 短期出口信用保险_最近一个完整会计年度商品销售信息表(ProCcommissionDetail)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（1）表英文名修改为“ProCitem_XY_EAccYearSales”。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82. 短期出口信用保险_最大几笔逾期未收汇信息表(ProCcommissionDetail)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（1）表英文名修改为“ProCitem_XY_EOverdueRemit”。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32"/>
        </w:rPr>
        <w:t>83. 贸易信用保险卖方_扩展信息表</w:t>
      </w:r>
      <w:r>
        <w:rPr>
          <w:rFonts w:hint="eastAsia" w:ascii="仿宋" w:hAnsi="仿宋" w:eastAsia="仿宋" w:cs="仿宋"/>
          <w:sz w:val="28"/>
          <w:szCs w:val="28"/>
        </w:rPr>
        <w:t>(ProCcommissionDetail)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84. 贸易信用保险卖方_关联公司信息表(ProCcommissionDetail)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（1）表英文名修改为“ProCitem_XY_CoInvolved”。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85. 贸易信用保险_业务经营信息表(ProCcommissionDetail)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（1）表英文名修改为“ProCitem_XY_BizOperation”。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86. 贸易信用保险限额信息_买方信息表(ProCcommissionDetail)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（1）表英文名修改为“ProCitem_XY_Buyer”。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87. 贸易信用保险_明细申报信息表(ProCcommissionDetail)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（1）表英文名修改为“ProCitem_XY_DetailReport”。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88. 贸易信用保险_总额申报信息表(ProCcommissionDetail)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（1）表英文名修改为“ProCitem_XY_TotalAmnt”。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89. 信用保险_贷款信息表(ProCcommissionDetail)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（1）表英文名修改为“ProCitem_XY_Loan”。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90. 金融机构贷款损失信用保险_保单扩展信息表(ProCcommissionDetail)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（1）表英文名修改为“ProCitem_XY_PolExtent”。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91. 国家助学信用保险_贷款学生信息表(ProCcommissionDetail)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（1）表英文名修改为“ProCitem_XY_Student”；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（2）“年级/班级”字段英文名称由“Grade/Class”修改为“GradeClass”。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92. 雇员忠诚信用保险_雇员信息表(ProCcommissionDetail)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（1）表英文名修改为“ProCitem_XY_Employee”。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93. 雇员忠诚信用保险_雇员岗位分组信息表(ProCcommissionDetail)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（1）表英文名修改为“ProCitem_XY_EmployeeUnit”。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94. 石化财产险_企业扩展信息表(ProCcommissionDetail)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（1）表英文名修改为“ProCitem_QC_PlantExtent”。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95. 电厂财产险_企业扩展信息表(ProCcommissionDetail)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（1）表英文名修改为“ProCitem_QC_PCExtent”。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96. 石化财产险_风险信息表(ProCcommissionDetail)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（1）表英文名修改为“ProCitem_QC_PCRisk”。</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97. 现金保险财产险_风险信息表(ProCcommissionDetail)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（1）表英文名修改为“ProCitem_QC_CashRisk”。</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98. 营业中断保险_保单扩展信息表(ProCcommissionDetail)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（1）Sheet页中表中文名修改为“营业中断保险_保单扩展信息表”；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（2）表英文名修改为“ProCitem_QC_InterruptRisk”。</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99. 商业楼宇财产险_楼宇信息表(ProCcommissionDetail)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（1）表英文名修改为“ProCitem_QC_Building”。</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100. 工程机械设备财产险_设备信息表(ProCcommissionDetail)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（1）表英文名修改为“ProCitem_QC_Equipment”；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（2）“车架号/整机编号”字段英文名称由“VinNo/MachineNo”修改为“ VinNoMachineNo”。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101. 企财险_通用设备设施信息表(ProCcommissionDetail)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（1）表英文名修改为“ProCitem_QC_Facility”。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102. 责任险保单扩展信息表(ProCcommissionDetail)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（1）表英文名修改为“ProCitem_ZR_PolExtent”。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103. 道路客运承运人责任险_承运人信息表(ProCcommissionDetail)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（1）表英文名修改为“ProCitem_ZR_PCarrier”。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104. 道路客运承运人责任险_车辆信息表(ProCcommissionDetail)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（1）表英文名修改为“ProCitem_ZR_PVehicle”。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105. 道路危险货物承运人责任险_承运信息表(ProCcommissionDetail)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（1）表英文名修改为“ProCitem_ZR_CCarriage”。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106. 道路危险货物承运人责任险_车辆信息表(ProCcommissionDetail)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（1）表英文名修改为“ProCitem_ZR_CVehicle”。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107. 环境污染责任险_企业信息表(ProCcommissionDetail)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（1）表英文名修改为“ProCitem_ZR_EnvCo”。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108. 校方责任险_学校信息表(ProCcommissionDetail)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（1）表英文名修改为“ProCitem_ZR_School”。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109. 职业院校实习责任险_职业院校信息表(ProCcommissionDetail)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（1）表英文名修改为“ProCitem_ZR_VCollege”。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110. 职业院校实习责任险_学生信息表(ProCcommissionDetail)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（1）表英文名修改为“ProCitem_ZR_VCStudent”。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111. 食品安全责任险（餐饮企业）_营业场所信息表(ProCcommissionDetail)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（1）表英文名修改为“ProCitem_ZR_FSBizField”。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112. 食品安全责任险（生产、流通、加工企业）_企业信息表(ProCcommissionDetail)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（1）表英文名修改为“ProCitem_ZR_FSCorp”。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113. 食品安全责任险（生产、流通、加工企业）_食品信息表(ProCcommissionDetail)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（1）表英文名修改为“ProCitem_ZR_FSFood”。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114. 养老机构责任险_养老机构信息表(ProCcommissionDetail)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（1）表英文名修改为“ProCitem_ZR_Pension”。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115. 供电责任险_供电机构信息表(ProCcommissionDetail)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（1）表英文名修改为“ProCitem_ZR_PSupplyOrg”。</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116. 旅行社责任保险_旅行社信息表(ProCcommissionDetail)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（1）表英文名修改为“ProCitem_ZR_TravelAgency”。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117. 特种设备第三者责任险_特种设备信息表(ProCcommissionDetail)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（1）表英文名修改为“ProCitem_ZR_SpecialEquip”。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118. 公众责任险_场所信息表(ProCcommissionDetail)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（1）表英文名修改为“ProCitem_ZR_PublicSite”。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119. 建筑工程质量责任险_工程信息表(ProCcommissionDetail)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（1）表英文名修改为“ProCitem_ZR_Construction”；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（2）“工程建造开始日期”（BuildEndDate）字段中文名称修改为“工程建造结束日期”；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（3）“工程建造结束日期”（BuildStartDate）字段中文名称修改为“工程建造开始日期”。</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120. 建筑工程质量责任险_保险期限明细信息表(ProCcommissionDetail)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（1）表英文名修改为“ProCitem_ZR_CIPeriod”。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121. 首台（套）重大技术装备责任险_申报机构信息表(ProCcommissionDetail)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（1）表英文名修改为“ProCitem_ZR_ReportAgency”。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122. 首台（套）重大技术装备责任险_申报装备信息(ProCcommissionDetail)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（1）表英文名修改为“ProCitem_ZR_ReportEquip”。</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123. 产品责任险_产品信息表(ProCcommissionDetail)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（1）表英文名修改为“ProCitem_ZR_Product”。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124. 安全生产责任险_企业信息表(ProCcommissionDetail)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（1）表英文名修改为“ProCitem_ZR_Corporation”。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125. 安全生产责任险_人员信息表(ProCcommissionDetail)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（1）表英文名修改为“ProCitem_ZR_Staff”。</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126. 补充工伤责任险_企业信息表(ProCcommissionDetail)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（1）表英文名修改为“ProCitem_ZR_InjuryCo”。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127. 雇主责任险_企业信息表(ProCcommissionDetail)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（1）表英文名修改为“ProCitem_ZR_ErCorporation”。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128. 雇主责任险_企业雇员信息表(ProCcommissionDetail)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（1）表英文名修改为“ProCitem_ZR_ErEmployee”。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129. 雇主责任险_分组方案信息表(ProCcommissionDetail)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（1）表英文名修改为“ProCitem_ZR_ErUnit”。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130. 医疗责任险_医疗机构信息表(ProCcommissionDetail)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（1）表英文名修改为“ProCitem_ZR_MedicalInt”。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131. 医疗责任险_医疗机构人员信息表(ProCcommissionDetail)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（1）表英文名修改为“ProCitem_ZR_MedicalStaff”。</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132. 医疗责任险_分组方案信息表(ProCcommissionDetail)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（1）表英文名修改为“ProCitem_ZR_MedicalUnit”。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133. 医疗责任险承保_影像资料表(ProCcommissionDetail)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（1）表英文名修改为“ProCitem_ZR_MNBImage”。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134. 医疗责任险理赔_影像资料表(ProCcommissionDetail)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（1）Sheet页中表中文名修改为“医疗责任险理赔_影像资料表”；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（2）表英文名修改为“ProCitem_ZR_MCLImage”。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135. 会计师事务所职业责任险_会计师事务所信息表(ProCcommissionDetail)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（1）表英文名修改为“ProCitem_ZR_AccountFirm”。</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136. 会计师事务所职业责任险_会计师事务所人员信息表(ProCcommissionDetail)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（1）表英文名修改为“ProCitem_ZR_AFStaff”。</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137. 董监事高管责任险_董监事高管信息表(ProCcommissionDetail)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（1）表英文名修改为“ProCitem_ZR_Executive”。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138. 建筑工程设计责任险_建筑设计单位信息表(ProCcommissionDetail)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（1）表英文名修改为“ProCitem_ZR_ArchDesignCo”。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139. 建筑工程设计责任险_建筑设计单位人员信息表(ProCcommissionDetail)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（1）表英文名修改为“ProCitem_ZR_ArchDesigner”。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140. 其他职业责任险表(ProCcommissionDetail)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（1）表英文名修改为“ProCitem_ZR_Others”。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141. 产品延长保修责任险_销售信息表(ProCcommissionDetail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（1）表英文名修改为“ProCitem_ZR_WExtSales”。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142. 产品延长保修责任险_产品信息表(ProCcommissionDetail)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（1）表英文名修改为“ProCitem_ZR_WExtProduct”。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143. 机动车延长保修责任险_机动车信息表(ProCcommissionDetail)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（1）表英文名修改为“ProCitem_ZR_WExtVehicle”。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144. 诉讼财产保全责任险_保全财产信息表(ProCcommissionDetail)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（1）表英文名修改为“ProCitem_ZR_PrptPreserve”。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145. 航空延误责任险_航班信息表(ProCcommissionDetail)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（1）表英文名修改为“ProCitem_ZR_DelayAirline”。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146. 网络商品交易退货运费责任险_货物信息表(ProCcommissionDetail)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（1）表英文名修改为“ProCitem_ZR_TRFreight”。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147. 专利执行责任险_专利信息表(ProCcommissionDetail)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（1）表英文名修改为“ProCitem_ZR_Patent”。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148. 其他责任险_通用信息(ProCcommissionDetail)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（1）表英文名修改为“ProCitem_ZR_General”。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149. 建工意外险_工程项目信息表(ProCcommissionDetail)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（1）表英文名修改为“ProCConstruction”。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150. 理赔报案信息表(ProCcommissionDetail)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（1）表英文名修改为“ProLRegist”。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151. 理赔报案处理信息表(ProCcommissionDetail)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（1）表英文名修改为“ProLRegistDeal”。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152. 理赔立案信息表(ProCcommissionDetail)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（1）表英文名修改为“ProLClaimOpinion”。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153. 理赔立案处理信息表(ProCcommissionDetail)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（1）表英文名修改为“ProLClaimOpinionDeal”。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154. 理赔结案信息表(ProCcommissionDetail)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155. 理赔明细信息表(ProCcommissionDetail)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（1）表英文名修改为“ProLClaimPolicy”。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156. 理赔人伤明细信息表(ProCcommissionDetail)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（1）表英文名修改为“ProLClaimInjuryDetail”。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157. 理赔费用信息表(ProCcommissionDetail)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（1）表英文名修改为“ProLClaimExpense”。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158. 理赔自然人受益人信息表(ProCcommissionDetail)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（1）Sheet页中表中文名修改为“理赔自然人收益人信息”；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（2）表英文名修改为“ProLBnf”。</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159. 理赔非自然人受益人信息(ProCcommissionDetail)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（1）表英文名修改为“ProLGrpbnf”。</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160. 理赔医疗收据信息表(ProCcommissionDetail)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（1）表英文名修改为“ProLReceipt”。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161. 理赔医疗费用信息表(ProCcommissionDetail)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（1）表英文名修改为“ProLMedicalFee”。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162. 理赔医疗费用明细信息表(ProCcommissionDetail)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（1）表英文名修改为“ProLMedicalFeeDetail”。</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163. 出险人信息表(ProCcommissionDetail)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（1）表英文名修改为“ProLClaimantInfo”。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164. 手术信息表(ProCcommissionDetail)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（1）表英文名修改为“ProLOperation”。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165. 疾病信息表(ProCcommissionDetail)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（1）表英文名修改为“ProLDisease”。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166. 理赔追偿信息表(ProCcommissionDetail)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（1）表英文名修改为“ProLReplevy”。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167. 理赔联共保赔付信息表(ProCcommissionDetail)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（1）表英文名修改为“ProLCoins”。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168. 保单账户信息表(ProCcommissionDetail)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（1）表英文名修改为“ProCInsureAcc”。</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169. 收费明细表(ProCcommissionDetail)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（1）表英文名修改为“ProPay”。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170. 付费明细表(ProCcommissionDetail)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（1）表英文名修改为“ProGet”；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（2）“领款人银行账号”字段类型又原来的“VARCHAR2(50)”改为“VARCHAR2(100)”。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171. 再保比例合约信息表(ProCcommissionDetail)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（1）表英文名修改为“FhTreaty”。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172. 再保比例分出合约接受人信息表(ProCcommissionDetail)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（1）表英文名修改为“FhReins”。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173. 再保比例分入合约分出人信息表(ProCcommissionDetail)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（1）表英文名修改为“FhTreatycedant”。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174. 再保比例合约分项信息表(ProCcommissionDetail)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（1）表英文名修改为“FhSection”。</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175. 再保比例分出合约分项接受人信息表(ProCcommissionDetail)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（1）表英文名修改为“FhSectionReins”。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176. 再保比例分入合约分项分出人信息表(ProCcommissionDetail)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（1）表英文名修改为“FhSectionCedant”。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177. 再保比例分出保单信息表(ProCcommissionDetail)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（1）表英文名修改为“ProRepolicy”。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178. 再保比例分出批单信息表(ProCcommissionDetail)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（1）表英文名修改为“ProReendor”。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179. 再保比例分出摊回信息表(ProCcommissionDetail)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（1）表英文名修改为“ProLClaimsettle”。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180. 再保比例合约分入信息表(ProCcommissionDetail)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（1）表英文名修改为“FhiRepolicy”。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181. 再保比例合约分入批改信息表(ProCcommissionDetail)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（1）表英文名修改为“FhiReendor”。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182. 再保比例合约分入赔案信息表(ProCcommissionDetail)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（1）表英文名修改为“FhiRepay”。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183. 再保比例合约分入分摊信息表(ProCcommissionDetail)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（1）表英文名修改为“FhiShare”。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184. 再保比例临分分入保单信息表(ProCcommissionDetail)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（1）表英文名修改为“FciRepolicy”。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185. 再保比例临分分入批单信息表(ProCcommissionDetail)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（1）表英文名修改为“FpiReendor”。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186. 再保比例临分分入赔案信息表(ProCcommissionDetail)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（1）表英文名修改为“FliRepay”。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187. 再保比例临分分入分摊信息表(ProCcommissionDetail)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（1）表英文名修改为“FhShare”。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188. 超赔合约信息表(ProCcommissionDetail)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（1）表英文名修改为“FhXTreaty”。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189. 超赔合约层信息表(ProCcommissionDetail)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（1）表英文名修改为“FhXLayer”。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190. 超赔分出合约接受人信息表(ProCcommissionDetail)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（1）表英文名修改为“FhXReins”。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191. 超赔分入合约分出人信息表(ProCcommissionDetail)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（1）表英文名修改为“FhXTreatyCedant”。</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192. 超赔合约分出业务赔款摊回信息表(ProCcommissionDetail)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（1）表英文名修改为“FhXsettle”。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193. 超赔合约分出业务赔款摊回信息表(ProCcommissionDetail)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（1）表英文名修改为“FhXShare”。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194. 超赔临分分入层信息表(ProCcommissionDetail)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（1）表英文名修改为“FhiXTreaty”。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195. 超赔临分分入层分出人信息表(ProCcommissionDetail)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（1）表英文名修改为“FhiXLayer”。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196. 超赔临分分入分摊信息表(ProCcommissionDetail)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（1）表英文名修改为“FeoXsettle”。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197. 超赔临分分出层信息表(ProCcommissionDetail)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（1）表英文名修改为“FeoXLayer”。</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198. 超赔临分分出层接受人信息表(ProCcommissionDetail)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（1）表英文名修改为“FeoXReins”。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199. 超赔临分分出摊回信息表(ProCcommissionDetail)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（1）表英文名修改为“ProLClaimShare”。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200. 产品信息表(ProCcommissionDetail)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（1）表英文名修改为“ProDRisk”。</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201. 条款信息表(ProCcommissionDetail)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（1）表英文名修改为“ProDclause”。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202. 产品条款关系信息表(ProCcommissionDetail)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（1）表英文名修改为“ProDriskclause”。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203. 条款责任关系信息表(ProCcommissionDetail)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（1）表英文名修改为“ProDClauseKind”。</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204. 条款标的关系信息表(ProCcommissionDetail)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（1）表英文名修改为“ProDItem”。</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205. 客户黑名单信息表(ProCcommissionDetail)</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（1）表英文名修改为“ProCBlacklist”。</w:t>
      </w:r>
    </w:p>
    <w:p>
      <w:pPr>
        <w:pStyle w:val="3"/>
        <w:spacing w:before="0" w:after="0" w:line="560" w:lineRule="exact"/>
        <w:rPr>
          <w:rFonts w:ascii="楷体" w:hAnsi="楷体" w:eastAsia="楷体" w:cs="楷体"/>
        </w:rPr>
      </w:pPr>
      <w:r>
        <w:rPr>
          <w:rFonts w:hint="eastAsia" w:ascii="楷体" w:hAnsi="楷体" w:eastAsia="楷体" w:cs="楷体"/>
        </w:rPr>
        <w:t>（五）2-6 数据报送说明（财）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2.1.1保单交易表(ProCTransaction)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（1）“交易原因代码”字段中文名称修改为“交易业务类型代码”；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（2）“保单状态代码”字段调整位置在“交易完成时间”字段之下；</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（3）“公司编码”字段修改为必填；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（4）“保单交易金额”字段修改为非必填；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（5）“保单状态代码”字段修改为非必填。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2.2.4保单自然人被保险人信息表(ProCInsured)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（1）“主/连带被保险人类型代码”字段修改为非必填。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2.2.6保单自然人受益人信息表(ProCBenefit)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（1）“客户号码”字段英文名称修改为“CustomerNo”。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2.2.8 保单标的责任信息表（ProCItemKind）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（1）“责任编号”修改为可空。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2.2.9保单限额信息表(ProClimit)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（1）“保单标的责任序号”字段修改为非必填；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（2）“参与保费计算标志”字段修改为必填。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2.2.10保单免赔额信息表(ProClimit)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（1）表英文名修改为“ProCDeductible”。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2.2.14保单联共保信息表(ProCcoins)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（1）在“交易编码”字段下方按如下内容顺序添加“公司编码”、“保单编号”字段：</w:t>
      </w:r>
    </w:p>
    <w:tbl>
      <w:tblPr>
        <w:tblStyle w:val="39"/>
        <w:tblW w:w="8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1984"/>
        <w:gridCol w:w="2126"/>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widowControl/>
              <w:rPr>
                <w:rFonts w:ascii="宋体" w:hAnsi="宋体" w:cs="宋体"/>
                <w:b/>
                <w:bCs/>
                <w:color w:val="000000"/>
                <w:kern w:val="0"/>
                <w:sz w:val="20"/>
                <w:szCs w:val="20"/>
              </w:rPr>
            </w:pPr>
          </w:p>
        </w:tc>
        <w:tc>
          <w:tcPr>
            <w:tcW w:w="1984"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字段中文名</w:t>
            </w:r>
          </w:p>
        </w:tc>
        <w:tc>
          <w:tcPr>
            <w:tcW w:w="2126"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字段英文</w:t>
            </w:r>
          </w:p>
        </w:tc>
        <w:tc>
          <w:tcPr>
            <w:tcW w:w="3518"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数据上报说明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公司编码</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CompanyCode</w:t>
            </w:r>
          </w:p>
        </w:tc>
        <w:tc>
          <w:tcPr>
            <w:tcW w:w="3518"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r>
              <w:rPr>
                <w:rFonts w:hint="eastAsia" w:ascii="宋体" w:hAnsi="宋体"/>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保单编号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PolicyNo</w:t>
            </w:r>
          </w:p>
        </w:tc>
        <w:tc>
          <w:tcPr>
            <w:tcW w:w="3518"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2.2.15 船舶险_通用船舶信息表(ProCitem_CB_Ship)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（1）“保赔协会代码”字段英文名称修改为“ProIndemClubCode”；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（2）“保赔协会名称”字段英文名称修改为“ProIndemClub”。</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2.2.22工程险_工程信息表(ProCitem_GC_Project)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（1）“标的序号”字段修改为必填；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（2）“工程类别代码”字段修改为必填。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2.2.27预约协议险_申报清单信息表(ProCitem_HY_Declarelist)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2.2.28国内货运险_国内业务信息表（ProCitem_HY_Domestic）</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2.2.29进出口货运险_进出口业务信息表（ProCitem_HY_Abroad）</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2.2.30货运险_通用货物标的信息表（ProCitem_HY_Cargo）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2.2.33运输工具_机动车信息表（ProCitem_HY_Vehicle）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2.2.34运输工具_火车信息表（ProCitem_HY_Train）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2.2.35运输工具_船舶信息表（ProCitem_HY_Ship）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2.2.36运输工具_飞机信息表（ProCitem_HY_Plan）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（1）“申报清单编号”修改为必填；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（2）“申报明细序号”修改为必填。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2.2.47特险首台套重大技术装备保险_申报装备信息表(ProCitem_TX_Equip)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（1）“首次应用日期”字段修改为非必填；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（2）“研制单位名称”字段修改为非必填。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2.2.54普通家财险_通用设备设施信息表(ProCitem_JC_Equ)</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（1）“产品编号”字段修改为必填；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（2）“标的项目类别编号”字段修改为必填；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（3）“标的地址”字段修改为必填；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（4）“行政区域代码”字段修改为必填；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（5）“国别代码”字段修改为必填；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（6）“洲际代码”字段修改为必填；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（7）“规格型号/厂牌型号”字段修改为非必填；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（8）“出厂编号”字段修改为非必填；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（9）“购置价格原币金额”字段修改为非必填；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（10）“购置价格”字段修改为非必填；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（11）“数量”字段修改为非必填；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（12）“制造日期”字段修改为非必填。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2.2.59费用损失家财险_航班信息表(ProCitem_JC_Air)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（1）“航班号”字段修改为必填；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（2）“航班预计出发时间”字段修改为必填；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（3）“航班预计到达时间”字段修改为必填；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（4）“航班出发地”字段修改为必填；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（5）“舱位等级代码”字段修改为非必填；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（6）“座位等级”字段修改为非必填。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2.2.85贸易信用保险限额信息_买方信息表（ProCitem_XY_Buyer）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2.2.86贸易信用保险_明细申报信息表（ProCitem_XY_DetailReport）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（1）“信用期限（天）”字段英文名称修改为“CreditDeadlineday”。</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2.2.90国家助学信用保险_贷款学生信息表（ProCitem_XY_Student）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（1）“年级/班级”字段英文名称修改为“GradeClass”。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2.2.94石化财产险_企业扩展信息表（ProCitem_QC_PCExtent）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2.2.96现金保险财产险_风险信息表（ProCitem_QC_CashRisk）</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2.2.97营业中断保险_保单扩展信息表（ProCitem_QC_InterruptRisk）</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（1）“物质财产损失保险产品名称”修改为可空；</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（2）“物质财产损失保险保单号”修改为非必填。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2.2.98商业楼宇财产险_楼宇信息表(ProCitem_QC_Building)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（1）“行政区域代码”字段修改为必填；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（2）“建筑耐久等级代码”字段修改为非必填；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（3）标的序号”修改为必填。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2.2.99工程机械设备财产险_设备信息表（ProCitem_QC_Equipment）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（1）“车架号/整机编号”字段英文名称修改为“</w:t>
      </w:r>
      <w:r>
        <w:rPr>
          <w:rFonts w:hint="eastAsia" w:asciiTheme="minorEastAsia" w:hAnsiTheme="minorEastAsia" w:eastAsiaTheme="minorEastAsia" w:cstheme="minorEastAsia"/>
          <w:szCs w:val="24"/>
        </w:rPr>
        <w:tab/>
      </w:r>
      <w:r>
        <w:rPr>
          <w:rFonts w:hint="eastAsia" w:asciiTheme="minorEastAsia" w:hAnsiTheme="minorEastAsia" w:eastAsiaTheme="minorEastAsia" w:cstheme="minorEastAsia"/>
          <w:szCs w:val="24"/>
        </w:rPr>
        <w:t>VinNoMachineNo”；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（2）“标的序号”修改为必填。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2.2.100企财险_通用设备设施信息表（ProCitem_QC_Facility）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（1）“标的序号”修改为必填。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30. 2.2.101责任险保单扩展信息表(ProCitem_ZR_PolExtent)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（1）“追溯起期”字段修改为非必填；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（2）“报告止期”修改为非必填。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31. 2.2.106环境污染责任险_企业信息表(ProCitem_ZR_EnvCo)</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（1）“标的所处位置代码”字段修改为非必填；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（2）“主要污染物”字段修改为非必填；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32. 2.2.117公众责任险_场所信息表(ProCitem_ZR_PublicSite)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（1）表中文名称修改为“公众责任险_场所信息表”；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（2）“场所行业代码”的字段中文名称修改为“行业分类代码”。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33. 2.2.118建筑工程质量责任险_工程信息表(ProCitem_ZR_Construction)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（1）“工程建造开始日期”字段中文名称修改为“工程建造结束日期”；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（2）“工程建造结束日期”字段中文名称修改为“工程建造开始日期”；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（3）“工程建造开始日期”修改为可空；</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（4）“工程建造结束日期”修改为必填。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34. 2.2.121首台（套）重大技术装备责任险_申报装备信息表(ProCitem_ZR_ReportEquip)</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（1）表内容替换为：</w:t>
      </w:r>
    </w:p>
    <w:tbl>
      <w:tblPr>
        <w:tblStyle w:val="39"/>
        <w:tblW w:w="6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1984"/>
        <w:gridCol w:w="2126"/>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widowControl/>
              <w:rPr>
                <w:rFonts w:asciiTheme="minorEastAsia" w:hAnsiTheme="minorEastAsia" w:eastAsiaTheme="minorEastAsia" w:cstheme="minorEastAsia"/>
                <w:b/>
                <w:bCs/>
                <w:color w:val="000000"/>
                <w:kern w:val="0"/>
                <w:sz w:val="20"/>
                <w:szCs w:val="20"/>
              </w:rPr>
            </w:pPr>
          </w:p>
        </w:tc>
        <w:tc>
          <w:tcPr>
            <w:tcW w:w="1984"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字段中文名</w:t>
            </w:r>
          </w:p>
        </w:tc>
        <w:tc>
          <w:tcPr>
            <w:tcW w:w="2126"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字段英文</w:t>
            </w:r>
          </w:p>
        </w:tc>
        <w:tc>
          <w:tcPr>
            <w:tcW w:w="2127"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数据上报说明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交易编码</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TransactionNo</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公司编码</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CompanyCode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保单编号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PolicyNo</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装备序号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EquipmentSerialNo</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产品编号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RiskCode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标的项目类别编号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ItemTypeCode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申报类型代码</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DeclTypeCode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申报产品名称</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DeclProdName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申报产品型号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DeclProdModel</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申报产品规格</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DeclProdSpec</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申报产品价格</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DeclProdPrice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首次应用日期</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FirstUseTime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研制单位名称</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DevelopUnitName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使用单位名称</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UsingUnitName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交易完成时间</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TransactionDate</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sz w:val="20"/>
                <w:szCs w:val="20"/>
              </w:rPr>
              <w:t>●</w:t>
            </w: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批次号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BatchNo</w:t>
            </w:r>
          </w:p>
        </w:tc>
        <w:tc>
          <w:tcPr>
            <w:tcW w:w="2127" w:type="dxa"/>
            <w:tcBorders>
              <w:top w:val="single" w:color="auto" w:sz="4" w:space="0"/>
              <w:left w:val="single" w:color="auto" w:sz="4" w:space="0"/>
              <w:bottom w:val="single" w:color="auto" w:sz="4" w:space="0"/>
              <w:right w:val="single" w:color="auto" w:sz="4" w:space="0"/>
            </w:tcBorders>
            <w:vAlign w:val="center"/>
          </w:tcPr>
          <w:p>
            <w:pPr>
              <w:widowControl/>
              <w:rPr>
                <w:rFonts w:asciiTheme="minorEastAsia" w:hAnsiTheme="minorEastAsia" w:eastAsiaTheme="minorEastAsia" w:cstheme="minorEastAsia"/>
                <w:color w:val="FF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35. 2.2.123安全生产责任险_企业信息表(ProCitem_ZR_Corporation)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（1）“安全标准化级别代码”字段修改为非必填；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（2）“参加工伤保险标志”字段修改为必填。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36. 2.2.126雇主责任险_企业信息表（ProCitem_ZR_ErCorporation）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（1）“行业代码”的字段中文名称修改为“行业分类代码”。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37. 2.3.1保单批改作业信息表（ProPmain）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（1）“批改保费原币金额变化量（含税）”字段英文名称修改为“ChgPremiumTaxOrig”；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（2）“批改保费变化量（含税）”字段英文名称修改为“ChgPremiumTax”；</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（3）“批改保费原币金额变化量（不含税）”字段英文名称修改为“</w:t>
      </w:r>
      <w:r>
        <w:rPr>
          <w:rFonts w:hint="eastAsia" w:asciiTheme="minorEastAsia" w:hAnsiTheme="minorEastAsia" w:eastAsiaTheme="minorEastAsia" w:cstheme="minorEastAsia"/>
          <w:szCs w:val="24"/>
        </w:rPr>
        <w:tab/>
      </w:r>
      <w:r>
        <w:rPr>
          <w:rFonts w:hint="eastAsia" w:asciiTheme="minorEastAsia" w:hAnsiTheme="minorEastAsia" w:eastAsiaTheme="minorEastAsia" w:cstheme="minorEastAsia"/>
          <w:szCs w:val="24"/>
        </w:rPr>
        <w:t>ChgPremiumNoTaxOrig”；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（4）“批改保费变化量（不含税）”字段英文名称修改为“ChgPremiumNoTax”。</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38. 2.3.3保单非自然人领款人信息表（ProCGrpPayeeAccount）</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（1）“账号/卡号”字段英文名称修改为“AccountCardNo”。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39. 2.3.4保单批改责任信息表（ProCUWLiability）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（1）“批改保费原币金额变化量（含税）”字段英文名称修改为“ChgPremiumTaxOrig”；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（2）“批改保费变化量（含税）”字段英文名称修改为“ChgPremiumTax”；</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（3）“批改保费原币金额变化量（不含税）”字段英文名称修改为“</w:t>
      </w:r>
      <w:r>
        <w:rPr>
          <w:rFonts w:hint="eastAsia" w:asciiTheme="minorEastAsia" w:hAnsiTheme="minorEastAsia" w:eastAsiaTheme="minorEastAsia" w:cstheme="minorEastAsia"/>
          <w:szCs w:val="24"/>
        </w:rPr>
        <w:tab/>
      </w:r>
      <w:r>
        <w:rPr>
          <w:rFonts w:hint="eastAsia" w:asciiTheme="minorEastAsia" w:hAnsiTheme="minorEastAsia" w:eastAsiaTheme="minorEastAsia" w:cstheme="minorEastAsia"/>
          <w:szCs w:val="24"/>
        </w:rPr>
        <w:t>ChgPremiumNoTaxOrig”；</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（4）“批改保费变化量（不含税）”字段英文名称修改为“ChgPremiumNoTax”。</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40. 2.4.1保险公司从业人员信息表(ProCSales)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（1）“从业人员编码”字段修改为必填。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41. 2.6.1理赔立案信息表(ProLClaimOpinion)</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（1）在“案件重开次数”字段下方按如下内容添加“原立案编号”字段；</w:t>
      </w:r>
    </w:p>
    <w:tbl>
      <w:tblPr>
        <w:tblStyle w:val="39"/>
        <w:tblW w:w="8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1984"/>
        <w:gridCol w:w="2126"/>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widowControl/>
              <w:rPr>
                <w:rFonts w:ascii="宋体" w:hAnsi="宋体" w:cs="宋体"/>
                <w:b/>
                <w:bCs/>
                <w:color w:val="000000"/>
                <w:kern w:val="0"/>
                <w:sz w:val="20"/>
                <w:szCs w:val="20"/>
              </w:rPr>
            </w:pPr>
          </w:p>
        </w:tc>
        <w:tc>
          <w:tcPr>
            <w:tcW w:w="1984"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字段中文名</w:t>
            </w:r>
          </w:p>
        </w:tc>
        <w:tc>
          <w:tcPr>
            <w:tcW w:w="2126"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字段英文</w:t>
            </w:r>
          </w:p>
        </w:tc>
        <w:tc>
          <w:tcPr>
            <w:tcW w:w="3518"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数据上报说明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421" w:type="dxa"/>
            <w:tcBorders>
              <w:top w:val="single" w:color="auto" w:sz="4" w:space="0"/>
              <w:left w:val="single" w:color="auto" w:sz="4" w:space="0"/>
              <w:bottom w:val="single" w:color="auto" w:sz="4" w:space="0"/>
              <w:right w:val="single" w:color="auto" w:sz="4" w:space="0"/>
            </w:tcBorders>
          </w:tcPr>
          <w:p>
            <w:pPr>
              <w:widowControl/>
              <w:rPr>
                <w:rFonts w:ascii="宋体" w:hAnsi="宋体" w:cs="宋体"/>
                <w:color w:val="FF0000"/>
                <w:kern w:val="0"/>
                <w:sz w:val="20"/>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原立案编号</w:t>
            </w:r>
          </w:p>
        </w:tc>
        <w:tc>
          <w:tcPr>
            <w:tcW w:w="2126"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ClmNoOrig</w:t>
            </w:r>
          </w:p>
        </w:tc>
        <w:tc>
          <w:tcPr>
            <w:tcW w:w="3518" w:type="dxa"/>
            <w:tcBorders>
              <w:top w:val="single" w:color="auto" w:sz="4" w:space="0"/>
              <w:left w:val="single" w:color="auto" w:sz="4" w:space="0"/>
              <w:bottom w:val="single" w:color="auto" w:sz="4" w:space="0"/>
              <w:right w:val="single" w:color="auto" w:sz="4" w:space="0"/>
            </w:tcBorders>
            <w:vAlign w:val="center"/>
          </w:tcPr>
          <w:p>
            <w:pPr>
              <w:widowControl/>
              <w:rPr>
                <w:rFonts w:ascii="宋体" w:hAnsi="宋体" w:cs="宋体"/>
                <w:color w:val="FF0000"/>
                <w:kern w:val="0"/>
                <w:sz w:val="20"/>
                <w:szCs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（2）“预估损失金额原币币别代码” 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（3）“预估损失金额原币金额” 字段修改为非必填；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（4）“预估损失金额”字段修改为非必填。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42. 2.7.1理赔结案信息表(ProLClaim)</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（1）“核赔赔付金额原币币别代码”字段英文名称修改为“FinalPayOrigCur”；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（2）“核赔赔付金额原币金额”字段英文名称修改为“FinalPayOrig”。</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43. 2.7.13理赔追偿信息表(ProLReplevy)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（1）“被追偿方证件类型代码”修改为必填。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44. 2.7.14理赔联共保赔付信息表(ProLCoins)</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（1）“赔案编号”字段修改为必填。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45. 2.11.2再保比例分出批单信息表(ProReendor)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（1）“批单编号”字段修改为必填。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46. 2.13.1再保比例合约分入信息表(FhiRepolicy)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（1）在“合约分项编码”字段下方按如下内容增加“序号”字段：</w:t>
      </w:r>
    </w:p>
    <w:tbl>
      <w:tblPr>
        <w:tblStyle w:val="39"/>
        <w:tblW w:w="7956" w:type="dxa"/>
        <w:tblInd w:w="93" w:type="dxa"/>
        <w:tblLayout w:type="fixed"/>
        <w:tblCellMar>
          <w:top w:w="0" w:type="dxa"/>
          <w:left w:w="108" w:type="dxa"/>
          <w:bottom w:w="0" w:type="dxa"/>
          <w:right w:w="108" w:type="dxa"/>
        </w:tblCellMar>
      </w:tblPr>
      <w:tblGrid>
        <w:gridCol w:w="441"/>
        <w:gridCol w:w="1701"/>
        <w:gridCol w:w="2551"/>
        <w:gridCol w:w="3263"/>
      </w:tblGrid>
      <w:tr>
        <w:tblPrEx>
          <w:tblCellMar>
            <w:top w:w="0" w:type="dxa"/>
            <w:left w:w="108" w:type="dxa"/>
            <w:bottom w:w="0" w:type="dxa"/>
            <w:right w:w="108" w:type="dxa"/>
          </w:tblCellMar>
        </w:tblPrEx>
        <w:trPr>
          <w:trHeight w:val="330" w:hRule="atLeast"/>
        </w:trPr>
        <w:tc>
          <w:tcPr>
            <w:tcW w:w="441" w:type="dxa"/>
            <w:tcBorders>
              <w:top w:val="single" w:color="auto" w:sz="4" w:space="0"/>
              <w:left w:val="single" w:color="auto" w:sz="4" w:space="0"/>
              <w:bottom w:val="single" w:color="auto" w:sz="4" w:space="0"/>
              <w:right w:val="single" w:color="auto" w:sz="4" w:space="0"/>
            </w:tcBorders>
            <w:shd w:val="clear" w:color="000000" w:fill="F2F2F2"/>
          </w:tcPr>
          <w:p>
            <w:pPr>
              <w:widowControl/>
              <w:rPr>
                <w:rFonts w:ascii="宋体" w:hAnsi="宋体" w:cs="宋体"/>
                <w:b/>
                <w:bCs/>
                <w:color w:val="000000"/>
                <w:kern w:val="0"/>
                <w:sz w:val="20"/>
                <w:szCs w:val="20"/>
              </w:rPr>
            </w:pPr>
          </w:p>
        </w:tc>
        <w:tc>
          <w:tcPr>
            <w:tcW w:w="1701" w:type="dxa"/>
            <w:tcBorders>
              <w:top w:val="single" w:color="auto" w:sz="4" w:space="0"/>
              <w:left w:val="single" w:color="auto" w:sz="4" w:space="0"/>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字段中文名</w:t>
            </w:r>
          </w:p>
        </w:tc>
        <w:tc>
          <w:tcPr>
            <w:tcW w:w="2551" w:type="dxa"/>
            <w:tcBorders>
              <w:top w:val="single" w:color="auto" w:sz="4" w:space="0"/>
              <w:left w:val="nil"/>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字段英文</w:t>
            </w:r>
          </w:p>
        </w:tc>
        <w:tc>
          <w:tcPr>
            <w:tcW w:w="3263" w:type="dxa"/>
            <w:tcBorders>
              <w:top w:val="single" w:color="auto" w:sz="4" w:space="0"/>
              <w:left w:val="nil"/>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数据上报说明</w:t>
            </w:r>
          </w:p>
        </w:tc>
      </w:tr>
      <w:tr>
        <w:tblPrEx>
          <w:tblCellMar>
            <w:top w:w="0" w:type="dxa"/>
            <w:left w:w="108" w:type="dxa"/>
            <w:bottom w:w="0" w:type="dxa"/>
            <w:right w:w="108" w:type="dxa"/>
          </w:tblCellMar>
        </w:tblPrEx>
        <w:trPr>
          <w:trHeight w:val="283" w:hRule="atLeast"/>
        </w:trPr>
        <w:tc>
          <w:tcPr>
            <w:tcW w:w="441" w:type="dxa"/>
            <w:tcBorders>
              <w:top w:val="nil"/>
              <w:left w:val="single" w:color="auto" w:sz="4" w:space="0"/>
              <w:bottom w:val="single" w:color="auto" w:sz="4" w:space="0"/>
              <w:right w:val="single" w:color="auto" w:sz="4" w:space="0"/>
            </w:tcBorders>
          </w:tcPr>
          <w:p>
            <w:pPr>
              <w:widowControl/>
              <w:rPr>
                <w:rFonts w:ascii="宋体" w:hAnsi="宋体" w:cs="宋体"/>
                <w:kern w:val="0"/>
                <w:sz w:val="20"/>
                <w:szCs w:val="20"/>
              </w:rPr>
            </w:pPr>
            <w:r>
              <w:rPr>
                <w:rFonts w:hint="eastAsia" w:ascii="宋体" w:hAnsi="宋体"/>
                <w:color w:val="FF0000"/>
                <w:sz w:val="20"/>
                <w:szCs w:val="20"/>
              </w:rPr>
              <w:t>●</w:t>
            </w:r>
          </w:p>
        </w:tc>
        <w:tc>
          <w:tcPr>
            <w:tcW w:w="1701"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序号</w:t>
            </w:r>
          </w:p>
        </w:tc>
        <w:tc>
          <w:tcPr>
            <w:tcW w:w="2551"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 w:val="20"/>
                <w:szCs w:val="20"/>
              </w:rPr>
            </w:pPr>
            <w:r>
              <w:rPr>
                <w:rFonts w:ascii="宋体" w:hAnsi="宋体" w:cs="宋体"/>
                <w:color w:val="FF0000"/>
                <w:kern w:val="0"/>
                <w:sz w:val="20"/>
                <w:szCs w:val="20"/>
              </w:rPr>
              <w:t>SerialNo</w:t>
            </w:r>
          </w:p>
        </w:tc>
        <w:tc>
          <w:tcPr>
            <w:tcW w:w="3263"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00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47. 2.13.2再保比例合约分入批改信息表(FhiReendor)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（1）在“合约分项编码”字段下方按如下内容增加“序号”字段：</w:t>
      </w:r>
    </w:p>
    <w:tbl>
      <w:tblPr>
        <w:tblStyle w:val="39"/>
        <w:tblW w:w="7956" w:type="dxa"/>
        <w:tblInd w:w="93" w:type="dxa"/>
        <w:tblLayout w:type="fixed"/>
        <w:tblCellMar>
          <w:top w:w="0" w:type="dxa"/>
          <w:left w:w="108" w:type="dxa"/>
          <w:bottom w:w="0" w:type="dxa"/>
          <w:right w:w="108" w:type="dxa"/>
        </w:tblCellMar>
      </w:tblPr>
      <w:tblGrid>
        <w:gridCol w:w="441"/>
        <w:gridCol w:w="1701"/>
        <w:gridCol w:w="2551"/>
        <w:gridCol w:w="3263"/>
      </w:tblGrid>
      <w:tr>
        <w:tblPrEx>
          <w:tblCellMar>
            <w:top w:w="0" w:type="dxa"/>
            <w:left w:w="108" w:type="dxa"/>
            <w:bottom w:w="0" w:type="dxa"/>
            <w:right w:w="108" w:type="dxa"/>
          </w:tblCellMar>
        </w:tblPrEx>
        <w:trPr>
          <w:trHeight w:val="330" w:hRule="atLeast"/>
        </w:trPr>
        <w:tc>
          <w:tcPr>
            <w:tcW w:w="441" w:type="dxa"/>
            <w:tcBorders>
              <w:top w:val="single" w:color="auto" w:sz="4" w:space="0"/>
              <w:left w:val="single" w:color="auto" w:sz="4" w:space="0"/>
              <w:bottom w:val="single" w:color="auto" w:sz="4" w:space="0"/>
              <w:right w:val="single" w:color="auto" w:sz="4" w:space="0"/>
            </w:tcBorders>
            <w:shd w:val="clear" w:color="000000" w:fill="F2F2F2"/>
          </w:tcPr>
          <w:p>
            <w:pPr>
              <w:widowControl/>
              <w:rPr>
                <w:rFonts w:ascii="宋体" w:hAnsi="宋体" w:cs="宋体"/>
                <w:b/>
                <w:bCs/>
                <w:color w:val="000000"/>
                <w:kern w:val="0"/>
                <w:sz w:val="20"/>
                <w:szCs w:val="20"/>
              </w:rPr>
            </w:pPr>
          </w:p>
        </w:tc>
        <w:tc>
          <w:tcPr>
            <w:tcW w:w="1701" w:type="dxa"/>
            <w:tcBorders>
              <w:top w:val="single" w:color="auto" w:sz="4" w:space="0"/>
              <w:left w:val="single" w:color="auto" w:sz="4" w:space="0"/>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字段中文名</w:t>
            </w:r>
          </w:p>
        </w:tc>
        <w:tc>
          <w:tcPr>
            <w:tcW w:w="2551" w:type="dxa"/>
            <w:tcBorders>
              <w:top w:val="single" w:color="auto" w:sz="4" w:space="0"/>
              <w:left w:val="nil"/>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字段英文</w:t>
            </w:r>
          </w:p>
        </w:tc>
        <w:tc>
          <w:tcPr>
            <w:tcW w:w="3263" w:type="dxa"/>
            <w:tcBorders>
              <w:top w:val="single" w:color="auto" w:sz="4" w:space="0"/>
              <w:left w:val="nil"/>
              <w:bottom w:val="single" w:color="auto" w:sz="4" w:space="0"/>
              <w:right w:val="single" w:color="auto" w:sz="4" w:space="0"/>
            </w:tcBorders>
            <w:shd w:val="clear" w:color="000000" w:fill="F2F2F2"/>
            <w:vAlign w:val="center"/>
          </w:tcPr>
          <w:p>
            <w:pPr>
              <w:widowControl/>
              <w:rPr>
                <w:rFonts w:ascii="宋体" w:hAnsi="宋体" w:cs="宋体"/>
                <w:b/>
                <w:bCs/>
                <w:color w:val="000000"/>
                <w:kern w:val="0"/>
                <w:sz w:val="20"/>
                <w:szCs w:val="20"/>
              </w:rPr>
            </w:pPr>
            <w:r>
              <w:rPr>
                <w:rFonts w:hint="eastAsia" w:ascii="宋体" w:hAnsi="宋体" w:cs="宋体"/>
                <w:b/>
                <w:bCs/>
                <w:color w:val="000000"/>
                <w:kern w:val="0"/>
                <w:sz w:val="20"/>
                <w:szCs w:val="20"/>
              </w:rPr>
              <w:t>数据上报说明</w:t>
            </w:r>
          </w:p>
        </w:tc>
      </w:tr>
      <w:tr>
        <w:tblPrEx>
          <w:tblCellMar>
            <w:top w:w="0" w:type="dxa"/>
            <w:left w:w="108" w:type="dxa"/>
            <w:bottom w:w="0" w:type="dxa"/>
            <w:right w:w="108" w:type="dxa"/>
          </w:tblCellMar>
        </w:tblPrEx>
        <w:trPr>
          <w:trHeight w:val="283" w:hRule="atLeast"/>
        </w:trPr>
        <w:tc>
          <w:tcPr>
            <w:tcW w:w="441" w:type="dxa"/>
            <w:tcBorders>
              <w:top w:val="nil"/>
              <w:left w:val="single" w:color="auto" w:sz="4" w:space="0"/>
              <w:bottom w:val="single" w:color="auto" w:sz="4" w:space="0"/>
              <w:right w:val="single" w:color="auto" w:sz="4" w:space="0"/>
            </w:tcBorders>
          </w:tcPr>
          <w:p>
            <w:pPr>
              <w:widowControl/>
              <w:rPr>
                <w:rFonts w:ascii="宋体" w:hAnsi="宋体" w:cs="宋体"/>
                <w:kern w:val="0"/>
                <w:sz w:val="20"/>
                <w:szCs w:val="20"/>
              </w:rPr>
            </w:pPr>
            <w:r>
              <w:rPr>
                <w:rFonts w:hint="eastAsia" w:ascii="宋体" w:hAnsi="宋体"/>
                <w:color w:val="FF0000"/>
                <w:sz w:val="20"/>
                <w:szCs w:val="20"/>
              </w:rPr>
              <w:t>●</w:t>
            </w:r>
          </w:p>
        </w:tc>
        <w:tc>
          <w:tcPr>
            <w:tcW w:w="1701"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 w:val="20"/>
                <w:szCs w:val="20"/>
              </w:rPr>
            </w:pPr>
            <w:r>
              <w:rPr>
                <w:rFonts w:hint="eastAsia" w:ascii="宋体" w:hAnsi="宋体" w:cs="宋体"/>
                <w:color w:val="FF0000"/>
                <w:kern w:val="0"/>
                <w:sz w:val="20"/>
                <w:szCs w:val="20"/>
              </w:rPr>
              <w:t>序号</w:t>
            </w:r>
          </w:p>
        </w:tc>
        <w:tc>
          <w:tcPr>
            <w:tcW w:w="2551"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 w:val="20"/>
                <w:szCs w:val="20"/>
              </w:rPr>
            </w:pPr>
            <w:r>
              <w:rPr>
                <w:rFonts w:ascii="宋体" w:hAnsi="宋体" w:cs="宋体"/>
                <w:color w:val="FF0000"/>
                <w:kern w:val="0"/>
                <w:sz w:val="20"/>
                <w:szCs w:val="20"/>
              </w:rPr>
              <w:t>SerialNo</w:t>
            </w:r>
          </w:p>
        </w:tc>
        <w:tc>
          <w:tcPr>
            <w:tcW w:w="3263"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00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48. 2.13.3再保比例合约分入赔案信息表(FhiRepay)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（1）在“合约分项编码”字段下方按如下内容增加“序号”字段：</w:t>
      </w:r>
    </w:p>
    <w:tbl>
      <w:tblPr>
        <w:tblStyle w:val="39"/>
        <w:tblW w:w="7956" w:type="dxa"/>
        <w:tblInd w:w="93" w:type="dxa"/>
        <w:tblLayout w:type="fixed"/>
        <w:tblCellMar>
          <w:top w:w="0" w:type="dxa"/>
          <w:left w:w="108" w:type="dxa"/>
          <w:bottom w:w="0" w:type="dxa"/>
          <w:right w:w="108" w:type="dxa"/>
        </w:tblCellMar>
      </w:tblPr>
      <w:tblGrid>
        <w:gridCol w:w="441"/>
        <w:gridCol w:w="1701"/>
        <w:gridCol w:w="2551"/>
        <w:gridCol w:w="3263"/>
      </w:tblGrid>
      <w:tr>
        <w:tblPrEx>
          <w:tblCellMar>
            <w:top w:w="0" w:type="dxa"/>
            <w:left w:w="108" w:type="dxa"/>
            <w:bottom w:w="0" w:type="dxa"/>
            <w:right w:w="108" w:type="dxa"/>
          </w:tblCellMar>
        </w:tblPrEx>
        <w:trPr>
          <w:trHeight w:val="330" w:hRule="atLeast"/>
        </w:trPr>
        <w:tc>
          <w:tcPr>
            <w:tcW w:w="441" w:type="dxa"/>
            <w:tcBorders>
              <w:top w:val="single" w:color="auto" w:sz="4" w:space="0"/>
              <w:left w:val="single" w:color="auto" w:sz="4" w:space="0"/>
              <w:bottom w:val="single" w:color="auto" w:sz="4" w:space="0"/>
              <w:right w:val="single" w:color="auto" w:sz="4" w:space="0"/>
            </w:tcBorders>
            <w:shd w:val="clear" w:color="000000" w:fill="F2F2F2"/>
          </w:tcPr>
          <w:p>
            <w:pPr>
              <w:widowControl/>
              <w:rPr>
                <w:rFonts w:asciiTheme="minorEastAsia" w:hAnsiTheme="minorEastAsia" w:eastAsiaTheme="minorEastAsia" w:cstheme="minorEastAsia"/>
                <w:b/>
                <w:bCs/>
                <w:color w:val="000000"/>
                <w:kern w:val="0"/>
                <w:sz w:val="20"/>
                <w:szCs w:val="20"/>
              </w:rPr>
            </w:pPr>
          </w:p>
        </w:tc>
        <w:tc>
          <w:tcPr>
            <w:tcW w:w="1701" w:type="dxa"/>
            <w:tcBorders>
              <w:top w:val="single" w:color="auto" w:sz="4" w:space="0"/>
              <w:left w:val="single" w:color="auto" w:sz="4" w:space="0"/>
              <w:bottom w:val="single" w:color="auto" w:sz="4" w:space="0"/>
              <w:right w:val="single" w:color="auto" w:sz="4" w:space="0"/>
            </w:tcBorders>
            <w:shd w:val="clear" w:color="000000" w:fill="F2F2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字段中文名</w:t>
            </w:r>
          </w:p>
        </w:tc>
        <w:tc>
          <w:tcPr>
            <w:tcW w:w="2551" w:type="dxa"/>
            <w:tcBorders>
              <w:top w:val="single" w:color="auto" w:sz="4" w:space="0"/>
              <w:left w:val="nil"/>
              <w:bottom w:val="single" w:color="auto" w:sz="4" w:space="0"/>
              <w:right w:val="single" w:color="auto" w:sz="4" w:space="0"/>
            </w:tcBorders>
            <w:shd w:val="clear" w:color="000000" w:fill="F2F2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字段英文</w:t>
            </w:r>
          </w:p>
        </w:tc>
        <w:tc>
          <w:tcPr>
            <w:tcW w:w="3263" w:type="dxa"/>
            <w:tcBorders>
              <w:top w:val="single" w:color="auto" w:sz="4" w:space="0"/>
              <w:left w:val="nil"/>
              <w:bottom w:val="single" w:color="auto" w:sz="4" w:space="0"/>
              <w:right w:val="single" w:color="auto" w:sz="4" w:space="0"/>
            </w:tcBorders>
            <w:shd w:val="clear" w:color="000000" w:fill="F2F2F2"/>
            <w:vAlign w:val="center"/>
          </w:tcPr>
          <w:p>
            <w:pPr>
              <w:widowControl/>
              <w:rPr>
                <w:rFonts w:asciiTheme="minorEastAsia" w:hAnsiTheme="minorEastAsia" w:eastAsiaTheme="minorEastAsia" w:cstheme="minorEastAsia"/>
                <w:b/>
                <w:bCs/>
                <w:color w:val="000000"/>
                <w:kern w:val="0"/>
                <w:sz w:val="20"/>
                <w:szCs w:val="20"/>
              </w:rPr>
            </w:pPr>
            <w:r>
              <w:rPr>
                <w:rFonts w:hint="eastAsia" w:asciiTheme="minorEastAsia" w:hAnsiTheme="minorEastAsia" w:eastAsiaTheme="minorEastAsia" w:cstheme="minorEastAsia"/>
                <w:b/>
                <w:bCs/>
                <w:color w:val="000000"/>
                <w:kern w:val="0"/>
                <w:sz w:val="20"/>
                <w:szCs w:val="20"/>
              </w:rPr>
              <w:t>数据上报说明</w:t>
            </w:r>
          </w:p>
        </w:tc>
      </w:tr>
      <w:tr>
        <w:tblPrEx>
          <w:tblCellMar>
            <w:top w:w="0" w:type="dxa"/>
            <w:left w:w="108" w:type="dxa"/>
            <w:bottom w:w="0" w:type="dxa"/>
            <w:right w:w="108" w:type="dxa"/>
          </w:tblCellMar>
        </w:tblPrEx>
        <w:trPr>
          <w:trHeight w:val="283" w:hRule="atLeast"/>
        </w:trPr>
        <w:tc>
          <w:tcPr>
            <w:tcW w:w="441" w:type="dxa"/>
            <w:tcBorders>
              <w:top w:val="nil"/>
              <w:left w:val="single" w:color="auto" w:sz="4" w:space="0"/>
              <w:bottom w:val="single" w:color="auto" w:sz="4" w:space="0"/>
              <w:right w:val="single" w:color="auto" w:sz="4" w:space="0"/>
            </w:tcBorders>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color w:val="FF0000"/>
                <w:sz w:val="20"/>
                <w:szCs w:val="20"/>
              </w:rPr>
              <w:t>●</w:t>
            </w:r>
          </w:p>
        </w:tc>
        <w:tc>
          <w:tcPr>
            <w:tcW w:w="1701" w:type="dxa"/>
            <w:tcBorders>
              <w:top w:val="nil"/>
              <w:left w:val="single" w:color="auto" w:sz="4" w:space="0"/>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序号</w:t>
            </w:r>
          </w:p>
        </w:tc>
        <w:tc>
          <w:tcPr>
            <w:tcW w:w="2551" w:type="dxa"/>
            <w:tcBorders>
              <w:top w:val="nil"/>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FF0000"/>
                <w:kern w:val="0"/>
                <w:sz w:val="20"/>
                <w:szCs w:val="20"/>
              </w:rPr>
            </w:pPr>
            <w:r>
              <w:rPr>
                <w:rFonts w:hint="eastAsia" w:asciiTheme="minorEastAsia" w:hAnsiTheme="minorEastAsia" w:eastAsiaTheme="minorEastAsia" w:cstheme="minorEastAsia"/>
                <w:color w:val="FF0000"/>
                <w:kern w:val="0"/>
                <w:sz w:val="20"/>
                <w:szCs w:val="20"/>
              </w:rPr>
              <w:t>SerialNo</w:t>
            </w:r>
          </w:p>
        </w:tc>
        <w:tc>
          <w:tcPr>
            <w:tcW w:w="3263" w:type="dxa"/>
            <w:tcBorders>
              <w:top w:val="nil"/>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52"/>
        <w:spacing w:line="560" w:lineRule="exact"/>
        <w:ind w:firstLine="0" w:firstLineChars="0"/>
      </w:pP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49. 2.15.1再保比例临分分入保单信息表（FciRepolicy）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50. 2.15.2再保比例临分分入批单信息表（FpiReendor）</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51. 2.15.3再保比例临分分入赔案信息表（FliRepay）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52. 2.16.1再保比例临分分入分摊信息表（FhShare）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53. 2.20.1超赔临分分入层信息表（FhiXTreaty）</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54. 2.21.1超赔临分分入分摊信息表（FeoXsettle）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（1）“危险单位号”修改为必填。</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55. 2.23.1超赔临分分出摊回信息表(ProLClaimShare)</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（1）该表有两个相同的“公司编码”字段，删除其中一个。</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56. 2.24.5条款标的关系信息表(ProDitem)</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（1）表英文名称修改为“ProDItem”。</w:t>
      </w:r>
    </w:p>
    <w:p>
      <w:pPr>
        <w:pStyle w:val="3"/>
        <w:spacing w:before="0" w:after="0" w:line="560" w:lineRule="exact"/>
        <w:rPr>
          <w:rFonts w:ascii="楷体" w:hAnsi="楷体" w:eastAsia="楷体" w:cs="楷体"/>
        </w:rPr>
      </w:pPr>
      <w:r>
        <w:rPr>
          <w:rFonts w:hint="eastAsia" w:ascii="楷体" w:hAnsi="楷体" w:eastAsia="楷体" w:cs="楷体"/>
        </w:rPr>
        <w:t>（六）2-7 保险公司业务代码映射关系（财）</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修订目录页，增加“保险公司代码映射状态”、“特殊情况说明”列。</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CD000004个人身份证件类型代码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（1）目录页该代码“版本日期”修改为“2017/9/29”。</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CD000018保单终止原因代码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CD000020批改类型代码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（2）在“86-联系形式变更批改”下方按如下内容增加“87-公司解约”。</w:t>
      </w:r>
    </w:p>
    <w:tbl>
      <w:tblPr>
        <w:tblStyle w:val="39"/>
        <w:tblW w:w="5160" w:type="dxa"/>
        <w:tblInd w:w="113"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代码</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名称</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87</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公司解约</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CD000030疾病代码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CD000026财产险出险原因代码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（1）目录页该代码“三期变更说明”列的内容修改为“三期调整”，“版本日期”修改“2018/3/22”；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（2）“1-自然灾害”的说明修改为“本级不使用”；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（3）“161-火山爆发”、“162-堰塞湖”、“163-大坝决堤造成的水淹”、“164-内涝”、“165-低温冷害”、“166-高温”、“167-沙尘暴”按以上顺序调整至“117-龙卷风”下方；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（4）“195-其他自然灾害”调整至“167-沙尘暴”下方；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（5）在“195-其他自然灾害”下方按如下内容增加“12-责任事故”；</w:t>
      </w:r>
    </w:p>
    <w:tbl>
      <w:tblPr>
        <w:tblStyle w:val="39"/>
        <w:tblW w:w="6658" w:type="dxa"/>
        <w:tblInd w:w="113"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代码</w:t>
            </w:r>
          </w:p>
        </w:tc>
        <w:tc>
          <w:tcPr>
            <w:tcW w:w="2953"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名称</w:t>
            </w:r>
          </w:p>
        </w:tc>
        <w:tc>
          <w:tcPr>
            <w:tcW w:w="1985"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12</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责任事故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本级不使用</w:t>
            </w: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（6）“119-人身意外伤害”调整至“330-他人肇事逃逸”下方；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（7）“123-盗窃抢劫”、“124-水管爆裂”、“125-飞行物体坠落”、“126-空坠物”、“127-电气事故”、“128-意外断电”、“129-碰撞”、“131-倾覆”按以上顺序调整至“330-他人肇事逃逸”下方；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在“155-附加责任”下方按如下内容顺序增加“168-交通事故”、“169-航班延误”、“170-污染”、“171-虚假信息或信息未披露”、“172-董事高管责任”、“173-其他职业过失”、“174-违规操作、违章作业”、“175-场地、设施缺陷”、“176-未尽到及时救助”、“177-未尽到安全保障义务”、“178-其他经营过失”、“179-医疗事故”、“180-职业病”；</w:t>
      </w:r>
    </w:p>
    <w:tbl>
      <w:tblPr>
        <w:tblStyle w:val="39"/>
        <w:tblW w:w="6658" w:type="dxa"/>
        <w:tblInd w:w="113"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代码</w:t>
            </w:r>
          </w:p>
        </w:tc>
        <w:tc>
          <w:tcPr>
            <w:tcW w:w="2953"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名称</w:t>
            </w:r>
          </w:p>
        </w:tc>
        <w:tc>
          <w:tcPr>
            <w:tcW w:w="1985"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168</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交通事故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本级不使用</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169</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航班延误</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170</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污染</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171</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虚假信息或信息未披露</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172</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董事高管责任</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173</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其他职业过失</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174</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违规操作、违章作业</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175</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场地、设施缺陷</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176</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未尽到及时救助</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177</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未尽到安全保障义务</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178</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其他经营过失</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179</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医疗事故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180</w:t>
            </w:r>
          </w:p>
        </w:tc>
        <w:tc>
          <w:tcPr>
            <w:tcW w:w="2953" w:type="dxa"/>
            <w:tcBorders>
              <w:top w:val="single" w:color="auto" w:sz="4" w:space="0"/>
              <w:left w:val="nil"/>
              <w:bottom w:val="single" w:color="auto" w:sz="4" w:space="0"/>
              <w:right w:val="single" w:color="auto" w:sz="4" w:space="0"/>
            </w:tcBorders>
            <w:shd w:val="clear" w:color="auto" w:fill="auto"/>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职业病</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（9）“2-地质灾害”的说明修改为“本级不使用”；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（10）“213-火灾、爆炸”的说明修改为“本次不使用”；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（11）“214-台风、恶劣气候、地震等自然灾害”的说明修改为“本次不使用”；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（12）在“273-腐烂”下方按如下内容顺序增加“274-霉变”；</w:t>
      </w:r>
    </w:p>
    <w:tbl>
      <w:tblPr>
        <w:tblStyle w:val="39"/>
        <w:tblW w:w="6658" w:type="dxa"/>
        <w:tblInd w:w="113"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代码</w:t>
            </w:r>
          </w:p>
        </w:tc>
        <w:tc>
          <w:tcPr>
            <w:tcW w:w="2953"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名称</w:t>
            </w:r>
          </w:p>
        </w:tc>
        <w:tc>
          <w:tcPr>
            <w:tcW w:w="1985"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274</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霉变</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w:t>
            </w: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（13）“3-意外事故”的说明修改为“本级不使用”；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（14）在“131-倾覆”下方按如下内容顺序增加“331-塌方”、“332-坍塌”、“333-坠落”、“334-变形”、“335-电压异常”、“336-跌倒、摔伤”、“337-飞机失事”、“338-机械伤害”、“339-溺水”；</w:t>
      </w:r>
    </w:p>
    <w:tbl>
      <w:tblPr>
        <w:tblStyle w:val="39"/>
        <w:tblW w:w="6658" w:type="dxa"/>
        <w:tblInd w:w="113"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代码</w:t>
            </w:r>
          </w:p>
        </w:tc>
        <w:tc>
          <w:tcPr>
            <w:tcW w:w="2953"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名称</w:t>
            </w:r>
          </w:p>
        </w:tc>
        <w:tc>
          <w:tcPr>
            <w:tcW w:w="1985"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331</w:t>
            </w:r>
          </w:p>
        </w:tc>
        <w:tc>
          <w:tcPr>
            <w:tcW w:w="2953"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塌方</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332</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坍塌</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333</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坠落</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334</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变形</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335</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电压异常</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336</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跌倒、摔伤</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337</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飞机失事</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338</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机械伤害</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339</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溺水</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bl>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（15）“137-短路、超电压等电气事故”、“138-计算机故障”、“139-电梯事故”、“197-其他机损意外事故”、“196-其他意外事故”按如上顺序调整至“339-溺水”下方；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（16）“4-生物灾害”的说明修改为“本级不使用”；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（17）“5-指数出险”的说明修改为“本级不使用”；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（18）“6-养殖业保险专用出险原因”的说明修改为“本级不使用”；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19）在“6-养殖业保险专用出险原因”下方按如下内容增加“7-信用险专用出险原因”、“701-买方拖欠”、“702-买方拒收”、“703-买方破产”、“704-买方无正当理由拒绝履行合同”、“705-开证行拖欠”、“706-开证行破产”、“707-开证行拒绝承兑”、“708-政治风险”、“799-其他信用险出险原因”。</w:t>
      </w:r>
    </w:p>
    <w:tbl>
      <w:tblPr>
        <w:tblStyle w:val="39"/>
        <w:tblW w:w="6658" w:type="dxa"/>
        <w:tblInd w:w="113" w:type="dxa"/>
        <w:tblLayout w:type="fixed"/>
        <w:tblCellMar>
          <w:top w:w="0" w:type="dxa"/>
          <w:left w:w="108" w:type="dxa"/>
          <w:bottom w:w="0" w:type="dxa"/>
          <w:right w:w="108" w:type="dxa"/>
        </w:tblCellMar>
      </w:tblPr>
      <w:tblGrid>
        <w:gridCol w:w="1720"/>
        <w:gridCol w:w="2953"/>
        <w:gridCol w:w="1985"/>
      </w:tblGrid>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代码</w:t>
            </w:r>
          </w:p>
        </w:tc>
        <w:tc>
          <w:tcPr>
            <w:tcW w:w="2953"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名称</w:t>
            </w:r>
          </w:p>
        </w:tc>
        <w:tc>
          <w:tcPr>
            <w:tcW w:w="1985"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rPr>
            </w:pPr>
            <w:r>
              <w:rPr>
                <w:rFonts w:hint="eastAsia" w:asciiTheme="minorEastAsia" w:hAnsiTheme="minorEastAsia" w:eastAsiaTheme="minorEastAsia" w:cstheme="minorEastAsia"/>
                <w:b/>
                <w:bCs/>
                <w:kern w:val="0"/>
                <w:sz w:val="20"/>
              </w:rPr>
              <w:t>说明</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7</w:t>
            </w:r>
          </w:p>
        </w:tc>
        <w:tc>
          <w:tcPr>
            <w:tcW w:w="2953"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b/>
                <w:kern w:val="0"/>
                <w:sz w:val="20"/>
                <w:szCs w:val="20"/>
              </w:rPr>
            </w:pPr>
            <w:r>
              <w:rPr>
                <w:rFonts w:hint="eastAsia" w:asciiTheme="minorEastAsia" w:hAnsiTheme="minorEastAsia" w:eastAsiaTheme="minorEastAsia" w:cstheme="minorEastAsia"/>
                <w:b/>
                <w:kern w:val="0"/>
                <w:sz w:val="20"/>
                <w:szCs w:val="20"/>
              </w:rPr>
              <w:t>信用险专用出险原因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r>
              <w:rPr>
                <w:rFonts w:hint="eastAsia" w:asciiTheme="minorEastAsia" w:hAnsiTheme="minorEastAsia" w:eastAsiaTheme="minorEastAsia" w:cstheme="minorEastAsia"/>
                <w:color w:val="000000"/>
                <w:kern w:val="0"/>
                <w:sz w:val="20"/>
              </w:rPr>
              <w:t>　本级不使用</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701</w:t>
            </w:r>
          </w:p>
        </w:tc>
        <w:tc>
          <w:tcPr>
            <w:tcW w:w="2953"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买方拖欠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702</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买方拒收</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703</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买方破产</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704</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买方无正当理由拒绝履行合同</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705</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开证行拖欠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706</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开证行破产</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707</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开证行拒绝承兑</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708</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政治风险</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799</w:t>
            </w:r>
          </w:p>
        </w:tc>
        <w:tc>
          <w:tcPr>
            <w:tcW w:w="2953" w:type="dxa"/>
            <w:tcBorders>
              <w:top w:val="single" w:color="auto" w:sz="4" w:space="0"/>
              <w:left w:val="nil"/>
              <w:bottom w:val="single" w:color="auto" w:sz="4" w:space="0"/>
              <w:right w:val="single" w:color="auto" w:sz="4" w:space="0"/>
            </w:tcBorders>
            <w:shd w:val="clear" w:color="auto" w:fill="auto"/>
            <w:vAlign w:val="center"/>
          </w:tcPr>
          <w:p>
            <w:pPr>
              <w:rPr>
                <w:rFonts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color w:val="000000"/>
                <w:sz w:val="20"/>
                <w:szCs w:val="20"/>
              </w:rPr>
              <w:t>其他信用险出险原因</w:t>
            </w:r>
          </w:p>
        </w:tc>
        <w:tc>
          <w:tcPr>
            <w:tcW w:w="1985"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CD000032收付款方式代码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（1）目录页该代码“版本日期”修改为“2017/11/24”。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CD000044销售渠道类型代码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（1）目录页该代码“三期说明”列的内容修改为“三期调整”，“版本日期”修改为“2017/11/24”。</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CD000048国别代码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（1）增加17条代码值，如下所示，修改三期变更说明为“三期调整”。</w:t>
      </w: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p>
    <w:p>
      <w:pPr>
        <w:widowControl/>
        <w:spacing w:line="560" w:lineRule="exact"/>
      </w:pPr>
      <w:r>
        <w:pict>
          <v:shape id="_x0000_s1027" o:spid="_x0000_s1027" o:spt="75" type="#_x0000_t75" style="position:absolute;left:0pt;margin-left:0pt;margin-top:-43.6pt;height:66pt;width:72.75pt;z-index:251660288;mso-width-relative:page;mso-height-relative:page;" o:ole="t" filled="f" o:preferrelative="t" stroked="f" coordsize="21600,21600">
            <v:path/>
            <v:fill on="f" focussize="0,0"/>
            <v:stroke on="f" joinstyle="miter"/>
            <v:imagedata r:id="rId15" o:title=""/>
            <o:lock v:ext="edit" aspectratio="t"/>
          </v:shape>
          <o:OLEObject Type="Embed" ProgID="Package" ShapeID="_x0000_s1027" DrawAspect="Icon" ObjectID="_1468075729" r:id="rId14">
            <o:LockedField>false</o:LockedField>
          </o:OLEObject>
        </w:pic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CD000068手术代码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CD000095财产险产品类型代码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（1）目录页该代码“三期说明”列的内容修改为“三期调整”，“版本日期”修改为“2017/11/22”。</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CD000103保单种类代码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CD000104业务性质代码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CD000106保险分支机构代码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CD000153中医疾病代码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 “版本日期”修改为“2017/10/13”。</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CD000192担保方式代码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CD000198追偿类型代码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（1）目录页该代码“版本日期”修改为“2017/4/11”。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CD000212财产险赔案费用类型代码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（2）在“093-伤残鉴定费”下方按如下内容顺序增加“094-翻译费”、“095-破产债权登记费”、“096-物权保留登记费”、“097-认证费”。</w:t>
      </w:r>
    </w:p>
    <w:tbl>
      <w:tblPr>
        <w:tblStyle w:val="39"/>
        <w:tblW w:w="5160" w:type="dxa"/>
        <w:tblInd w:w="113"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spacing w:line="560" w:lineRule="exact"/>
              <w:rPr>
                <w:rFonts w:ascii="微软雅黑" w:hAnsi="微软雅黑" w:eastAsia="微软雅黑" w:cs="宋体"/>
                <w:b/>
                <w:bCs/>
                <w:kern w:val="0"/>
                <w:sz w:val="20"/>
              </w:rPr>
            </w:pPr>
            <w:r>
              <w:rPr>
                <w:rFonts w:hint="eastAsia" w:ascii="微软雅黑" w:hAnsi="微软雅黑" w:eastAsia="微软雅黑" w:cs="宋体"/>
                <w:b/>
                <w:bCs/>
                <w:kern w:val="0"/>
                <w:sz w:val="20"/>
              </w:rPr>
              <w:t>代码</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spacing w:line="560" w:lineRule="exact"/>
              <w:rPr>
                <w:rFonts w:ascii="微软雅黑" w:hAnsi="微软雅黑" w:eastAsia="微软雅黑" w:cs="宋体"/>
                <w:b/>
                <w:bCs/>
                <w:kern w:val="0"/>
                <w:sz w:val="20"/>
              </w:rPr>
            </w:pPr>
            <w:r>
              <w:rPr>
                <w:rFonts w:hint="eastAsia" w:ascii="微软雅黑" w:hAnsi="微软雅黑" w:eastAsia="微软雅黑" w:cs="宋体"/>
                <w:b/>
                <w:bCs/>
                <w:kern w:val="0"/>
                <w:sz w:val="20"/>
              </w:rPr>
              <w:t>名称</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spacing w:line="560" w:lineRule="exact"/>
              <w:rPr>
                <w:rFonts w:ascii="微软雅黑" w:hAnsi="微软雅黑" w:eastAsia="微软雅黑" w:cs="宋体"/>
                <w:b/>
                <w:bCs/>
                <w:kern w:val="0"/>
                <w:sz w:val="20"/>
              </w:rPr>
            </w:pPr>
            <w:r>
              <w:rPr>
                <w:rFonts w:hint="eastAsia" w:ascii="微软雅黑" w:hAnsi="微软雅黑" w:eastAsia="微软雅黑" w:cs="宋体"/>
                <w:b/>
                <w:bCs/>
                <w:kern w:val="0"/>
                <w:sz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0</w:t>
            </w:r>
            <w:r>
              <w:rPr>
                <w:rFonts w:ascii="微软雅黑" w:hAnsi="微软雅黑" w:eastAsia="微软雅黑" w:cs="宋体"/>
                <w:kern w:val="0"/>
                <w:sz w:val="20"/>
                <w:szCs w:val="20"/>
              </w:rPr>
              <w:t>94</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翻译费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spacing w:line="560" w:lineRule="exact"/>
              <w:rPr>
                <w:rFonts w:ascii="微软雅黑" w:hAnsi="微软雅黑" w:eastAsia="微软雅黑" w:cs="宋体"/>
                <w:color w:val="000000"/>
                <w:kern w:val="0"/>
                <w:sz w:val="20"/>
              </w:rPr>
            </w:pPr>
            <w:r>
              <w:rPr>
                <w:rFonts w:hint="eastAsia" w:ascii="微软雅黑" w:hAnsi="微软雅黑" w:eastAsia="微软雅黑" w:cs="宋体"/>
                <w:color w:val="000000"/>
                <w:kern w:val="0"/>
                <w:sz w:val="20"/>
              </w:rPr>
              <w:t>　</w:t>
            </w: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0</w:t>
            </w:r>
            <w:r>
              <w:rPr>
                <w:rFonts w:ascii="微软雅黑" w:hAnsi="微软雅黑" w:eastAsia="微软雅黑" w:cs="宋体"/>
                <w:kern w:val="0"/>
                <w:sz w:val="20"/>
                <w:szCs w:val="20"/>
              </w:rPr>
              <w:t>95</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破产债权登记费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spacing w:line="560" w:lineRule="exact"/>
              <w:rPr>
                <w:rFonts w:ascii="微软雅黑" w:hAnsi="微软雅黑" w:eastAsia="微软雅黑" w:cs="宋体"/>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0</w:t>
            </w:r>
            <w:r>
              <w:rPr>
                <w:rFonts w:ascii="微软雅黑" w:hAnsi="微软雅黑" w:eastAsia="微软雅黑" w:cs="宋体"/>
                <w:kern w:val="0"/>
                <w:sz w:val="20"/>
                <w:szCs w:val="20"/>
              </w:rPr>
              <w:t>96</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物权保留登记费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spacing w:line="560" w:lineRule="exact"/>
              <w:rPr>
                <w:rFonts w:ascii="微软雅黑" w:hAnsi="微软雅黑" w:eastAsia="微软雅黑" w:cs="宋体"/>
                <w:color w:val="000000"/>
                <w:kern w:val="0"/>
                <w:sz w:val="20"/>
              </w:rPr>
            </w:pPr>
          </w:p>
        </w:tc>
      </w:tr>
      <w:tr>
        <w:tblPrEx>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0</w:t>
            </w:r>
            <w:r>
              <w:rPr>
                <w:rFonts w:ascii="微软雅黑" w:hAnsi="微软雅黑" w:eastAsia="微软雅黑" w:cs="宋体"/>
                <w:kern w:val="0"/>
                <w:sz w:val="20"/>
                <w:szCs w:val="20"/>
              </w:rPr>
              <w:t>97</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spacing w:line="560" w:lineRule="exact"/>
              <w:rPr>
                <w:rFonts w:ascii="微软雅黑" w:hAnsi="微软雅黑" w:eastAsia="微软雅黑" w:cs="宋体"/>
                <w:kern w:val="0"/>
                <w:sz w:val="20"/>
                <w:szCs w:val="20"/>
              </w:rPr>
            </w:pPr>
            <w:r>
              <w:rPr>
                <w:rFonts w:hint="eastAsia" w:ascii="微软雅黑" w:hAnsi="微软雅黑" w:eastAsia="微软雅黑" w:cs="宋体"/>
                <w:kern w:val="0"/>
                <w:sz w:val="20"/>
                <w:szCs w:val="20"/>
              </w:rPr>
              <w:t>认证费</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spacing w:line="560" w:lineRule="exact"/>
              <w:rPr>
                <w:rFonts w:ascii="微软雅黑" w:hAnsi="微软雅黑" w:eastAsia="微软雅黑" w:cs="宋体"/>
                <w:color w:val="000000"/>
                <w:kern w:val="0"/>
                <w:sz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CD000221报案处理类型代码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（1）该代码目录页“版本日期”修改“2017/4/11”。</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CD000237医疗机构代码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（1）目录页该代码“三期说明”列的内容修改为“三期调整”，“版本日期”修改“2017/10/13”。</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CD000248财险收费类型代码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（2）“05-收保费”的说明修改为“收承保保费”；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（3）“30-退储金保费” 的说明修改为“适用于储金型产品”；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（4）“79-收分保手续费”的说明修改为“本次暂不使用”；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（5）“80-收分保税款”的说明修改为“本次暂不使用”；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（6）“81-收纯益手续费”的说明修改为“本次暂不使用”。</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CD000249财险付费类型代码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（2）“01-确认赔款支出”的说明修改为“本次暂不使用”；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（3）“12-减保/减费-应付保费”的说明修改为“本次暂不使用”；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（4）“24-退保/退费-应付保费”的说明修改为“本次暂不使用”；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（5）“53-支应付手续费”的说明修改为“本次暂不使用”；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（6）“56-确认职工业务绩效”的说明修改为“本次暂不使用”；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（7）“57-支付职工业务绩效”的说明修改为“本次暂不使用”；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（8）“79-支申购费用”的说明修改为“本次暂不使用”；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（9）“98-支分保手续费”的说明修改为“本次暂不使用”；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（10）“100-支经纪费”的说明修改为“本次暂不使用”；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（11）“102-支分保税款”的说明修改为“本次暂不使用”；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（12）“103-支纯益手续费”的说明修改为“本次暂不使用”；</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（13）新增码值“105-追回款转付客户”；</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（14）新增码值“106-追回款转付再保人”。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CD000275占用性质代码</w:t>
      </w:r>
    </w:p>
    <w:p>
      <w:pPr>
        <w:pStyle w:val="52"/>
        <w:numPr>
          <w:ilvl w:val="255"/>
          <w:numId w:val="0"/>
        </w:numPr>
        <w:spacing w:line="560" w:lineRule="exact"/>
      </w:pPr>
      <w:r>
        <w:rPr>
          <w:rFonts w:hint="eastAsia" w:asciiTheme="minorEastAsia" w:hAnsiTheme="minorEastAsia" w:eastAsiaTheme="minorEastAsia" w:cstheme="minorEastAsia"/>
          <w:szCs w:val="24"/>
        </w:rPr>
        <w:t>（1）新增码值“99-其他”。</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CD000276国民经济行业分类代码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（1）增加码值：99-其他。</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CD000303争议解决方式代码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（1）该代码目录页“版本日期”修改“2018/3/22”；</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（2）在“02-仲裁”下方按如下内容顺序增加“03-协商”和“99-其他”。</w:t>
      </w:r>
    </w:p>
    <w:tbl>
      <w:tblPr>
        <w:tblStyle w:val="39"/>
        <w:tblW w:w="5160" w:type="dxa"/>
        <w:tblInd w:w="113" w:type="dxa"/>
        <w:tblLayout w:type="fixed"/>
        <w:tblCellMar>
          <w:top w:w="0" w:type="dxa"/>
          <w:left w:w="108" w:type="dxa"/>
          <w:bottom w:w="0" w:type="dxa"/>
          <w:right w:w="108" w:type="dxa"/>
        </w:tblCellMar>
      </w:tblPr>
      <w:tblGrid>
        <w:gridCol w:w="1720"/>
        <w:gridCol w:w="1720"/>
        <w:gridCol w:w="1720"/>
      </w:tblGrid>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代码</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名称</w:t>
            </w:r>
          </w:p>
        </w:tc>
        <w:tc>
          <w:tcPr>
            <w:tcW w:w="1720"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说明</w:t>
            </w:r>
          </w:p>
        </w:tc>
      </w:tr>
      <w:tr>
        <w:tblPrEx>
          <w:tblCellMar>
            <w:top w:w="0" w:type="dxa"/>
            <w:left w:w="108" w:type="dxa"/>
            <w:bottom w:w="0" w:type="dxa"/>
            <w:right w:w="108" w:type="dxa"/>
          </w:tblCellMar>
        </w:tblPrEx>
        <w:trPr>
          <w:trHeight w:val="36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03</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协商</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w:t>
            </w:r>
          </w:p>
        </w:tc>
      </w:tr>
      <w:tr>
        <w:tblPrEx>
          <w:tblCellMar>
            <w:top w:w="0" w:type="dxa"/>
            <w:left w:w="108" w:type="dxa"/>
            <w:bottom w:w="0" w:type="dxa"/>
            <w:right w:w="108" w:type="dxa"/>
          </w:tblCellMar>
        </w:tblPrEx>
        <w:trPr>
          <w:trHeight w:val="208"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99</w:t>
            </w:r>
          </w:p>
        </w:tc>
        <w:tc>
          <w:tcPr>
            <w:tcW w:w="1720"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其他</w:t>
            </w:r>
          </w:p>
        </w:tc>
        <w:tc>
          <w:tcPr>
            <w:tcW w:w="1720"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CD000338贸易风险类别代码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（1）在“02-政治风险”下方按如下内容增加“03-商业风险与政治风险”。</w:t>
      </w:r>
    </w:p>
    <w:tbl>
      <w:tblPr>
        <w:tblStyle w:val="39"/>
        <w:tblW w:w="5949" w:type="dxa"/>
        <w:tblInd w:w="113" w:type="dxa"/>
        <w:tblLayout w:type="fixed"/>
        <w:tblCellMar>
          <w:top w:w="0" w:type="dxa"/>
          <w:left w:w="108" w:type="dxa"/>
          <w:bottom w:w="0" w:type="dxa"/>
          <w:right w:w="108" w:type="dxa"/>
        </w:tblCellMar>
      </w:tblPr>
      <w:tblGrid>
        <w:gridCol w:w="1720"/>
        <w:gridCol w:w="2528"/>
        <w:gridCol w:w="1701"/>
      </w:tblGrid>
      <w:tr>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代码</w:t>
            </w:r>
          </w:p>
        </w:tc>
        <w:tc>
          <w:tcPr>
            <w:tcW w:w="2528"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名称</w:t>
            </w:r>
          </w:p>
        </w:tc>
        <w:tc>
          <w:tcPr>
            <w:tcW w:w="1701" w:type="dxa"/>
            <w:tcBorders>
              <w:top w:val="single" w:color="auto" w:sz="4" w:space="0"/>
              <w:left w:val="nil"/>
              <w:bottom w:val="single" w:color="auto" w:sz="4" w:space="0"/>
              <w:right w:val="single" w:color="auto" w:sz="4" w:space="0"/>
            </w:tcBorders>
            <w:shd w:val="clear" w:color="000000" w:fill="BFBFBF"/>
            <w:vAlign w:val="center"/>
          </w:tcPr>
          <w:p>
            <w:pPr>
              <w:widowControl/>
              <w:rPr>
                <w:rFonts w:asciiTheme="minorEastAsia" w:hAnsiTheme="minorEastAsia" w:eastAsiaTheme="minorEastAsia" w:cstheme="minorEastAsia"/>
                <w:b/>
                <w:bCs/>
                <w:kern w:val="0"/>
                <w:sz w:val="20"/>
                <w:szCs w:val="20"/>
              </w:rPr>
            </w:pPr>
            <w:r>
              <w:rPr>
                <w:rFonts w:hint="eastAsia" w:asciiTheme="minorEastAsia" w:hAnsiTheme="minorEastAsia" w:eastAsiaTheme="minorEastAsia" w:cstheme="minorEastAsia"/>
                <w:b/>
                <w:bCs/>
                <w:kern w:val="0"/>
                <w:sz w:val="20"/>
                <w:szCs w:val="20"/>
              </w:rPr>
              <w:t>说明</w:t>
            </w:r>
          </w:p>
        </w:tc>
      </w:tr>
      <w:tr>
        <w:tblPrEx>
          <w:tblCellMar>
            <w:top w:w="0" w:type="dxa"/>
            <w:left w:w="108" w:type="dxa"/>
            <w:bottom w:w="0" w:type="dxa"/>
            <w:right w:w="108" w:type="dxa"/>
          </w:tblCellMar>
        </w:tblPrEx>
        <w:trPr>
          <w:trHeight w:val="70" w:hRule="atLeast"/>
        </w:trPr>
        <w:tc>
          <w:tcPr>
            <w:tcW w:w="17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03</w:t>
            </w:r>
          </w:p>
        </w:tc>
        <w:tc>
          <w:tcPr>
            <w:tcW w:w="2528" w:type="dxa"/>
            <w:tcBorders>
              <w:top w:val="single" w:color="auto" w:sz="4" w:space="0"/>
              <w:left w:val="nil"/>
              <w:bottom w:val="single" w:color="auto" w:sz="4" w:space="0"/>
              <w:right w:val="single" w:color="auto" w:sz="4" w:space="0"/>
            </w:tcBorders>
            <w:shd w:val="clear" w:color="auto" w:fill="auto"/>
            <w:vAlign w:val="bottom"/>
          </w:tcPr>
          <w:p>
            <w:pPr>
              <w:widowControl/>
              <w:rPr>
                <w:rFonts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商业风险与政治风险</w:t>
            </w:r>
          </w:p>
        </w:tc>
        <w:tc>
          <w:tcPr>
            <w:tcW w:w="1701" w:type="dxa"/>
            <w:tcBorders>
              <w:top w:val="single" w:color="auto" w:sz="4" w:space="0"/>
              <w:left w:val="nil"/>
              <w:bottom w:val="single" w:color="auto" w:sz="4" w:space="0"/>
              <w:right w:val="single" w:color="auto" w:sz="4" w:space="0"/>
            </w:tcBorders>
            <w:shd w:val="clear" w:color="auto" w:fill="auto"/>
            <w:vAlign w:val="center"/>
          </w:tcPr>
          <w:p>
            <w:pPr>
              <w:widowControl/>
              <w:rPr>
                <w:rFonts w:asciiTheme="minorEastAsia" w:hAnsiTheme="minorEastAsia" w:eastAsiaTheme="minorEastAsia" w:cstheme="minorEastAsia"/>
                <w:color w:val="000000"/>
                <w:kern w:val="0"/>
                <w:sz w:val="20"/>
                <w:szCs w:val="20"/>
              </w:rPr>
            </w:pPr>
            <w:r>
              <w:rPr>
                <w:rFonts w:hint="eastAsia" w:asciiTheme="minorEastAsia" w:hAnsiTheme="minorEastAsia" w:eastAsiaTheme="minorEastAsia" w:cstheme="minorEastAsia"/>
                <w:color w:val="000000"/>
                <w:kern w:val="0"/>
                <w:sz w:val="20"/>
                <w:szCs w:val="20"/>
              </w:rPr>
              <w:t>　</w:t>
            </w:r>
          </w:p>
        </w:tc>
      </w:tr>
    </w:tbl>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CD000383船舶种类代码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（1）参照规范由“CB-T16158-1996内河船舶分类与代码”修改为“GB-T16158-1996内河船舶分类与代码”。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CD000395货运险运输方式代码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（1）“5-邮件运输”的说明修改为“通过邮件运输货物的方式。”；</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（2）“6-多式联运”的说明修改为“通过多式联运进行货物（或）人员运输的方式。”。</w:t>
      </w:r>
    </w:p>
    <w:p>
      <w:pPr>
        <w:pStyle w:val="3"/>
        <w:spacing w:before="0" w:after="0" w:line="560" w:lineRule="exact"/>
        <w:rPr>
          <w:rFonts w:ascii="楷体" w:hAnsi="楷体" w:eastAsia="楷体" w:cs="楷体"/>
        </w:rPr>
      </w:pPr>
      <w:r>
        <w:rPr>
          <w:rFonts w:hint="eastAsia" w:ascii="楷体" w:hAnsi="楷体" w:eastAsia="楷体" w:cs="楷体"/>
        </w:rPr>
        <w:t>（七）保单登记三期财产险数据载入自查规则</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PRP_3rd_P_F_I_000906</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（1）短期出口信用保险_保单扩展信息表：“最低保费”的英文名与2-2不符，按照2-2修改为MinPremium。</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PRP_3rd_P_F_I_001413</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（1）建筑工程质量责任险_工程信息表：“工程建造结束日期”的英文名称与2-2不符，按照2-2修改为BuildEndDate。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PRP_3rd_P_F_I_001798</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（1）理赔立案信息表：“立案人姓名”的英文名与2-2不符，按照2-2修改为OperatorName。</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PRP_3rd_P_F_I_001799</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（1）理赔立案信息表：“立案意见”的英文名与2-2不符，按照2-2修改为Opinions。</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PRP_3rd_P_F_I_000131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（1）保单标的责任信息表：“责任编号”非空，规则废止。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PRP_3rd_P_F_O_000011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（1）保单非自然人投保人信息表：“保单编号”的英文名与2-2不符，按照2-2修改为GrpPolicyNo。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PRP_3rd_P_F_I_002581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（1）保单非自然人被保险人信息表：“被保险人客户编号”的英文名与2-2不符，按照2-2修改为AssuredNo。</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PRP_3rd_P_F_I_005627</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（1）“分出人编码”字段的表名列未进行合并单元格，应为：再保比例临分分入保单信息表。</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PRP_3rd_P_F_I_005606</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（1）超赔临分分出层信息表：“层编码”在超赔合约层信息表中存在。此规则错误需废止。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PRP_3rd_P_F_O_001161</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（1）条款责任关系信息表：“条款编号”在条款信息表中存在。此规则重复需废止。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PRP_3rd_P_F_O_000965</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（1）理赔医疗费用信息表: “立案编号”在理赔立案信息中存在。此规则错误需废止。</w:t>
      </w: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p>
    <w:p>
      <w:pPr>
        <w:pStyle w:val="52"/>
        <w:numPr>
          <w:ilvl w:val="255"/>
          <w:numId w:val="0"/>
        </w:numPr>
        <w:spacing w:line="560" w:lineRule="exact"/>
        <w:rPr>
          <w:rFonts w:asciiTheme="minorEastAsia" w:hAnsiTheme="minorEastAsia" w:eastAsiaTheme="minorEastAsia" w:cstheme="minorEastAsia"/>
          <w:szCs w:val="24"/>
        </w:rPr>
      </w:pPr>
    </w:p>
    <w:bookmarkEnd w:id="2"/>
    <w:p>
      <w:pPr>
        <w:rPr>
          <w:rFonts w:ascii="黑体" w:hAnsi="黑体" w:eastAsia="黑体" w:cs="黑体"/>
        </w:rPr>
      </w:pPr>
      <w:r>
        <w:rPr>
          <w:rFonts w:hint="eastAsia" w:ascii="黑体" w:hAnsi="黑体" w:eastAsia="黑体" w:cs="黑体"/>
        </w:rPr>
        <w:br w:type="page"/>
      </w:r>
    </w:p>
    <w:p>
      <w:pPr>
        <w:pStyle w:val="37"/>
        <w:spacing w:before="0" w:after="0" w:line="560" w:lineRule="exact"/>
        <w:jc w:val="both"/>
        <w:rPr>
          <w:rFonts w:ascii="黑体" w:hAnsi="黑体" w:eastAsia="黑体" w:cs="黑体"/>
          <w:b w:val="0"/>
          <w:bCs w:val="0"/>
        </w:rPr>
      </w:pPr>
      <w:r>
        <w:rPr>
          <w:rFonts w:hint="eastAsia" w:ascii="黑体" w:hAnsi="黑体" w:eastAsia="黑体" w:cs="黑体"/>
          <w:b w:val="0"/>
          <w:bCs w:val="0"/>
        </w:rPr>
        <w:t>第二篇：常见业务问题篇</w:t>
      </w:r>
    </w:p>
    <w:p>
      <w:pPr>
        <w:pStyle w:val="3"/>
        <w:spacing w:before="0" w:after="0" w:line="560" w:lineRule="exact"/>
        <w:rPr>
          <w:rFonts w:ascii="楷体" w:hAnsi="楷体" w:eastAsia="楷体" w:cs="楷体"/>
        </w:rPr>
      </w:pPr>
      <w:r>
        <w:rPr>
          <w:rFonts w:hint="eastAsia" w:ascii="楷体" w:hAnsi="楷体" w:eastAsia="楷体" w:cs="楷体"/>
        </w:rPr>
        <w:t>（一）保单模块</w:t>
      </w:r>
    </w:p>
    <w:p>
      <w:pPr>
        <w:pStyle w:val="4"/>
        <w:numPr>
          <w:ilvl w:val="255"/>
          <w:numId w:val="0"/>
        </w:numPr>
        <w:spacing w:before="0" w:after="0" w:line="560" w:lineRule="exact"/>
      </w:pPr>
      <w:r>
        <w:rPr>
          <w:rFonts w:hint="eastAsia" w:ascii="仿宋" w:hAnsi="仿宋" w:eastAsia="仿宋" w:cs="仿宋"/>
          <w:sz w:val="28"/>
          <w:szCs w:val="28"/>
        </w:rPr>
        <w:t xml:space="preserve">1. 【保单基本信息表】中“保险费率”的业务含义是什么？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【保单基本信息表】的“保险费率”指根据报送平台的保单含税总保费/总保险金额得到的值，特殊情况下如果总保险金额为0，则“保险费率”需报送0。</w:t>
      </w:r>
    </w:p>
    <w:p>
      <w:pPr>
        <w:pStyle w:val="4"/>
        <w:numPr>
          <w:ilvl w:val="255"/>
          <w:numId w:val="0"/>
        </w:numPr>
        <w:spacing w:before="0" w:after="0" w:line="560" w:lineRule="exact"/>
      </w:pPr>
      <w:r>
        <w:rPr>
          <w:rFonts w:hint="eastAsia" w:ascii="仿宋" w:hAnsi="仿宋" w:eastAsia="仿宋" w:cs="仿宋"/>
          <w:sz w:val="28"/>
          <w:szCs w:val="28"/>
        </w:rPr>
        <w:t xml:space="preserve">2. 【保单佣金信息表】中佣金金额是报送本次业务的佣金金额，还是该保单最新状态的佣金金额？例如，保单原佣金金额为100元，批增佣金金额50元，则在本次批改业务报送该表时，佣金金额是报送150，还是50？【保单佣金明细信息表】也是同样的要求吗？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【保单佣金信息表】和【保单佣金明细信息表】均应报送保单下最新状态的佣金信息，在问题举例中，【保单佣金信息表】的佣金金额应报送150。</w:t>
      </w:r>
    </w:p>
    <w:p>
      <w:pPr>
        <w:pStyle w:val="4"/>
        <w:numPr>
          <w:ilvl w:val="255"/>
          <w:numId w:val="0"/>
        </w:numPr>
        <w:spacing w:before="0" w:after="0" w:line="560" w:lineRule="exact"/>
      </w:pPr>
      <w:r>
        <w:rPr>
          <w:rFonts w:hint="eastAsia" w:ascii="仿宋" w:hAnsi="仿宋" w:eastAsia="仿宋" w:cs="仿宋"/>
          <w:sz w:val="28"/>
          <w:szCs w:val="28"/>
        </w:rPr>
        <w:t xml:space="preserve">3. 【保单标的责任信息表】和【保单批改责任信息表】在批改时应如何报送？是报送保单当前的全量标的责任和批改责任信息，还是只报送有保额保费变化的部分？对意外险、健康险团单个单超过1万笔的情况，是否可以只报送存在保额保费变化的个单信息？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【保单批改责任信息表】为【保单批改作业信息表】的子表，批改时【保单批改责任信息表】需要报送有保额保费变化的责任信息；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【保单标的责任信息表】为【保单基本信息表】的子表，在批改时应报送批改后保单的最新状态。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对意外险、健康险团单个单的数量非常大的情况，可以只报送存在保额保费变化的个单信息。</w:t>
      </w:r>
    </w:p>
    <w:p>
      <w:pPr>
        <w:pStyle w:val="4"/>
        <w:numPr>
          <w:ilvl w:val="255"/>
          <w:numId w:val="0"/>
        </w:numPr>
        <w:spacing w:before="0" w:after="0" w:line="560" w:lineRule="exact"/>
      </w:pPr>
      <w:r>
        <w:rPr>
          <w:rFonts w:hint="eastAsia" w:ascii="仿宋" w:hAnsi="仿宋" w:eastAsia="仿宋" w:cs="仿宋"/>
          <w:sz w:val="28"/>
          <w:szCs w:val="28"/>
        </w:rPr>
        <w:t>4. 【保单基本信息表】的“保单团个性质代码”中个人、团体、其他的业务含义是什么？</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基本信息表】的“保单团个性质代码”根据投保人的性质划分，如果该保单是个人投保的保单，则团个性质为“个人”，如果是团体投保的保单，团个性质为“团体”，如果无法区分是个人还是团体投保，团个性质为“其他”。</w:t>
      </w:r>
    </w:p>
    <w:p>
      <w:pPr>
        <w:pStyle w:val="4"/>
        <w:numPr>
          <w:ilvl w:val="255"/>
          <w:numId w:val="0"/>
        </w:numPr>
        <w:spacing w:before="0" w:after="0" w:line="560" w:lineRule="exact"/>
      </w:pPr>
      <w:r>
        <w:rPr>
          <w:rFonts w:hint="eastAsia" w:ascii="仿宋" w:hAnsi="仿宋" w:eastAsia="仿宋" w:cs="仿宋"/>
          <w:sz w:val="28"/>
          <w:szCs w:val="28"/>
        </w:rPr>
        <w:t>5. 【保单基本信息表】、【保单批改责任信息表】等表中有含税保费、不含税保费、税额三个字段的情况，例如保单批改责任信息表中‘批改保费变化量（不含税）’字段等，对于营改增之前的数据应如何报送？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模型中有含税保费、不含税保费、税额三个字段的情况，在营改增之前，含税保费、不含税保费均报送实际保费，税额报送0，在营改增之后需要按照实际情况报送。</w:t>
      </w:r>
    </w:p>
    <w:p>
      <w:pPr>
        <w:pStyle w:val="4"/>
        <w:numPr>
          <w:ilvl w:val="255"/>
          <w:numId w:val="0"/>
        </w:numPr>
        <w:spacing w:before="0" w:after="0" w:line="560" w:lineRule="exact"/>
      </w:pPr>
      <w:r>
        <w:rPr>
          <w:rFonts w:hint="eastAsia" w:ascii="仿宋" w:hAnsi="仿宋" w:eastAsia="仿宋" w:cs="仿宋"/>
          <w:sz w:val="28"/>
          <w:szCs w:val="28"/>
        </w:rPr>
        <w:t>6. 【保单基本信息表】中“第三方互联网出单公司名称”的业务含义是什么？哪些公司算作第三方互联网公司？</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第三方互联网出单公司指保单通过第三方网络销售的渠道，包括第三方互联网平台（淘宝、京东、腾讯等）、第三方互联网兼业代理（携程、去哪儿、航空网站等）以及互联网专业中介（慧择网、中民网新一站等）等。当保单涉及第三方互联网公司的业务时，需要在【保单基本信息表】对应字段报送互联网公司信息。</w:t>
      </w:r>
    </w:p>
    <w:p>
      <w:pPr>
        <w:pStyle w:val="4"/>
        <w:numPr>
          <w:ilvl w:val="255"/>
          <w:numId w:val="0"/>
        </w:numPr>
        <w:spacing w:before="0" w:after="0" w:line="560" w:lineRule="exact"/>
      </w:pPr>
      <w:r>
        <w:rPr>
          <w:rFonts w:hint="eastAsia" w:ascii="仿宋" w:hAnsi="仿宋" w:eastAsia="仿宋" w:cs="仿宋"/>
          <w:sz w:val="28"/>
          <w:szCs w:val="28"/>
        </w:rPr>
        <w:t xml:space="preserve">7. 模型中的原币币别应如何报送？例如承保标的币别是港币，缴费汇总的币别是欧元，这时保险公司应取哪种币别作为原币币别？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现有模型中大多数字段均设有原币币别、原币金额和人民币金额三个字段，具体含义需要结合实际业务场景下，具体字段原币币别金额描述的对象判断。如某笔新单承保业务的应收保费为港币，则保费基本信息表中保费原币币别为港币，如客户实际缴费为欧元，则收费明细表中实收金额原币币别代码为欧元。</w:t>
      </w:r>
    </w:p>
    <w:p>
      <w:pPr>
        <w:pStyle w:val="4"/>
        <w:numPr>
          <w:ilvl w:val="255"/>
          <w:numId w:val="0"/>
        </w:numPr>
        <w:spacing w:before="0" w:after="0" w:line="560" w:lineRule="exact"/>
      </w:pPr>
      <w:r>
        <w:rPr>
          <w:rFonts w:hint="eastAsia" w:ascii="仿宋" w:hAnsi="仿宋" w:eastAsia="仿宋" w:cs="仿宋"/>
          <w:sz w:val="28"/>
          <w:szCs w:val="28"/>
        </w:rPr>
        <w:t>8. 对于包含多种不同主险条款的组合险产品，应如何报送标的信息？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对于包含多个不同主险条款的组合险产品，保单标的信息需要报送全部主险条款涉及到的标的信息。</w:t>
      </w:r>
    </w:p>
    <w:p>
      <w:pPr>
        <w:pStyle w:val="4"/>
        <w:numPr>
          <w:ilvl w:val="255"/>
          <w:numId w:val="0"/>
        </w:numPr>
        <w:spacing w:before="0" w:after="0" w:line="560" w:lineRule="exact"/>
      </w:pPr>
      <w:r>
        <w:rPr>
          <w:rFonts w:hint="eastAsia" w:ascii="仿宋" w:hAnsi="仿宋" w:eastAsia="仿宋" w:cs="仿宋"/>
          <w:sz w:val="28"/>
          <w:szCs w:val="28"/>
        </w:rPr>
        <w:t xml:space="preserve">9. 对于保险公司同一保单下有多个标的的情况，例如公司承保的客户为连锁企业，可能出现1000多个不同地址的标的，对应标的信息表是逐一报送还是合并后报送？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如果同一保单下有多个不同标的，需要在对应的标的信息表中逐笔记录报送每一个标的信息。</w:t>
      </w:r>
    </w:p>
    <w:p>
      <w:pPr>
        <w:pStyle w:val="4"/>
        <w:numPr>
          <w:ilvl w:val="255"/>
          <w:numId w:val="0"/>
        </w:numPr>
        <w:spacing w:before="0" w:after="0" w:line="560" w:lineRule="exact"/>
      </w:pPr>
      <w:r>
        <w:rPr>
          <w:rFonts w:hint="eastAsia" w:ascii="仿宋" w:hAnsi="仿宋" w:eastAsia="仿宋" w:cs="仿宋"/>
          <w:sz w:val="28"/>
          <w:szCs w:val="28"/>
        </w:rPr>
        <w:t>10. 【保单政策性系数信息表】的业务含义是什么？哪些业务需要报送该表信息？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【保单政策性系数信息表】指的是保单相关的政策性系数信息，政策性保险产品需要填写。政策性保险指从投保人的角度，某次投保是否享受了保费财政补贴，如部分首台套保险、责任险 等部分产品可能涉及。</w:t>
      </w:r>
    </w:p>
    <w:p>
      <w:pPr>
        <w:pStyle w:val="4"/>
        <w:numPr>
          <w:ilvl w:val="255"/>
          <w:numId w:val="0"/>
        </w:numPr>
        <w:spacing w:before="0" w:after="0" w:line="560" w:lineRule="exact"/>
      </w:pPr>
      <w:r>
        <w:rPr>
          <w:rFonts w:hint="eastAsia" w:ascii="仿宋" w:hAnsi="仿宋" w:eastAsia="仿宋" w:cs="仿宋"/>
          <w:sz w:val="28"/>
          <w:szCs w:val="28"/>
        </w:rPr>
        <w:t>11. 对于联共保的业务，作为从方的保险公司需要上报保单信息吗？</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当保单为联共保保单时，需要由直接承保方（即保单出单公司）报送完整的保单信息及各参与方的分保信息，其他作为从方的承保公司则不需要报送。</w:t>
      </w:r>
    </w:p>
    <w:p>
      <w:pPr>
        <w:pStyle w:val="4"/>
        <w:numPr>
          <w:ilvl w:val="255"/>
          <w:numId w:val="0"/>
        </w:numPr>
        <w:spacing w:before="0" w:after="0" w:line="560" w:lineRule="exact"/>
      </w:pPr>
      <w:r>
        <w:rPr>
          <w:rFonts w:hint="eastAsia" w:ascii="仿宋" w:hAnsi="仿宋" w:eastAsia="仿宋" w:cs="仿宋"/>
          <w:sz w:val="28"/>
          <w:szCs w:val="28"/>
        </w:rPr>
        <w:t>12. 【保单联共保信息表】是否只需上传从联、从共方的信息，而不需上传主联、主共方的信息？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需要报送。涉及联共保业务时，保险公司需要在【保单联共保信息表】中报送主联、主共方和从联、从共方的信息，其中报送主共方信息时，共保方机构代码、共保方机构名称、共保份额、共保保额以及共保保费报送主共方对应信息即可；同一保单下【保单联共保信息表】的共保份额加和应为100.</w:t>
      </w:r>
    </w:p>
    <w:p>
      <w:pPr>
        <w:pStyle w:val="4"/>
        <w:numPr>
          <w:ilvl w:val="255"/>
          <w:numId w:val="0"/>
        </w:numPr>
        <w:spacing w:before="0" w:after="0" w:line="560" w:lineRule="exact"/>
      </w:pPr>
      <w:r>
        <w:rPr>
          <w:rFonts w:hint="eastAsia" w:ascii="仿宋" w:hAnsi="仿宋" w:eastAsia="仿宋" w:cs="仿宋"/>
          <w:sz w:val="28"/>
          <w:szCs w:val="28"/>
        </w:rPr>
        <w:t>13. 如果在保单承保与续期业务这两个时间点之间发生过批改交易，那么在续期业务报送时应报送最新保单信息还是报送初始承保保单信息？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报送续期发生时点的最新保单信息。</w:t>
      </w:r>
    </w:p>
    <w:p>
      <w:pPr>
        <w:pStyle w:val="4"/>
        <w:numPr>
          <w:ilvl w:val="255"/>
          <w:numId w:val="0"/>
        </w:numPr>
        <w:spacing w:before="0" w:after="0" w:line="560" w:lineRule="exact"/>
      </w:pPr>
      <w:r>
        <w:rPr>
          <w:rFonts w:hint="eastAsia" w:ascii="仿宋" w:hAnsi="仿宋" w:eastAsia="仿宋" w:cs="仿宋"/>
          <w:sz w:val="28"/>
          <w:szCs w:val="28"/>
        </w:rPr>
        <w:t>14. 保单批改信息表中一个批单对应多种批改类型如何填报？</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如果公司的批改类型允许同时报多个，则如果只报一个的情况正常对应，有多个的情况可以对应平台批改类型代码中的“其他”，并模型中的“保险公司批改类型名称”填报公司的多个批改类型对应的名称（中文），以间隔符 “/”隔开。</w:t>
      </w:r>
    </w:p>
    <w:p>
      <w:pPr>
        <w:pStyle w:val="4"/>
        <w:numPr>
          <w:ilvl w:val="255"/>
          <w:numId w:val="0"/>
        </w:numPr>
        <w:spacing w:before="0" w:after="0" w:line="560" w:lineRule="exact"/>
      </w:pPr>
      <w:r>
        <w:rPr>
          <w:rFonts w:hint="eastAsia" w:ascii="仿宋" w:hAnsi="仿宋" w:eastAsia="仿宋" w:cs="仿宋"/>
          <w:sz w:val="28"/>
          <w:szCs w:val="28"/>
        </w:rPr>
        <w:t>15. 【保单批改责任信息表】与【保单批改作业信息表】是什么关系？【保单批改责任信息表】的报送时点和报送要求是什么？</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单批改责任信息表】为【保单批改作业信息表】的明细表，该表要求报送至批单下条款、责任、标的层级的批改信息，当批改涉及保额保费变化时需报送该表，不涉及保额保费变化的批改以及退保时不需要报送该表。需要注意的是：当批改类型为“批改条款的保额保费”时，【保单批改责任信息表】只需要报送涉及保额保费变化条款的批改信息，责任、标的层级的对应字段报送默认值即可。</w:t>
      </w:r>
    </w:p>
    <w:p>
      <w:pPr>
        <w:pStyle w:val="4"/>
        <w:numPr>
          <w:ilvl w:val="255"/>
          <w:numId w:val="0"/>
        </w:numPr>
        <w:spacing w:before="0" w:after="0" w:line="560" w:lineRule="exact"/>
      </w:pPr>
      <w:r>
        <w:rPr>
          <w:rFonts w:hint="eastAsia" w:ascii="仿宋" w:hAnsi="仿宋" w:eastAsia="仿宋" w:cs="仿宋"/>
          <w:sz w:val="28"/>
          <w:szCs w:val="28"/>
        </w:rPr>
        <w:t>16. 保险公司限额、免赔额信息未进行结构化记录，而是在特别约定中以文本的形式记录，这种情况下限额、免赔额信息应如何报送？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需将特别约定中的限额、免赔额信息转换为结构化数据后报送，如转换报送确有困难，可在【保单特别约定信息表】的“特别约定内容”中进行报送，【保单限额信息表】、【保单免赔额信息表】不报送，并在2-6文档中【保单限额信息表】、【保单免赔额信息表】对应位置备注说明原因。</w:t>
      </w:r>
    </w:p>
    <w:p>
      <w:pPr>
        <w:pStyle w:val="4"/>
        <w:numPr>
          <w:ilvl w:val="255"/>
          <w:numId w:val="0"/>
        </w:numPr>
        <w:spacing w:before="0" w:after="0" w:line="560" w:lineRule="exact"/>
      </w:pPr>
      <w:r>
        <w:rPr>
          <w:rFonts w:hint="eastAsia" w:ascii="仿宋" w:hAnsi="仿宋" w:eastAsia="仿宋" w:cs="仿宋"/>
          <w:sz w:val="28"/>
          <w:szCs w:val="28"/>
        </w:rPr>
        <w:t xml:space="preserve">17. 申报业务明细新增具体如何理解和报送？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申报业务明细新增”交易业务类型是货运险和信用险业务独有的，申报业务一般是指保险公司承保客户某一时间期间内货运或信用风险，同时要求客户定期或不定期提供业务明细清单的业务模式，例如某保险公司承保了某客户2018年全年的国内货运业务，要求客户每月提供货运业务明细清单（包括运单号、起运地、目的地、运输工具等信息），这种情况下需要向平台报送“申报明细新增”交易业务类型；</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（2）需要注意的是：如果业务申报同时引起了新单承保、批改等业务操作，还需要在相应的交易业务类型下报送保单信息。具体说明请参考行业培训会中列举的几类常见的申报业务模式和报送要求。</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大病保险和社保经办业务是否需要报送？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按照保监会安排，大病保险和社保经办业务本次暂不报送。后续另行通知。</w:t>
      </w:r>
    </w:p>
    <w:p>
      <w:pPr>
        <w:pStyle w:val="4"/>
        <w:numPr>
          <w:ilvl w:val="255"/>
          <w:numId w:val="0"/>
        </w:numPr>
        <w:spacing w:before="0" w:after="0" w:line="560" w:lineRule="exact"/>
      </w:pPr>
      <w:r>
        <w:rPr>
          <w:rFonts w:hint="eastAsia" w:ascii="仿宋" w:hAnsi="仿宋" w:eastAsia="仿宋" w:cs="仿宋"/>
          <w:sz w:val="28"/>
          <w:szCs w:val="28"/>
        </w:rPr>
        <w:t>19. 保监会要求报送的健康险专项业务有哪些？</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保监会要求报送的健康险专项业务如下：1、新农合；2、新农合补充；3、城镇职工基本医疗；4、城镇职工补充医疗；5、城镇居民基本医疗；6、城镇居民补充医疗；7、医疗救助。</w:t>
      </w:r>
    </w:p>
    <w:p>
      <w:pPr>
        <w:pStyle w:val="4"/>
        <w:numPr>
          <w:ilvl w:val="255"/>
          <w:numId w:val="0"/>
        </w:numPr>
        <w:spacing w:before="0" w:after="0" w:line="560" w:lineRule="exact"/>
      </w:pPr>
      <w:r>
        <w:rPr>
          <w:rFonts w:hint="eastAsia" w:ascii="仿宋" w:hAnsi="仿宋" w:eastAsia="仿宋" w:cs="仿宋"/>
          <w:sz w:val="28"/>
          <w:szCs w:val="28"/>
        </w:rPr>
        <w:t>20. 大团单下的自然人被保险人人数过万；在“新单承保”时已经上报了该保单的“保单自然人被保险人信息”，是否可在“批改”时不再报送“保单自然人被保险人信息”？</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当保单发生批改业务造成保单状态或保险合同发生变化时。需要在“批改”交易类型下报送相关的批改业务信息和保单最新状态。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在报送存量和增量数据的批改业务时，是报历次的批改记录还是报当次批改最新的记录？</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对于存量数据，批改要报送所有批改轨迹；对于增量数据，每次报送时，报送最新一次的批改记录即可。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保单基本信息表中“统保编号”的定义及应该如何报送？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“统保编号”指涉及到统保业务的记录的对应的统保编号，只有统保业务需要填写。统保编号是保险公司自行生成用于区分出统保业务的编号，如果保险公司系统中确实不存在统保编号，则可按照默认值报送。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lang w:bidi="ar"/>
        </w:rPr>
        <w:t>23. 若存在少部分业务无法映射到现有的特殊业务代码时，应如何报送特殊业务代码和特殊业务标志？</w:t>
      </w:r>
    </w:p>
    <w:p>
      <w:pPr>
        <w:pStyle w:val="52"/>
        <w:spacing w:line="560" w:lineRule="exact"/>
        <w:ind w:firstLine="0" w:firstLineChars="0"/>
        <w:rPr>
          <w:rFonts w:asciiTheme="minorEastAsia" w:hAnsiTheme="minorEastAsia" w:eastAsiaTheme="minorEastAsia" w:cstheme="minorEastAsia"/>
          <w:szCs w:val="24"/>
          <w:lang w:bidi="ar"/>
        </w:rPr>
      </w:pPr>
      <w:r>
        <w:rPr>
          <w:rFonts w:hint="eastAsia" w:asciiTheme="minorEastAsia" w:hAnsiTheme="minorEastAsia" w:eastAsiaTheme="minorEastAsia" w:cstheme="minorEastAsia"/>
          <w:szCs w:val="24"/>
          <w:lang w:bidi="ar"/>
        </w:rPr>
        <w:t>若确认是不属于现有特殊业务代码中的业务，特殊业务标志应报“否”，特殊业务代码不需要报送。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针对涉及多种标的表的组合险产品，应该如何报送？</w:t>
      </w:r>
    </w:p>
    <w:p>
      <w:pPr>
        <w:spacing w:line="560" w:lineRule="exact"/>
        <w:rPr>
          <w:rFonts w:asciiTheme="minorEastAsia" w:hAnsiTheme="minorEastAsia" w:eastAsiaTheme="minorEastAsia" w:cstheme="minorEastAsia"/>
          <w:szCs w:val="24"/>
          <w:lang w:bidi="ar"/>
        </w:rPr>
      </w:pPr>
      <w:r>
        <w:rPr>
          <w:rFonts w:hint="eastAsia"/>
        </w:rPr>
        <w:t>针对组合险产品，若其中有多个险类，对应多个不同的标的表，将各标的表一起组织用同一交易编码报送即可。</w:t>
      </w:r>
    </w:p>
    <w:p>
      <w:pPr>
        <w:pStyle w:val="3"/>
        <w:spacing w:before="0" w:after="0" w:line="560" w:lineRule="exact"/>
        <w:rPr>
          <w:rFonts w:ascii="楷体" w:hAnsi="楷体" w:eastAsia="楷体" w:cs="楷体"/>
        </w:rPr>
      </w:pPr>
      <w:r>
        <w:rPr>
          <w:rFonts w:hint="eastAsia" w:ascii="楷体" w:hAnsi="楷体" w:eastAsia="楷体" w:cs="楷体"/>
        </w:rPr>
        <w:t>（二）交易表模块</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第一次上报所有存量数据时，交易类型如何填写？</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存量数据报送要求同增量数据，即按照2-2数据模型和取数口径说明及要求文档中对应的交易业务类型报送保单全生命周期所有历史轨迹的数据。例如2017年1月1日起保、2017年12月31日已终保、未出过批改也未出险的一笔保单，需要报送“新单承保”、“满期”两笔交易业务类型，如该历史保单存在批改、理赔等情况，则需按对应交易业务类型报送批改、理赔报案、结案等数据。</w:t>
      </w:r>
    </w:p>
    <w:p>
      <w:pPr>
        <w:pStyle w:val="4"/>
        <w:numPr>
          <w:ilvl w:val="255"/>
          <w:numId w:val="0"/>
        </w:numPr>
        <w:spacing w:before="0" w:after="0" w:line="560" w:lineRule="exact"/>
      </w:pPr>
      <w:r>
        <w:rPr>
          <w:rFonts w:hint="eastAsia" w:ascii="仿宋" w:hAnsi="仿宋" w:eastAsia="仿宋" w:cs="仿宋"/>
          <w:sz w:val="28"/>
          <w:szCs w:val="28"/>
        </w:rPr>
        <w:t>2. 业务代码中“财产险交易业务类型代码”的“其它”具体指哪些情况？</w:t>
      </w:r>
    </w:p>
    <w:p>
      <w:pPr>
        <w:pStyle w:val="52"/>
        <w:numPr>
          <w:ilvl w:val="255"/>
          <w:numId w:val="0"/>
        </w:numPr>
        <w:spacing w:line="560" w:lineRule="exact"/>
        <w:rPr>
          <w:rFonts w:asciiTheme="minorEastAsia" w:hAnsiTheme="minorEastAsia" w:eastAsiaTheme="minorEastAsia" w:cstheme="minorEastAsia"/>
          <w:szCs w:val="24"/>
        </w:rPr>
      </w:pPr>
      <w:r>
        <w:rPr>
          <w:rFonts w:hint="eastAsia"/>
        </w:rPr>
        <w:t xml:space="preserve"> </w:t>
      </w:r>
      <w:r>
        <w:rPr>
          <w:rFonts w:hint="eastAsia" w:asciiTheme="minorEastAsia" w:hAnsiTheme="minorEastAsia" w:eastAsiaTheme="minorEastAsia" w:cstheme="minorEastAsia"/>
          <w:szCs w:val="24"/>
        </w:rPr>
        <w:t>“财产险交易业务类型代码”在二期基础上新增了财务管理模块、再保管理模块和申报业务模块对应的交易业务类型代码值，“其它”指除列表提供以外的情况。</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原则上，不允许将数据报送到“其它”交易业务类型下，如保险公司对某些业务场景不确定按哪个交易业务类型报送，请与平台业务联系人沟通确认。</w:t>
      </w:r>
    </w:p>
    <w:p>
      <w:pPr>
        <w:pStyle w:val="4"/>
        <w:numPr>
          <w:ilvl w:val="255"/>
          <w:numId w:val="0"/>
        </w:numPr>
        <w:spacing w:before="0" w:after="0" w:line="560" w:lineRule="exact"/>
      </w:pPr>
      <w:r>
        <w:rPr>
          <w:rFonts w:hint="eastAsia" w:ascii="仿宋" w:hAnsi="仿宋" w:eastAsia="仿宋" w:cs="仿宋"/>
          <w:sz w:val="28"/>
          <w:szCs w:val="28"/>
        </w:rPr>
        <w:t>3. 保单交易表中，交易编码是否可以根据不同的业务类型，保单新增、批改、理赔交易编码自动顺序增加？</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交易编码是每笔交易的唯一标识，不同的交易业务类型下的交易其交易编码不同，同一交易业务类型下两笔交易的交易编码也不相同。同一笔交易中的相关表（包括保单交易表）的交易编码完全相同。交易编码规则需满足平台制定的流水号规则：公司编码+日期（YYYYMMDD）+14位流水，流水号是每天的流水号，每天都是从“00000000000001”开始。其中日期为交易编码产生时当前的系统日期。14位流水号的规则可以由公司自行设定。</w:t>
      </w:r>
    </w:p>
    <w:p>
      <w:pPr>
        <w:pStyle w:val="4"/>
        <w:numPr>
          <w:ilvl w:val="255"/>
          <w:numId w:val="0"/>
        </w:numPr>
        <w:spacing w:before="0" w:after="0" w:line="560" w:lineRule="exact"/>
      </w:pPr>
      <w:r>
        <w:rPr>
          <w:rFonts w:hint="eastAsia" w:ascii="仿宋" w:hAnsi="仿宋" w:eastAsia="仿宋" w:cs="仿宋"/>
          <w:sz w:val="28"/>
          <w:szCs w:val="28"/>
        </w:rPr>
        <w:t>4. 数据表中的交易编码是否只保证在单一表唯一即可，还是需要跟其他数据有关联？如：交易业务类型为【产品新增】时，报送数据表包含【保单交易表】、【产品信息表】、【条款信息表】、【产品条款关系信息表】、【条款责任关系信息表】、【条款标的关系信息表】，这些表中字段“交易编码”的值是否应一致？</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交易编码的唯一性是指每一笔业务下的交易编码是唯一的，同一笔业务下的上报的所有表中的交易编码是相同的。对于问题中的举例，同一笔【产品新增】的数据表记录，“交易编码”的值应保持一致。</w:t>
      </w:r>
    </w:p>
    <w:p>
      <w:pPr>
        <w:pStyle w:val="4"/>
        <w:numPr>
          <w:ilvl w:val="255"/>
          <w:numId w:val="0"/>
        </w:numPr>
        <w:spacing w:before="0" w:after="0" w:line="560" w:lineRule="exact"/>
      </w:pPr>
      <w:r>
        <w:rPr>
          <w:rFonts w:hint="eastAsia" w:ascii="仿宋" w:hAnsi="仿宋" w:eastAsia="仿宋" w:cs="仿宋"/>
          <w:sz w:val="28"/>
          <w:szCs w:val="28"/>
        </w:rPr>
        <w:t>5. 存量数据上传时，“交易日期”应报送该业务真实交易日期，还是以上传日期作为交易日期？增量数据上传的交易日期是否也是上传日期？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无论是存量数据还是增量数据，交易完成时间均指保险公司该业务节点发生的真实日期，不是指上传日期。交易编码中的日期指的是交易编码产生的日期。</w:t>
      </w:r>
    </w:p>
    <w:p>
      <w:pPr>
        <w:pStyle w:val="4"/>
        <w:numPr>
          <w:ilvl w:val="255"/>
          <w:numId w:val="0"/>
        </w:numPr>
        <w:spacing w:before="0" w:after="0" w:line="560" w:lineRule="exact"/>
      </w:pPr>
      <w:r>
        <w:rPr>
          <w:rFonts w:hint="eastAsia" w:ascii="仿宋" w:hAnsi="仿宋" w:eastAsia="仿宋" w:cs="仿宋"/>
          <w:sz w:val="28"/>
          <w:szCs w:val="28"/>
        </w:rPr>
        <w:t>6. 一个批次号下是否可以有多个交易类型，比如说一个批次包下既有产品新增交易又有新单承保交易？</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一个批次中可以有多笔不同交易业务类型对应的数据。</w:t>
      </w:r>
    </w:p>
    <w:p>
      <w:pPr>
        <w:pStyle w:val="4"/>
        <w:numPr>
          <w:ilvl w:val="255"/>
          <w:numId w:val="0"/>
        </w:numPr>
        <w:spacing w:before="0" w:after="0" w:line="560" w:lineRule="exact"/>
      </w:pPr>
      <w:r>
        <w:rPr>
          <w:rFonts w:hint="eastAsia" w:ascii="仿宋" w:hAnsi="仿宋" w:eastAsia="仿宋" w:cs="仿宋"/>
          <w:sz w:val="28"/>
          <w:szCs w:val="28"/>
        </w:rPr>
        <w:t>7. 【保单交易表】的“费用币别代码”、“本位币别代码”、“交易币别和本位币别的兑换率”、“本位币别的交易金额”是指什么？</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“费用币别”指本次交易中涉及费用的支付币别；</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“本位币别”指记账本位币，应为人民币；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“交易币别和本位币别兑换率”是指费用币别和本位币别的兑换率；</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“本位币别的交易金额”指兑换成本位币的保单交易金额。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对于不涉及金额的交易业务类型，【保单交易表】的“费用币别代码”、“本位币别代码”可空，“交易币别和本位币别的兑换率”、“本位币别的交易金额”报送0。</w:t>
      </w:r>
    </w:p>
    <w:p>
      <w:pPr>
        <w:pStyle w:val="4"/>
        <w:numPr>
          <w:ilvl w:val="255"/>
          <w:numId w:val="0"/>
        </w:numPr>
        <w:spacing w:before="0" w:after="0" w:line="560" w:lineRule="exact"/>
      </w:pPr>
      <w:r>
        <w:rPr>
          <w:rFonts w:hint="eastAsia" w:ascii="仿宋" w:hAnsi="仿宋" w:eastAsia="仿宋" w:cs="仿宋"/>
          <w:sz w:val="28"/>
          <w:szCs w:val="28"/>
        </w:rPr>
        <w:t>8. 【保单交易表】的“保费交易期次”应如何报送？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对于“保费交易期次”，若为趸交业务，“新单承保”交易业务类型下报送1；分期缴费的业务，在“新单承保”报送1，在“续期”报送当期交费所对应的期次。其他交易业务类型下报送0。</w:t>
      </w:r>
    </w:p>
    <w:p>
      <w:pPr>
        <w:pStyle w:val="4"/>
        <w:numPr>
          <w:ilvl w:val="255"/>
          <w:numId w:val="0"/>
        </w:numPr>
        <w:spacing w:before="0" w:after="0" w:line="560" w:lineRule="exact"/>
      </w:pPr>
      <w:r>
        <w:rPr>
          <w:rFonts w:hint="eastAsia" w:ascii="仿宋" w:hAnsi="仿宋" w:eastAsia="仿宋" w:cs="仿宋"/>
          <w:sz w:val="28"/>
          <w:szCs w:val="28"/>
        </w:rPr>
        <w:t>9. 【保单交易表】的字段“交易金额”，是填写业务金额还是实际收付的金额？如果不涉及金额，该字段应如何填写？</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1、“保单交易金额”在不同交易业务类型下含义不同，在预收保费、退预收保费、财务收费、财务付费这四个交易业务类型下是实际收付的金额。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2、以下交易业务类型下均指业务金额：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（1）交易业务类型为“新单承保”、“续期”、“续保”时“保单交易金额”指当期保费；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（2）交易业务类型为“批改”时指批改涉及的保费；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（3）交易业务类型为“满期”时指累计总保费；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（4）交易业务类型为“理赔结案”时指案件总赔付金额；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（5）交易业务类型为“理赔追偿”时指应追回金额或实际追回金额；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（6）交易业务类型为“再保分出业务新增”时指分出保费；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（7）交易业务类型为“再保分出业务批改”时指批改涉及的分出保费；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（8）交易业务类型为“再保分出业务摊回”时指摊回金额；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（9）交易业务类型为“再保分入业务新增”时指分入保费；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（10）交易业务类型为“再保分入业务批改”时指批改涉及的分入保费；</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（11）交易业务类型为“再保分入业务分摊”时指分摊金额。</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3、其他交易业务类型下，该字段填报0。</w:t>
      </w:r>
    </w:p>
    <w:p>
      <w:pPr>
        <w:pStyle w:val="4"/>
        <w:numPr>
          <w:ilvl w:val="255"/>
          <w:numId w:val="0"/>
        </w:numPr>
        <w:spacing w:before="0" w:after="0" w:line="560" w:lineRule="exact"/>
      </w:pPr>
      <w:r>
        <w:rPr>
          <w:rFonts w:hint="eastAsia" w:ascii="仿宋" w:hAnsi="仿宋" w:eastAsia="仿宋" w:cs="仿宋"/>
          <w:sz w:val="28"/>
          <w:szCs w:val="28"/>
        </w:rPr>
        <w:t>10. “续期”交易业务类型的业务含义是什么？报送时点和报送要求是什么？</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续期指针对分期缴费的业务，从第二期起的每一期交费活动都需要在这一业务类型下报送续期业务信息。这种分期缴费的保单一般为出单前即已约定分期，需要注意的是，对于业务上约定应一次性付清保费的保单，由于财务实质上分期缴费或后续批改导致的多次缴费不属于“续期”的报送范围。</w:t>
      </w:r>
    </w:p>
    <w:p>
      <w:pPr>
        <w:pStyle w:val="4"/>
        <w:numPr>
          <w:ilvl w:val="255"/>
          <w:numId w:val="0"/>
        </w:numPr>
        <w:spacing w:before="0" w:after="0" w:line="560" w:lineRule="exact"/>
      </w:pPr>
      <w:r>
        <w:rPr>
          <w:rFonts w:hint="eastAsia" w:ascii="仿宋" w:hAnsi="仿宋" w:eastAsia="仿宋" w:cs="仿宋"/>
          <w:sz w:val="28"/>
          <w:szCs w:val="28"/>
        </w:rPr>
        <w:t xml:space="preserve">11. 对存量数据平台要求报送该业务在保险公司系统记录的最终状态数据，还是报送该业务发生时的数据？ </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对存量数据，平台要求按对应交易业务类型时点当时最新状态报送历史轨迹。总体要求分为以下几类：</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（1）产品模块数据，从“01-产品新增”开始报送，如存量的产品数据有发生变更或退市，还需报送“02产品变更”、“03-产品退市”；</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（2）原保险业务数据，从“04-新单承保”开始报送，如发生批改、续保、理赔等作业，按对应的交易业务类型报送；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再保险业务数据中，合约数据从“20-再保合约新增”开始报送，如发生合约变更、续转或关闭，还需报送“21-再保合约变更”、“22-再保合约续转”、“23-再保合约关闭”；业务数据从“24-再保分出业务新增”或“27-再保合约分入业务新增”，也需要按照对应交易业务类型报送交易完成时点的历史轨迹数据。</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（4）财务收付费数据，按照平台要求的财务收/付费类型，报送交易完成时点的历史轨迹数据。</w:t>
      </w:r>
    </w:p>
    <w:p>
      <w:pPr>
        <w:pStyle w:val="3"/>
        <w:spacing w:before="0" w:after="0" w:line="560" w:lineRule="exact"/>
        <w:rPr>
          <w:rFonts w:ascii="楷体" w:hAnsi="楷体" w:eastAsia="楷体" w:cs="楷体"/>
        </w:rPr>
      </w:pPr>
      <w:r>
        <w:rPr>
          <w:rFonts w:hint="eastAsia" w:ascii="楷体" w:hAnsi="楷体" w:eastAsia="楷体" w:cs="楷体"/>
        </w:rPr>
        <w:t>（三）产品模块</w:t>
      </w:r>
    </w:p>
    <w:p>
      <w:pPr>
        <w:pStyle w:val="4"/>
        <w:numPr>
          <w:ilvl w:val="255"/>
          <w:numId w:val="0"/>
        </w:numPr>
        <w:spacing w:before="0" w:after="0" w:line="560" w:lineRule="exact"/>
      </w:pPr>
      <w:r>
        <w:rPr>
          <w:rFonts w:hint="eastAsia" w:ascii="仿宋" w:hAnsi="仿宋" w:eastAsia="仿宋" w:cs="仿宋"/>
          <w:sz w:val="28"/>
          <w:szCs w:val="28"/>
        </w:rPr>
        <w:t>1. 报送产品信息时，条款和责任信息应如何报送？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在报送产品信息时，需要以产品为单位组织报送数据，产品下面关联的条款及条款责任、条 款标的信息一并报送，且该款产品相关的所有记录的交易编码相同。当一款产品发生条款变更时，需要按照“产品变更”交易业务类型报送该产品下的所有信息。需要注意的是：同一条款在不同产品中，随不同产品向平台报送多笔产品数据。</w:t>
      </w:r>
    </w:p>
    <w:p>
      <w:pPr>
        <w:pStyle w:val="4"/>
        <w:numPr>
          <w:ilvl w:val="255"/>
          <w:numId w:val="0"/>
        </w:numPr>
        <w:spacing w:before="0" w:after="0" w:line="560" w:lineRule="exact"/>
      </w:pPr>
      <w:r>
        <w:rPr>
          <w:rFonts w:hint="eastAsia" w:ascii="仿宋" w:hAnsi="仿宋" w:eastAsia="仿宋" w:cs="仿宋"/>
          <w:sz w:val="28"/>
          <w:szCs w:val="28"/>
        </w:rPr>
        <w:t>2. 如果没有形成产品，条款信息是否需要单独报送？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如果还没有形成产品，不需要单独报送条款信息，需要注意的是，产品信息应当在保单上报信息之前报送。</w:t>
      </w:r>
    </w:p>
    <w:p>
      <w:pPr>
        <w:pStyle w:val="4"/>
        <w:numPr>
          <w:ilvl w:val="255"/>
          <w:numId w:val="0"/>
        </w:numPr>
        <w:spacing w:before="0" w:after="0" w:line="560" w:lineRule="exact"/>
      </w:pPr>
      <w:r>
        <w:rPr>
          <w:rFonts w:hint="eastAsia" w:ascii="仿宋" w:hAnsi="仿宋" w:eastAsia="仿宋" w:cs="仿宋"/>
          <w:sz w:val="28"/>
          <w:szCs w:val="28"/>
        </w:rPr>
        <w:t>3. 产品模块中的险类代码应如何映射报送？对于包含多种不同险类下主险条款的产品，应如何报送？</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平台模型在“产品”层级和“条款”层级有“险类代码”字段；“条款”层级，以该条款向保监会产品电子化报备系统所报备的险类为准向平台报送；“产品”层级的险类代码映射，对于单一条款或单一主险条款的产品，险类代码映射为条款或主险条款险类；对于多个主险条款的产品，险类代码映射为任一主险条款险类。</w:t>
      </w:r>
    </w:p>
    <w:p>
      <w:pPr>
        <w:pStyle w:val="4"/>
        <w:numPr>
          <w:ilvl w:val="255"/>
          <w:numId w:val="0"/>
        </w:numPr>
        <w:spacing w:before="0" w:after="0" w:line="560" w:lineRule="exact"/>
      </w:pPr>
      <w:r>
        <w:rPr>
          <w:rFonts w:hint="eastAsia" w:ascii="仿宋" w:hAnsi="仿宋" w:eastAsia="仿宋" w:cs="仿宋"/>
          <w:sz w:val="28"/>
          <w:szCs w:val="28"/>
        </w:rPr>
        <w:t>4. 部分产品难以归类到现有的三级细分险类，应如何映射，如银行综合保险、绑架勒索保险、先行赔付责任保险、安全域隐私保护综合保险等应如何映射？</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平台要求按最细粒度险类报送，如果无法映射最细粒度，允许报上一级险类，且第一级分类应与向保监会报备的险类分类一致。举例中，银行综合保险、绑架勒索保险、先行赔付责任保险、安全域隐私保护综合保险暂可归类到11899其他新型责任保险。</w:t>
      </w:r>
    </w:p>
    <w:p>
      <w:pPr>
        <w:pStyle w:val="4"/>
        <w:numPr>
          <w:ilvl w:val="255"/>
          <w:numId w:val="0"/>
        </w:numPr>
        <w:spacing w:before="0" w:after="0" w:line="560" w:lineRule="exact"/>
      </w:pPr>
      <w:r>
        <w:rPr>
          <w:rFonts w:hint="eastAsia" w:ascii="仿宋" w:hAnsi="仿宋" w:eastAsia="仿宋" w:cs="仿宋"/>
          <w:sz w:val="28"/>
          <w:szCs w:val="28"/>
        </w:rPr>
        <w:t>5. 产品生效日期指什么，是否指保监会对于条款批复的发文日期？</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产品生效日期指产品可以销售的起始日期，原则上应晚于向保监会报备的日期，早于等于该产品第一次出单的日期。</w:t>
      </w:r>
    </w:p>
    <w:p>
      <w:pPr>
        <w:pStyle w:val="4"/>
        <w:numPr>
          <w:ilvl w:val="255"/>
          <w:numId w:val="0"/>
        </w:numPr>
        <w:spacing w:before="0" w:after="0" w:line="560" w:lineRule="exact"/>
      </w:pPr>
      <w:r>
        <w:rPr>
          <w:rFonts w:hint="eastAsia" w:ascii="仿宋" w:hAnsi="仿宋" w:eastAsia="仿宋" w:cs="仿宋"/>
          <w:sz w:val="28"/>
          <w:szCs w:val="28"/>
        </w:rPr>
        <w:t>6. 在产品信息模块，要报送产品的“个团标志代码”，这个字段的含义是什么？个团性质的判断标准是什么？</w:t>
      </w:r>
    </w:p>
    <w:p>
      <w:pPr>
        <w:pStyle w:val="52"/>
        <w:numPr>
          <w:ilvl w:val="255"/>
          <w:numId w:val="0"/>
        </w:num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产品信息表中“个团标志代码”是用于产品属性的描述，指该产品是用于承保个单，还是承保团单，还是两者皆可。是以投保人是个人还是团体（也即非自然人，包括法人机构、社会团体等）进行区分的。对于两者皆可的产品报送“其他”。</w:t>
      </w:r>
    </w:p>
    <w:p>
      <w:pPr>
        <w:pStyle w:val="4"/>
        <w:numPr>
          <w:ilvl w:val="255"/>
          <w:numId w:val="0"/>
        </w:numPr>
        <w:spacing w:before="0" w:after="0" w:line="560" w:lineRule="exact"/>
      </w:pPr>
      <w:r>
        <w:rPr>
          <w:rFonts w:hint="eastAsia" w:ascii="仿宋" w:hAnsi="仿宋" w:eastAsia="仿宋" w:cs="仿宋"/>
          <w:sz w:val="28"/>
          <w:szCs w:val="28"/>
        </w:rPr>
        <w:t>7. 对于共保的业务，非本公司报备的从共方产品，是否需要报送？</w:t>
      </w:r>
    </w:p>
    <w:p>
      <w:pPr>
        <w:spacing w:line="560" w:lineRule="exact"/>
      </w:pPr>
      <w:r>
        <w:rPr>
          <w:rFonts w:hint="eastAsia"/>
        </w:rPr>
        <w:t>非本公司报备的产品不在报送范围之内。</w:t>
      </w:r>
    </w:p>
    <w:p>
      <w:pPr>
        <w:pStyle w:val="3"/>
        <w:spacing w:before="0" w:after="0" w:line="560" w:lineRule="exact"/>
        <w:rPr>
          <w:rFonts w:ascii="楷体" w:hAnsi="楷体" w:eastAsia="楷体" w:cs="楷体"/>
        </w:rPr>
      </w:pPr>
      <w:r>
        <w:rPr>
          <w:rFonts w:hint="eastAsia" w:ascii="楷体" w:hAnsi="楷体" w:eastAsia="楷体" w:cs="楷体"/>
        </w:rPr>
        <w:t>（四）理赔模块</w:t>
      </w:r>
    </w:p>
    <w:p>
      <w:pPr>
        <w:pStyle w:val="4"/>
        <w:numPr>
          <w:ilvl w:val="255"/>
          <w:numId w:val="0"/>
        </w:numPr>
        <w:spacing w:before="0" w:after="0" w:line="560" w:lineRule="exact"/>
      </w:pPr>
      <w:r>
        <w:rPr>
          <w:rFonts w:hint="eastAsia" w:ascii="仿宋" w:hAnsi="仿宋" w:eastAsia="仿宋" w:cs="仿宋"/>
          <w:sz w:val="28"/>
          <w:szCs w:val="28"/>
        </w:rPr>
        <w:t xml:space="preserve">1. 哪些险种需要报送【理赔医疗收据信息】、【理赔医疗费用信息】、【理赔医疗费用明细信息】、【出险人信息表】、【手术信息表】和【疾病信息表】？ </w:t>
      </w:r>
    </w:p>
    <w:p>
      <w:pPr>
        <w:spacing w:line="560" w:lineRule="exact"/>
      </w:pPr>
      <w:r>
        <w:rPr>
          <w:rFonts w:hint="eastAsia"/>
        </w:rPr>
        <w:t>意外险或健康险产品的赔案涉及到医疗收据信息、医疗费用信息时，需报送【理赔医疗收据信息】、【理赔医疗费用信息】、【理赔医疗费用明细信息】、【出险人信息表】、【手术信息表】和【疾病信息表】，其他险种不需要报送。</w:t>
      </w:r>
    </w:p>
    <w:p>
      <w:pPr>
        <w:pStyle w:val="4"/>
        <w:numPr>
          <w:ilvl w:val="255"/>
          <w:numId w:val="0"/>
        </w:numPr>
        <w:spacing w:before="0" w:after="0" w:line="560" w:lineRule="exact"/>
      </w:pPr>
      <w:r>
        <w:rPr>
          <w:rFonts w:hint="eastAsia" w:ascii="仿宋" w:hAnsi="仿宋" w:eastAsia="仿宋" w:cs="仿宋"/>
          <w:sz w:val="28"/>
          <w:szCs w:val="28"/>
        </w:rPr>
        <w:t>2. 理赔结案信息模块的报送时点是什么？立案阶段的注销和拒赔是否算作结案？</w:t>
      </w:r>
    </w:p>
    <w:p>
      <w:pPr>
        <w:spacing w:line="560" w:lineRule="exact"/>
      </w:pPr>
      <w:r>
        <w:rPr>
          <w:rFonts w:hint="eastAsia"/>
        </w:rPr>
        <w:t>每发生一笔理赔结案时，将该笔理赔结案信息及相应上述信息作为一笔交易报送。立案阶段的注销和拒赔，应在“理赔立案处理”交易业务类型中上报，此时不算作结案，不需报送理赔结案信息。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【理赔明细信息表】与【理赔人伤明细明细信息】是什么关系？</w:t>
      </w:r>
    </w:p>
    <w:p>
      <w:pPr>
        <w:spacing w:line="560" w:lineRule="exact"/>
      </w:pPr>
      <w:r>
        <w:rPr>
          <w:rFonts w:hint="eastAsia"/>
        </w:rPr>
        <w:t>一个赔案如果有多条赔付信息（包括物损和人伤）应在【理赔明细信息表】逐条报送。【理赔明细信息表】和【理赔人伤明细信息表】两张表的信息记录维度不一样，【理赔明细信息表】是标的责任层级的理赔明细信息，是【理赔结案信息表】的子表，且赔付金额等字段存在子表加和与主表相等的校验要求，【理赔人伤明细信息表】是单独对发生人伤的人员赔付明细信息的记录，是【理赔明细信息表】的补充，但与【理赔结案信息表】、【理赔明细信息表】不要求勾稽关系。</w:t>
      </w:r>
    </w:p>
    <w:p>
      <w:pPr>
        <w:pStyle w:val="4"/>
        <w:numPr>
          <w:ilvl w:val="255"/>
          <w:numId w:val="0"/>
        </w:numPr>
        <w:spacing w:before="0" w:after="0" w:line="560" w:lineRule="exact"/>
      </w:pPr>
      <w:r>
        <w:rPr>
          <w:rFonts w:hint="eastAsia" w:ascii="仿宋" w:hAnsi="仿宋" w:eastAsia="仿宋" w:cs="仿宋"/>
          <w:sz w:val="28"/>
          <w:szCs w:val="28"/>
        </w:rPr>
        <w:t>4. 零结案（即赔款为零，可能有理赔费用的案件），因为没有赔款，这类案件可能没有记录赔款明细信息，这种情况下【理赔明细信息表】应如何报送？</w:t>
      </w:r>
    </w:p>
    <w:p>
      <w:pPr>
        <w:spacing w:line="560" w:lineRule="exact"/>
      </w:pPr>
      <w:r>
        <w:rPr>
          <w:rFonts w:hint="eastAsia"/>
        </w:rPr>
        <w:t>对于零结的案件，【理赔结案信息表】必须报送，若理赔明细信息或相关表有数据，则按实际情况报送相关明细表信息；若理赔明细信息表及相关表无数据，则明细表信息不需要报送，只报送理赔结案信息表即可。</w:t>
      </w:r>
    </w:p>
    <w:p>
      <w:pPr>
        <w:pStyle w:val="4"/>
        <w:numPr>
          <w:ilvl w:val="255"/>
          <w:numId w:val="0"/>
        </w:numPr>
        <w:spacing w:before="0" w:after="0" w:line="560" w:lineRule="exact"/>
      </w:pPr>
      <w:r>
        <w:rPr>
          <w:rFonts w:hint="eastAsia" w:ascii="仿宋" w:hAnsi="仿宋" w:eastAsia="仿宋" w:cs="仿宋"/>
          <w:sz w:val="28"/>
          <w:szCs w:val="28"/>
        </w:rPr>
        <w:t>5. 理赔结案数据报送时，如果不涉及重开，是否需要报送对应保单所有的历史赔案信息,还是只报送本次赔案的数据？</w:t>
      </w:r>
    </w:p>
    <w:p>
      <w:pPr>
        <w:spacing w:line="560" w:lineRule="exact"/>
      </w:pPr>
      <w:r>
        <w:rPr>
          <w:rFonts w:hint="eastAsia"/>
        </w:rPr>
        <w:t>理赔结案数据报送时，如果不涉及重开，只报送本次赔案的数据。</w:t>
      </w:r>
    </w:p>
    <w:p>
      <w:pPr>
        <w:pStyle w:val="4"/>
        <w:numPr>
          <w:ilvl w:val="255"/>
          <w:numId w:val="0"/>
        </w:numPr>
        <w:spacing w:before="0" w:after="0" w:line="560" w:lineRule="exact"/>
      </w:pPr>
      <w:r>
        <w:rPr>
          <w:rFonts w:hint="eastAsia" w:ascii="仿宋" w:hAnsi="仿宋" w:eastAsia="仿宋" w:cs="仿宋"/>
          <w:sz w:val="28"/>
          <w:szCs w:val="28"/>
        </w:rPr>
        <w:t>6. 理赔重开是按重开次数逐一报送还是汇总报送？存量和增量报送的要求一样吗？</w:t>
      </w:r>
    </w:p>
    <w:p>
      <w:pPr>
        <w:spacing w:line="560" w:lineRule="exact"/>
      </w:pPr>
      <w:r>
        <w:rPr>
          <w:rFonts w:hint="eastAsia"/>
        </w:rPr>
        <w:t xml:space="preserve">每次赔案重开，都需要在再次结案时按照“理赔结案”交易业务类型报送这笔赔案的结案信息，按照重开次数分开报送，例如同一案件重开2次，则每次重开都需要报送，存量和增量报送要求是一样的。对重开案件，需要额外注意的是： </w:t>
      </w:r>
    </w:p>
    <w:p>
      <w:pPr>
        <w:spacing w:line="560" w:lineRule="exact"/>
      </w:pPr>
      <w:r>
        <w:rPr>
          <w:rFonts w:hint="eastAsia"/>
        </w:rPr>
        <w:t xml:space="preserve">（1）【理赔结案信息表】中关于重开信息的字段需要上传； </w:t>
      </w:r>
    </w:p>
    <w:p>
      <w:pPr>
        <w:spacing w:line="560" w:lineRule="exact"/>
      </w:pPr>
      <w:r>
        <w:rPr>
          <w:rFonts w:hint="eastAsia"/>
        </w:rPr>
        <w:t xml:space="preserve">（2）每次重开结案，都需要上传该赔案对应的立案号下以往历次赔案的【理赔结案信息表】记录。 </w:t>
      </w:r>
    </w:p>
    <w:p>
      <w:pPr>
        <w:spacing w:line="560" w:lineRule="exact"/>
      </w:pPr>
      <w:r>
        <w:rPr>
          <w:rFonts w:hint="eastAsia"/>
        </w:rPr>
        <w:t>（3）对于重开赔案赔案号相同的，注意业务口径和财务口径的数据保证一致性和可追溯性。</w:t>
      </w:r>
    </w:p>
    <w:p>
      <w:pPr>
        <w:pStyle w:val="4"/>
        <w:numPr>
          <w:ilvl w:val="255"/>
          <w:numId w:val="0"/>
        </w:numPr>
        <w:spacing w:before="0" w:after="0" w:line="560" w:lineRule="exact"/>
      </w:pPr>
      <w:r>
        <w:rPr>
          <w:rFonts w:hint="eastAsia" w:ascii="仿宋" w:hAnsi="仿宋" w:eastAsia="仿宋" w:cs="仿宋"/>
          <w:sz w:val="28"/>
          <w:szCs w:val="28"/>
        </w:rPr>
        <w:t>7. 报案注销和立案注销的区别是什么？报案注销是指未立案吗？</w:t>
      </w:r>
    </w:p>
    <w:p>
      <w:pPr>
        <w:spacing w:line="560" w:lineRule="exact"/>
      </w:pPr>
      <w:r>
        <w:rPr>
          <w:rFonts w:hint="eastAsia"/>
        </w:rPr>
        <w:t>报案注销是立案前对报案的一种处理。立案注销是立案后对立案的一种处理。未立案是报案后的一种初始状态。</w:t>
      </w:r>
    </w:p>
    <w:p>
      <w:pPr>
        <w:pStyle w:val="4"/>
        <w:numPr>
          <w:ilvl w:val="255"/>
          <w:numId w:val="0"/>
        </w:numPr>
        <w:spacing w:before="0" w:after="0" w:line="560" w:lineRule="exact"/>
      </w:pPr>
      <w:r>
        <w:rPr>
          <w:rFonts w:hint="eastAsia" w:ascii="仿宋" w:hAnsi="仿宋" w:eastAsia="仿宋" w:cs="仿宋"/>
          <w:sz w:val="28"/>
          <w:szCs w:val="28"/>
        </w:rPr>
        <w:t>8. 团单业务中被保险人数量庞大，而理赔结案时也需上报保单信息，这将导 致数据量很大，这种情况下被保险人信息如何报送？</w:t>
      </w:r>
    </w:p>
    <w:p>
      <w:pPr>
        <w:spacing w:line="560" w:lineRule="exact"/>
      </w:pPr>
      <w:r>
        <w:rPr>
          <w:rFonts w:hint="eastAsia"/>
        </w:rPr>
        <w:t>理赔环节上报保单信息时，可以只报送出险被保险人的保单信息。</w:t>
      </w:r>
    </w:p>
    <w:p>
      <w:pPr>
        <w:pStyle w:val="3"/>
        <w:spacing w:before="0" w:after="0" w:line="560" w:lineRule="exact"/>
        <w:rPr>
          <w:rFonts w:ascii="楷体" w:hAnsi="楷体" w:eastAsia="楷体" w:cs="楷体"/>
        </w:rPr>
      </w:pPr>
      <w:r>
        <w:rPr>
          <w:rFonts w:hint="eastAsia" w:ascii="楷体" w:hAnsi="楷体" w:eastAsia="楷体" w:cs="楷体"/>
        </w:rPr>
        <w:t>（五）再保模块</w:t>
      </w:r>
    </w:p>
    <w:p>
      <w:pPr>
        <w:pStyle w:val="4"/>
        <w:numPr>
          <w:ilvl w:val="255"/>
          <w:numId w:val="0"/>
        </w:numPr>
        <w:spacing w:before="0" w:after="0" w:line="560" w:lineRule="exact"/>
      </w:pPr>
      <w:r>
        <w:rPr>
          <w:rFonts w:hint="eastAsia" w:ascii="仿宋" w:hAnsi="仿宋" w:eastAsia="仿宋" w:cs="仿宋"/>
          <w:sz w:val="28"/>
          <w:szCs w:val="28"/>
        </w:rPr>
        <w:t xml:space="preserve">1. 再保分入相关数据表中，“总保险费”的业务含义是什么？是指该笔再保业务的总保费，还是指分入方接收的总分入保费？ </w:t>
      </w:r>
    </w:p>
    <w:p>
      <w:pPr>
        <w:spacing w:line="560" w:lineRule="exact"/>
      </w:pPr>
      <w:r>
        <w:rPr>
          <w:rFonts w:hint="eastAsia"/>
        </w:rPr>
        <w:t>再保分入相关数据表例如【再保比例合约分入信息表】，表中字段“总保险费”指该笔再保业务的总保费。</w:t>
      </w:r>
    </w:p>
    <w:p>
      <w:pPr>
        <w:pStyle w:val="4"/>
        <w:numPr>
          <w:ilvl w:val="255"/>
          <w:numId w:val="0"/>
        </w:numPr>
        <w:spacing w:before="0" w:after="0" w:line="560" w:lineRule="exact"/>
      </w:pPr>
      <w:r>
        <w:rPr>
          <w:rFonts w:hint="eastAsia" w:ascii="仿宋" w:hAnsi="仿宋" w:eastAsia="仿宋" w:cs="仿宋"/>
          <w:sz w:val="28"/>
          <w:szCs w:val="28"/>
        </w:rPr>
        <w:t xml:space="preserve">2. 对于存量数据中已关闭的再保合约应按照哪种交易类型报送？ </w:t>
      </w:r>
    </w:p>
    <w:p>
      <w:pPr>
        <w:spacing w:line="560" w:lineRule="exact"/>
      </w:pPr>
      <w:r>
        <w:rPr>
          <w:rFonts w:hint="eastAsia"/>
        </w:rPr>
        <w:t>对存量中已关闭的再保合约需报送该合约完整生命周期的轨迹信息，包括合约新增、变更、续转、关闭等，需要注意的是：交易完成时间报送对应业务确认时间。</w:t>
      </w:r>
    </w:p>
    <w:p>
      <w:pPr>
        <w:pStyle w:val="4"/>
        <w:numPr>
          <w:ilvl w:val="255"/>
          <w:numId w:val="0"/>
        </w:numPr>
        <w:spacing w:before="0" w:after="0" w:line="560" w:lineRule="exact"/>
      </w:pPr>
      <w:r>
        <w:rPr>
          <w:rFonts w:hint="eastAsia" w:ascii="仿宋" w:hAnsi="仿宋" w:eastAsia="仿宋" w:cs="仿宋"/>
          <w:sz w:val="28"/>
          <w:szCs w:val="28"/>
        </w:rPr>
        <w:t xml:space="preserve">3. 再保赔款摊回业务的信息是否需要在赔案结案后报送？ </w:t>
      </w:r>
    </w:p>
    <w:p>
      <w:pPr>
        <w:spacing w:line="560" w:lineRule="exact"/>
      </w:pPr>
      <w:r>
        <w:rPr>
          <w:rFonts w:hint="eastAsia"/>
        </w:rPr>
        <w:t>再保赔款摊回数据不要求在结案后报送，按照平台要求的数据报送时效要求报送即可。</w:t>
      </w:r>
    </w:p>
    <w:p>
      <w:pPr>
        <w:pStyle w:val="4"/>
        <w:numPr>
          <w:ilvl w:val="255"/>
          <w:numId w:val="0"/>
        </w:numPr>
        <w:spacing w:before="0" w:after="0" w:line="560" w:lineRule="exact"/>
      </w:pPr>
      <w:r>
        <w:rPr>
          <w:rFonts w:hint="eastAsia" w:ascii="仿宋" w:hAnsi="仿宋" w:eastAsia="仿宋" w:cs="仿宋"/>
          <w:sz w:val="28"/>
          <w:szCs w:val="28"/>
        </w:rPr>
        <w:t xml:space="preserve">4. 保险公司接受再保分入业务后，再将该笔业务分出给其他再保公司，这种“分入转分出”的业务信息是否需要报送？ </w:t>
      </w:r>
    </w:p>
    <w:p>
      <w:pPr>
        <w:spacing w:line="560" w:lineRule="exact"/>
      </w:pPr>
      <w:r>
        <w:rPr>
          <w:rFonts w:hint="eastAsia"/>
        </w:rPr>
        <w:t>对于这种“分入转分出”的再保业务，平台不要求报送。</w:t>
      </w:r>
    </w:p>
    <w:p>
      <w:pPr>
        <w:pStyle w:val="4"/>
        <w:numPr>
          <w:ilvl w:val="255"/>
          <w:numId w:val="0"/>
        </w:numPr>
        <w:spacing w:before="0" w:after="0" w:line="560" w:lineRule="exact"/>
      </w:pPr>
      <w:r>
        <w:rPr>
          <w:rFonts w:hint="eastAsia" w:ascii="仿宋" w:hAnsi="仿宋" w:eastAsia="仿宋" w:cs="仿宋"/>
          <w:sz w:val="28"/>
          <w:szCs w:val="28"/>
        </w:rPr>
        <w:t xml:space="preserve">5. 再保模块的数据表部分金额类字段可能不与其他业务数据如保单编号等同时记录，在财务实收付时才能获取，对这种情况，再保模块这部分金额类字段如分出保费、手续费等，应如何报送？ </w:t>
      </w:r>
    </w:p>
    <w:p>
      <w:pPr>
        <w:spacing w:line="560" w:lineRule="exact"/>
      </w:pPr>
      <w:r>
        <w:rPr>
          <w:rFonts w:hint="eastAsia"/>
        </w:rPr>
        <w:t>再保模块数据表中金额类字段应报送业务上的应收、应付金额，对应的实收付数据在财务实收付时按“财务实收”/“财务实付”的交易类型报送，不要求与业务数据同时报送。</w:t>
      </w:r>
    </w:p>
    <w:p>
      <w:pPr>
        <w:spacing w:line="560" w:lineRule="exact"/>
      </w:pPr>
      <w:r>
        <w:rPr>
          <w:rFonts w:hint="eastAsia"/>
        </w:rPr>
        <w:t>需要注意的是：部分再保实收付类型的数据本次暂不需要报送，如“收分保手续费”等，具体要求报送或暂不需报送的收付费类型见下发文档《2-3中国保险业保单登记管理信息平台（第三期）-业务代码（财）》的“财险收费类型代码”和“财险付费类型代码”中的备注说明列。</w:t>
      </w:r>
    </w:p>
    <w:p>
      <w:pPr>
        <w:pStyle w:val="4"/>
        <w:numPr>
          <w:ilvl w:val="255"/>
          <w:numId w:val="0"/>
        </w:numPr>
        <w:spacing w:before="0" w:after="0" w:line="560" w:lineRule="exact"/>
      </w:pPr>
      <w:r>
        <w:rPr>
          <w:rFonts w:hint="eastAsia" w:ascii="仿宋" w:hAnsi="仿宋" w:eastAsia="仿宋" w:cs="仿宋"/>
          <w:sz w:val="28"/>
          <w:szCs w:val="28"/>
        </w:rPr>
        <w:t>6. 对再保比例分出业务的保单分出、分出批改和分出摊回业务，如果采用冲销的方式更改分出保费金额、分出保费批改金额和摊回金额，在原分出/分出批改/分出摊回完成时、冲销完成时和新增分出/分出批改/分出摊回完成时这三个时点，相关数据表应如何报送？</w:t>
      </w:r>
    </w:p>
    <w:p>
      <w:pPr>
        <w:spacing w:line="560" w:lineRule="exact"/>
      </w:pPr>
      <w:r>
        <w:rPr>
          <w:rFonts w:hint="eastAsia"/>
        </w:rPr>
        <w:t>平台要求【再保比例分出保单信息表】的“分出保额”、“分出保费”字段报送保单当前的最新分保情况，【保单比例分出批单信息表】的“分出保费变化量”报送本次业务分出保费的变化量，【再保比例分出摊回信息表】的“摊回金额（人民币）”字段报送本次业务的摊回金额（变化量）。</w:t>
      </w:r>
    </w:p>
    <w:p>
      <w:pPr>
        <w:spacing w:line="560" w:lineRule="exact"/>
      </w:pPr>
      <w:r>
        <w:rPr>
          <w:rFonts w:hint="eastAsia"/>
        </w:rPr>
        <w:t>临分和超赔分出业务以及分入业务与上述比例分出业务类似，保单表报最新情况，批改、赔款摊回或分摊表报本次金额（变化量）。</w:t>
      </w:r>
    </w:p>
    <w:p>
      <w:pPr>
        <w:spacing w:line="560" w:lineRule="exact"/>
      </w:pPr>
      <w:r>
        <w:rPr>
          <w:rFonts w:hint="eastAsia"/>
        </w:rPr>
        <w:t>需要注意的是： 原分出/分出批改/分出摊回完成时、冲销完成时和新增分出/分出批改/分出摊回完成时这三个时点共需报送三笔交易，且每个时点的交易编码需按发生时间顺序递增。</w:t>
      </w:r>
    </w:p>
    <w:p>
      <w:pPr>
        <w:spacing w:line="560" w:lineRule="exact"/>
      </w:pPr>
      <w:r>
        <w:rPr>
          <w:rFonts w:hint="eastAsia"/>
        </w:rPr>
        <w:t>举例如下：</w:t>
      </w:r>
    </w:p>
    <w:p>
      <w:pPr>
        <w:spacing w:line="560" w:lineRule="exact"/>
      </w:pPr>
      <w:r>
        <w:drawing>
          <wp:inline distT="0" distB="0" distL="0" distR="0">
            <wp:extent cx="5274310" cy="772160"/>
            <wp:effectExtent l="0" t="0" r="2540" b="8890"/>
            <wp:docPr id="2" name="图片 2" descr="C:\Users\138103~1\AppData\Local\Temp\1527738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38103~1\AppData\Local\Temp\1527738716(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772508"/>
                    </a:xfrm>
                    <a:prstGeom prst="rect">
                      <a:avLst/>
                    </a:prstGeom>
                    <a:noFill/>
                    <a:ln>
                      <a:noFill/>
                    </a:ln>
                  </pic:spPr>
                </pic:pic>
              </a:graphicData>
            </a:graphic>
          </wp:inline>
        </w:drawing>
      </w:r>
    </w:p>
    <w:p>
      <w:pPr>
        <w:spacing w:line="560" w:lineRule="exact"/>
      </w:pPr>
      <w:r>
        <w:drawing>
          <wp:inline distT="0" distB="0" distL="0" distR="0">
            <wp:extent cx="5274310" cy="567055"/>
            <wp:effectExtent l="0" t="0" r="2540" b="4445"/>
            <wp:docPr id="3" name="图片 3" descr="C:\Users\138103~1\AppData\Local\Temp\15277387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38103~1\AppData\Local\Temp\1527738749(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567524"/>
                    </a:xfrm>
                    <a:prstGeom prst="rect">
                      <a:avLst/>
                    </a:prstGeom>
                    <a:noFill/>
                    <a:ln>
                      <a:noFill/>
                    </a:ln>
                  </pic:spPr>
                </pic:pic>
              </a:graphicData>
            </a:graphic>
          </wp:inline>
        </w:drawing>
      </w:r>
    </w:p>
    <w:p>
      <w:pPr>
        <w:spacing w:line="560" w:lineRule="exact"/>
      </w:pPr>
      <w:r>
        <w:drawing>
          <wp:inline distT="0" distB="0" distL="0" distR="0">
            <wp:extent cx="5274310" cy="879475"/>
            <wp:effectExtent l="0" t="0" r="2540" b="15875"/>
            <wp:docPr id="4" name="图片 4" descr="C:\Users\138103~1\AppData\Local\Temp\1527738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38103~1\AppData\Local\Temp\152773877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879809"/>
                    </a:xfrm>
                    <a:prstGeom prst="rect">
                      <a:avLst/>
                    </a:prstGeom>
                    <a:noFill/>
                    <a:ln>
                      <a:noFill/>
                    </a:ln>
                  </pic:spPr>
                </pic:pic>
              </a:graphicData>
            </a:graphic>
          </wp:inline>
        </w:drawing>
      </w:r>
    </w:p>
    <w:p>
      <w:pPr>
        <w:spacing w:line="560" w:lineRule="exact"/>
      </w:pPr>
      <w:r>
        <w:drawing>
          <wp:inline distT="0" distB="0" distL="0" distR="0">
            <wp:extent cx="5274310" cy="836930"/>
            <wp:effectExtent l="0" t="0" r="2540" b="1270"/>
            <wp:docPr id="5" name="图片 5" descr="C:\Users\138103~1\AppData\Local\Temp\1527738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38103~1\AppData\Local\Temp\152773880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837199"/>
                    </a:xfrm>
                    <a:prstGeom prst="rect">
                      <a:avLst/>
                    </a:prstGeom>
                    <a:noFill/>
                    <a:ln>
                      <a:noFill/>
                    </a:ln>
                  </pic:spPr>
                </pic:pic>
              </a:graphicData>
            </a:graphic>
          </wp:inline>
        </w:drawing>
      </w:r>
    </w:p>
    <w:p>
      <w:pPr>
        <w:pStyle w:val="4"/>
        <w:numPr>
          <w:ilvl w:val="255"/>
          <w:numId w:val="0"/>
        </w:numPr>
        <w:spacing w:before="0" w:after="0" w:line="560" w:lineRule="exact"/>
      </w:pPr>
      <w:r>
        <w:rPr>
          <w:rFonts w:hint="eastAsia" w:ascii="仿宋" w:hAnsi="仿宋" w:eastAsia="仿宋" w:cs="仿宋"/>
          <w:sz w:val="28"/>
          <w:szCs w:val="28"/>
        </w:rPr>
        <w:t>7. 再保分出和分入业务的报送范围是什么？</w:t>
      </w:r>
    </w:p>
    <w:p>
      <w:pPr>
        <w:spacing w:line="560" w:lineRule="exact"/>
      </w:pPr>
      <w:r>
        <w:rPr>
          <w:rFonts w:hint="eastAsia"/>
        </w:rPr>
        <w:t>平台要求报送所有的再保分出业务，分入业务仅需报送从海外分入的业务，“海外分入”根据原始分出人是否是境外确定。</w:t>
      </w:r>
    </w:p>
    <w:p>
      <w:pPr>
        <w:pStyle w:val="4"/>
        <w:numPr>
          <w:ilvl w:val="255"/>
          <w:numId w:val="0"/>
        </w:numPr>
        <w:spacing w:before="0" w:after="0" w:line="560" w:lineRule="exact"/>
      </w:pPr>
      <w:r>
        <w:rPr>
          <w:rFonts w:hint="eastAsia" w:ascii="仿宋" w:hAnsi="仿宋" w:eastAsia="仿宋" w:cs="仿宋"/>
          <w:sz w:val="28"/>
          <w:szCs w:val="28"/>
        </w:rPr>
        <w:t>8. 再保模块中“分出人”和“原始分出人”的业务含义是什么？</w:t>
      </w:r>
    </w:p>
    <w:p>
      <w:pPr>
        <w:spacing w:line="560" w:lineRule="exact"/>
      </w:pPr>
      <w:r>
        <w:rPr>
          <w:rFonts w:hint="eastAsia"/>
        </w:rPr>
        <w:t>“分出人”指交易对手，即直接分出公司，可以是经纪公司。</w:t>
      </w:r>
    </w:p>
    <w:p>
      <w:pPr>
        <w:spacing w:line="560" w:lineRule="exact"/>
      </w:pPr>
      <w:r>
        <w:rPr>
          <w:rFonts w:hint="eastAsia"/>
        </w:rPr>
        <w:t>“原始分出人”指该分保业务的原始分出公司，不能为经纪公司。</w:t>
      </w:r>
    </w:p>
    <w:p>
      <w:pPr>
        <w:pStyle w:val="4"/>
        <w:numPr>
          <w:ilvl w:val="255"/>
          <w:numId w:val="0"/>
        </w:numPr>
        <w:spacing w:before="0" w:after="0" w:line="560" w:lineRule="exact"/>
      </w:pPr>
      <w:r>
        <w:rPr>
          <w:rFonts w:hint="eastAsia" w:ascii="仿宋" w:hAnsi="仿宋" w:eastAsia="仿宋" w:cs="仿宋"/>
          <w:sz w:val="28"/>
          <w:szCs w:val="28"/>
        </w:rPr>
        <w:t>9. 再保模块中“接受人”和“最终接受人”的业务含义是什么？</w:t>
      </w:r>
    </w:p>
    <w:p>
      <w:pPr>
        <w:spacing w:line="560" w:lineRule="exact"/>
      </w:pPr>
      <w:r>
        <w:rPr>
          <w:rFonts w:hint="eastAsia"/>
        </w:rPr>
        <w:t xml:space="preserve">“接受人”指交易对手，即该分保业务直接接受人，可以是经纪公司。 </w:t>
      </w:r>
    </w:p>
    <w:p>
      <w:pPr>
        <w:spacing w:line="560" w:lineRule="exact"/>
      </w:pPr>
      <w:r>
        <w:rPr>
          <w:rFonts w:hint="eastAsia"/>
        </w:rPr>
        <w:t>“最终接受人”指该分保业务的最终接受公司，不能为经纪公司。</w:t>
      </w:r>
    </w:p>
    <w:p>
      <w:pPr>
        <w:pStyle w:val="4"/>
        <w:numPr>
          <w:ilvl w:val="255"/>
          <w:numId w:val="0"/>
        </w:numPr>
        <w:spacing w:before="0" w:after="0" w:line="560" w:lineRule="exact"/>
      </w:pPr>
      <w:r>
        <w:rPr>
          <w:rFonts w:hint="eastAsia" w:ascii="仿宋" w:hAnsi="仿宋" w:eastAsia="仿宋" w:cs="仿宋"/>
          <w:sz w:val="28"/>
          <w:szCs w:val="28"/>
        </w:rPr>
        <w:t>10. “再保比例分出保单信息”是按照分出合约下累计的保单信息报送还是按照每张具体保单信息报送？</w:t>
      </w:r>
    </w:p>
    <w:p>
      <w:pPr>
        <w:spacing w:line="560" w:lineRule="exact"/>
      </w:pPr>
      <w:r>
        <w:rPr>
          <w:rFonts w:hint="eastAsia"/>
        </w:rPr>
        <w:t>需按照每张具体保单信息逐一报送，保单编号为必填项。</w:t>
      </w:r>
    </w:p>
    <w:p>
      <w:pPr>
        <w:pStyle w:val="4"/>
        <w:numPr>
          <w:ilvl w:val="255"/>
          <w:numId w:val="0"/>
        </w:numPr>
        <w:spacing w:before="0" w:after="0" w:line="560" w:lineRule="exact"/>
      </w:pPr>
      <w:r>
        <w:rPr>
          <w:rFonts w:hint="eastAsia" w:ascii="仿宋" w:hAnsi="仿宋" w:eastAsia="仿宋" w:cs="仿宋"/>
          <w:sz w:val="28"/>
          <w:szCs w:val="28"/>
        </w:rPr>
        <w:t>11. 保险公司再保系统记录摊回的赔款和理赔费用，平台再保模块的表结构中只有“摊回金额”相关字段，摊回的赔款和理赔费用应如何报送？</w:t>
      </w:r>
    </w:p>
    <w:p>
      <w:pPr>
        <w:spacing w:line="560" w:lineRule="exact"/>
      </w:pPr>
      <w:r>
        <w:rPr>
          <w:rFonts w:hint="eastAsia"/>
        </w:rPr>
        <w:t>再保模块中的摊回金额包括摊回赔款和摊回理赔费用，是指这两个部分的总和。</w:t>
      </w:r>
    </w:p>
    <w:p>
      <w:pPr>
        <w:pStyle w:val="4"/>
        <w:numPr>
          <w:ilvl w:val="255"/>
          <w:numId w:val="0"/>
        </w:numPr>
        <w:spacing w:before="0" w:after="0" w:line="560" w:lineRule="exact"/>
      </w:pPr>
      <w:r>
        <w:rPr>
          <w:rFonts w:hint="eastAsia" w:ascii="仿宋" w:hAnsi="仿宋" w:eastAsia="仿宋" w:cs="仿宋"/>
          <w:sz w:val="28"/>
          <w:szCs w:val="28"/>
        </w:rPr>
        <w:t>12. 再保模块中未标明是否含税的金额类字段，是指含税还是不含税的金额？</w:t>
      </w:r>
    </w:p>
    <w:p>
      <w:pPr>
        <w:spacing w:line="560" w:lineRule="exact"/>
      </w:pPr>
      <w:r>
        <w:rPr>
          <w:rFonts w:hint="eastAsia"/>
        </w:rPr>
        <w:t>再保模块中，未标明是否含税的金额类字段在营改增前指包括营业税在内的金额，营改增后指不含增值税的金额。</w:t>
      </w:r>
    </w:p>
    <w:p>
      <w:pPr>
        <w:pStyle w:val="4"/>
        <w:numPr>
          <w:ilvl w:val="255"/>
          <w:numId w:val="0"/>
        </w:numPr>
        <w:spacing w:before="0" w:after="0" w:line="560" w:lineRule="exact"/>
      </w:pPr>
      <w:r>
        <w:rPr>
          <w:rFonts w:hint="eastAsia" w:ascii="仿宋" w:hAnsi="仿宋" w:eastAsia="仿宋" w:cs="仿宋"/>
          <w:sz w:val="28"/>
          <w:szCs w:val="28"/>
        </w:rPr>
        <w:t>13. 对于【再保比例分出保单信息表】、【再保比例分出批单信息表】、【再保比例分出摊回信息表】是否要求比例合约分出与比例临分分出业务均报送至这三张表？如是，对于比例临分业务无合约编号，那么对应表中“合约编码”与“合约分项编码”如何报送？</w:t>
      </w:r>
    </w:p>
    <w:p>
      <w:pPr>
        <w:spacing w:line="560" w:lineRule="exact"/>
      </w:pPr>
      <w:r>
        <w:rPr>
          <w:rFonts w:hint="eastAsia"/>
        </w:rPr>
        <w:t>再保比例合约与临分的分出业务信息均报送在这三张表中，这三张表中“合约编码”与“合约分项编码”为非必填项，如是比例临分分出业务，这两个字段不需报送。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再保比例临分的合约信息是否需要报送？</w:t>
      </w:r>
    </w:p>
    <w:p>
      <w:pPr>
        <w:spacing w:line="560" w:lineRule="exact"/>
      </w:pPr>
      <w:r>
        <w:rPr>
          <w:rFonts w:hint="eastAsia"/>
        </w:rPr>
        <w:t>临分再保合约不需要报送合约信息。再保比例临分分出业务</w:t>
      </w:r>
      <w:bookmarkStart w:id="3" w:name="_Toc501372009"/>
      <w:bookmarkStart w:id="4" w:name="_Toc499565345"/>
      <w:r>
        <w:rPr>
          <w:rFonts w:hint="eastAsia"/>
        </w:rPr>
        <w:t>在“再保分出业务新增</w:t>
      </w:r>
      <w:bookmarkEnd w:id="3"/>
      <w:bookmarkEnd w:id="4"/>
      <w:r>
        <w:rPr>
          <w:rFonts w:hint="eastAsia"/>
        </w:rPr>
        <w:t>”、“再保分出业务批改”、“再保分出业务摊回”交易</w:t>
      </w:r>
      <w:r>
        <w:t>业务类型下报</w:t>
      </w:r>
      <w:r>
        <w:rPr>
          <w:rFonts w:hint="eastAsia"/>
        </w:rPr>
        <w:t>送</w:t>
      </w:r>
      <w:r>
        <w:t>对应表。</w:t>
      </w:r>
      <w:r>
        <w:rPr>
          <w:rFonts w:hint="eastAsia"/>
        </w:rPr>
        <w:t>对应</w:t>
      </w:r>
      <w:r>
        <w:t>表中的</w:t>
      </w:r>
      <w:r>
        <w:rPr>
          <w:rFonts w:hint="eastAsia"/>
        </w:rPr>
        <w:t>“合约编码”与“合约分项编码”可</w:t>
      </w:r>
      <w:r>
        <w:t>报空。</w:t>
      </w:r>
    </w:p>
    <w:p>
      <w:pPr>
        <w:pStyle w:val="4"/>
        <w:numPr>
          <w:ilvl w:val="255"/>
          <w:numId w:val="0"/>
        </w:numPr>
        <w:spacing w:before="0" w:after="0" w:line="560" w:lineRule="exact"/>
      </w:pPr>
      <w:r>
        <w:rPr>
          <w:rFonts w:hint="eastAsia" w:ascii="仿宋" w:hAnsi="仿宋" w:eastAsia="仿宋" w:cs="仿宋"/>
          <w:sz w:val="28"/>
          <w:szCs w:val="28"/>
        </w:rPr>
        <w:t>15. 对于分入业务，保险公司系统中只记录账单信息，账单信息包括保单、批单、赔案信息等，粒度对应至合约分项，但是具体再保分入业务明细的清单信息未录入系统中，所以无法区分分入业务是新增还是批改，这种情况应如何报送？</w:t>
      </w:r>
    </w:p>
    <w:p>
      <w:pPr>
        <w:spacing w:line="560" w:lineRule="exact"/>
      </w:pPr>
      <w:r>
        <w:rPr>
          <w:rFonts w:hint="eastAsia"/>
        </w:rPr>
        <w:t>再保比例合约的分入信息平台要求记录到一个合约下约定的所有业务信息，不需要记录到每一笔具体的业务单（保单、批单，赔案等）信息，如果保险公司再保合约分入业务的数据仅记载了账单层级，无法区分分入业务新增和批改，可以按照分入业务新增这一业务类型进行数据报送。</w:t>
      </w:r>
    </w:p>
    <w:p>
      <w:pPr>
        <w:pStyle w:val="4"/>
        <w:numPr>
          <w:ilvl w:val="255"/>
          <w:numId w:val="0"/>
        </w:numPr>
        <w:spacing w:before="0" w:after="0" w:line="560" w:lineRule="exact"/>
      </w:pPr>
      <w:r>
        <w:rPr>
          <w:rFonts w:hint="eastAsia" w:ascii="仿宋" w:hAnsi="仿宋" w:eastAsia="仿宋" w:cs="仿宋"/>
          <w:sz w:val="28"/>
          <w:szCs w:val="28"/>
        </w:rPr>
        <w:t xml:space="preserve">16. 【再保比例分入赔案信息表】中“总赔款”指的是事故的总赔款，还是分出公司的总赔款？例如：一次事故总赔款100万，分出公司作为从共占比50%，即50万的赔款，分入公司接受了5 % of 100%的份额（或者是10% of 50%），即分入公司的分摊赔款为5万，这种情况下，“总赔款”是多少？ </w:t>
      </w:r>
    </w:p>
    <w:p>
      <w:pPr>
        <w:spacing w:line="560" w:lineRule="exact"/>
      </w:pPr>
      <w:r>
        <w:rPr>
          <w:rFonts w:hint="eastAsia"/>
        </w:rPr>
        <w:t>“再保比例合约分入赔案信息表”与“再保比例临分分入赔案信息表”中描述的总赔款均指事故的总赔款，在举例中，总赔款应报送为100万。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对于有一些历史数据当时分出公司写成了经纪公司。请问如何处理比较合适？</w:t>
      </w:r>
    </w:p>
    <w:p>
      <w:pPr>
        <w:spacing w:line="560" w:lineRule="exact"/>
      </w:pPr>
      <w:r>
        <w:rPr>
          <w:rFonts w:hint="eastAsia"/>
        </w:rPr>
        <w:t>再保模块的最终接受人/原始分出人不应是经纪公司，对于历史数据请尽量追溯到“最终接受人”/“原始分出人”信息，如果确实无法找到“最终接受人”/“原始分出人”信息，相关字段可报送默认值，并在2-6文档中说明无法报送的原因。</w:t>
      </w:r>
    </w:p>
    <w:p>
      <w:pPr>
        <w:pStyle w:val="3"/>
        <w:spacing w:before="0" w:after="0" w:line="560" w:lineRule="exact"/>
        <w:rPr>
          <w:rFonts w:ascii="楷体" w:hAnsi="楷体" w:eastAsia="楷体" w:cs="楷体"/>
        </w:rPr>
      </w:pPr>
      <w:r>
        <w:rPr>
          <w:rFonts w:hint="eastAsia" w:ascii="楷体" w:hAnsi="楷体" w:eastAsia="楷体" w:cs="楷体"/>
        </w:rPr>
        <w:t>（六）财务收付模块</w:t>
      </w:r>
    </w:p>
    <w:p>
      <w:pPr>
        <w:pStyle w:val="4"/>
        <w:numPr>
          <w:ilvl w:val="255"/>
          <w:numId w:val="0"/>
        </w:numPr>
        <w:spacing w:before="0" w:after="0" w:line="560" w:lineRule="exact"/>
      </w:pPr>
      <w:r>
        <w:rPr>
          <w:rFonts w:hint="eastAsia" w:ascii="仿宋" w:hAnsi="仿宋" w:eastAsia="仿宋" w:cs="仿宋"/>
          <w:sz w:val="28"/>
          <w:szCs w:val="28"/>
        </w:rPr>
        <w:t xml:space="preserve">1. 在业务端（例如承保保单、再保比例合约分入业务的账单等）由于保险公司录错或者其他原因录入一笔冲正/冲销数据，这种冲正/冲销数据应如何报送？ </w:t>
      </w:r>
    </w:p>
    <w:p>
      <w:pPr>
        <w:spacing w:line="560" w:lineRule="exact"/>
      </w:pPr>
      <w:r>
        <w:rPr>
          <w:rFonts w:hint="eastAsia"/>
        </w:rPr>
        <w:t>目前平台对于冲正/冲销数据的报送要求是：对于【保单基本信息表】，因为该表要求报送保单最新状态信息，所以金额类字段均应为正，相关冲正不要求报送；对于财务收付费的红冲和其他业务数据的冲正，正负如实报送。</w:t>
      </w:r>
    </w:p>
    <w:p>
      <w:pPr>
        <w:pStyle w:val="4"/>
        <w:numPr>
          <w:ilvl w:val="255"/>
          <w:numId w:val="0"/>
        </w:numPr>
        <w:spacing w:before="0" w:after="0" w:line="560" w:lineRule="exact"/>
      </w:pPr>
      <w:r>
        <w:rPr>
          <w:rFonts w:hint="eastAsia" w:ascii="仿宋" w:hAnsi="仿宋" w:eastAsia="仿宋" w:cs="仿宋"/>
          <w:sz w:val="28"/>
          <w:szCs w:val="28"/>
        </w:rPr>
        <w:t xml:space="preserve">2. 财务收付费的报送范围是什么？ </w:t>
      </w:r>
    </w:p>
    <w:p>
      <w:pPr>
        <w:spacing w:line="560" w:lineRule="exact"/>
      </w:pPr>
      <w:r>
        <w:rPr>
          <w:rFonts w:hint="eastAsia"/>
        </w:rPr>
        <w:t>保单在“新单承保、续保、批改、续期、满期、理赔、再保分入、再保分出”等业务场景的报送序列中，如果产生了首续期保费、批增批减保费、理赔赔付款、再保保费等项目的财务实收、财务实付的信息，需按照财务相关的交易业务类型报送财务数据表。</w:t>
      </w:r>
    </w:p>
    <w:p>
      <w:pPr>
        <w:spacing w:line="560" w:lineRule="exact"/>
      </w:pPr>
      <w:r>
        <w:rPr>
          <w:rFonts w:hint="eastAsia"/>
        </w:rPr>
        <w:t>直保业务和再保业务的手续费/佣金、增值税、共保业务共保方间的保费收付及其他财务实收实付数据，不需要报送。</w:t>
      </w:r>
    </w:p>
    <w:p>
      <w:pPr>
        <w:pStyle w:val="4"/>
        <w:numPr>
          <w:ilvl w:val="255"/>
          <w:numId w:val="0"/>
        </w:numPr>
        <w:spacing w:before="0" w:after="0" w:line="560" w:lineRule="exact"/>
      </w:pPr>
      <w:r>
        <w:rPr>
          <w:rFonts w:hint="eastAsia" w:ascii="仿宋" w:hAnsi="仿宋" w:eastAsia="仿宋" w:cs="仿宋"/>
          <w:sz w:val="28"/>
          <w:szCs w:val="28"/>
        </w:rPr>
        <w:t>3. 对于再保理赔中理赔费用的实收实付数据，分入和分出的理赔财务信息应该映射到《财险收/付费类型代码》的哪个代码项？</w:t>
      </w:r>
    </w:p>
    <w:p>
      <w:pPr>
        <w:spacing w:line="560" w:lineRule="exact"/>
      </w:pPr>
      <w:r>
        <w:rPr>
          <w:rFonts w:hint="eastAsia"/>
        </w:rPr>
        <w:t>再保的摊回、分摊金额的财务实收付分别映射【财险收费类型代码表】和【财险付费类型代码表】中的“82-收再保摊回赔款”与“97-支再保摊回赔款”。</w:t>
      </w:r>
    </w:p>
    <w:p>
      <w:pPr>
        <w:pStyle w:val="4"/>
        <w:numPr>
          <w:ilvl w:val="255"/>
          <w:numId w:val="0"/>
        </w:numPr>
        <w:spacing w:before="0" w:after="0" w:line="560" w:lineRule="exact"/>
      </w:pPr>
      <w:r>
        <w:rPr>
          <w:rFonts w:hint="eastAsia" w:ascii="仿宋" w:hAnsi="仿宋" w:eastAsia="仿宋" w:cs="仿宋"/>
          <w:sz w:val="28"/>
          <w:szCs w:val="28"/>
        </w:rPr>
        <w:t>4. 保险公司再保险的收付信息是以账单的形式保存的，数据粒度不到保单，且一个账单里的金额可以是多个保单的金额，账单号与保单是多对多的关系也无法拆分，这些收付信息应如何报送？</w:t>
      </w:r>
    </w:p>
    <w:p>
      <w:pPr>
        <w:spacing w:line="560" w:lineRule="exact"/>
      </w:pPr>
      <w:r>
        <w:rPr>
          <w:rFonts w:hint="eastAsia"/>
        </w:rPr>
        <w:t>对于部分再保业务的财务收付费信息无法关联到保单明细层级的情况，可以按照现有账单/结算单粒度报送财务实收/实付信息，收费明细表/付费明细表中保单编号报送账单号，单证编号报送再保合约分项编码，原业务数据交易编码报送默认值。但是同时需要在2-6文档</w:t>
      </w:r>
      <w:bookmarkStart w:id="5" w:name="_Toc500931189"/>
      <w:r>
        <w:rPr>
          <w:rFonts w:hint="eastAsia"/>
        </w:rPr>
        <w:t>财务收付费信息模块</w:t>
      </w:r>
      <w:bookmarkEnd w:id="5"/>
      <w:r>
        <w:rPr>
          <w:rFonts w:hint="eastAsia"/>
        </w:rPr>
        <w:t>中说明情况。</w:t>
      </w:r>
    </w:p>
    <w:p>
      <w:pPr>
        <w:pStyle w:val="3"/>
        <w:spacing w:before="0" w:after="0" w:line="560" w:lineRule="exact"/>
        <w:rPr>
          <w:rFonts w:ascii="楷体" w:hAnsi="楷体" w:eastAsia="楷体" w:cs="楷体"/>
        </w:rPr>
      </w:pPr>
      <w:r>
        <w:rPr>
          <w:rFonts w:hint="eastAsia" w:ascii="楷体" w:hAnsi="楷体" w:eastAsia="楷体" w:cs="楷体"/>
        </w:rPr>
        <w:t>（七）客户黑名单模块</w:t>
      </w:r>
    </w:p>
    <w:p>
      <w:pPr>
        <w:pStyle w:val="4"/>
        <w:numPr>
          <w:ilvl w:val="255"/>
          <w:numId w:val="0"/>
        </w:numPr>
        <w:spacing w:before="0" w:after="0" w:line="560" w:lineRule="exact"/>
        <w:rPr>
          <w:sz w:val="28"/>
          <w:szCs w:val="28"/>
        </w:rPr>
      </w:pPr>
      <w:r>
        <w:rPr>
          <w:rFonts w:hint="eastAsia" w:ascii="仿宋" w:hAnsi="仿宋" w:eastAsia="仿宋" w:cs="仿宋"/>
          <w:sz w:val="28"/>
          <w:szCs w:val="28"/>
        </w:rPr>
        <w:t>1. 客户黑名单信息表，保险公司系统未采集意外险、健康险黑名单，只有反洗钱黑名单，是否需要报送？</w:t>
      </w:r>
    </w:p>
    <w:p>
      <w:pPr>
        <w:spacing w:line="560" w:lineRule="exact"/>
      </w:pPr>
      <w:bookmarkStart w:id="6" w:name="_Hlk510442879"/>
      <w:r>
        <w:rPr>
          <w:rFonts w:hint="eastAsia"/>
        </w:rPr>
        <w:t>黑名单是指意健险业务黑名单，反洗钱黑名单不需要报送，如果公司无意健险业务黑名单，请在2-6数据报送说明中填写无法上报的原因。</w:t>
      </w:r>
      <w:bookmarkEnd w:id="6"/>
    </w:p>
    <w:p>
      <w:pPr>
        <w:pStyle w:val="3"/>
        <w:spacing w:before="0" w:after="0" w:line="560" w:lineRule="exact"/>
        <w:rPr>
          <w:rFonts w:ascii="楷体" w:hAnsi="楷体" w:eastAsia="楷体" w:cs="楷体"/>
        </w:rPr>
      </w:pPr>
      <w:r>
        <w:rPr>
          <w:rFonts w:hint="eastAsia" w:ascii="楷体" w:hAnsi="楷体" w:eastAsia="楷体" w:cs="楷体"/>
        </w:rPr>
        <w:t>（八）业务代码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1. 《业务代码表》中“追偿类型代码”包含“1-自追偿”和“2-代追偿”两个码值，这两种码值的业务含义是什么？ </w:t>
      </w:r>
    </w:p>
    <w:p>
      <w:pPr>
        <w:spacing w:line="560" w:lineRule="exact"/>
      </w:pPr>
      <w:r>
        <w:rPr>
          <w:rFonts w:hint="eastAsia"/>
        </w:rPr>
        <w:t>“自追偿”是指由保险公司进行追偿，“代追偿”是指保险公司委托外部机构进行追偿。</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2. 如果保单不计短期费率，【保单标的责任信息表】“短期费率方式代码”字段应如何报送？是否需要映射到《业务代码表》中“短期费率方式代码”？ </w:t>
      </w:r>
    </w:p>
    <w:p>
      <w:pPr>
        <w:spacing w:line="560" w:lineRule="exact"/>
      </w:pPr>
      <w:r>
        <w:rPr>
          <w:rFonts w:hint="eastAsia"/>
        </w:rPr>
        <w:t>如果是“不计短期费率”，则【保单标的责任信息表】的“短期费率方式代码”可报送空值。</w:t>
      </w:r>
    </w:p>
    <w:p>
      <w:pPr>
        <w:pStyle w:val="4"/>
        <w:numPr>
          <w:ilvl w:val="255"/>
          <w:numId w:val="0"/>
        </w:numPr>
        <w:spacing w:before="0" w:after="0" w:line="560" w:lineRule="exact"/>
        <w:rPr>
          <w:rFonts w:ascii="仿宋" w:hAnsi="仿宋" w:eastAsia="仿宋" w:cs="仿宋"/>
          <w:sz w:val="28"/>
          <w:szCs w:val="28"/>
        </w:rPr>
      </w:pPr>
      <w:r>
        <mc:AlternateContent>
          <mc:Choice Requires="wps">
            <w:drawing>
              <wp:anchor distT="0" distB="0" distL="0" distR="0" simplePos="0" relativeHeight="251655168" behindDoc="0" locked="0" layoutInCell="1" allowOverlap="1">
                <wp:simplePos x="0" y="0"/>
                <wp:positionH relativeFrom="column">
                  <wp:posOffset>-9525</wp:posOffset>
                </wp:positionH>
                <wp:positionV relativeFrom="paragraph">
                  <wp:posOffset>1357630</wp:posOffset>
                </wp:positionV>
                <wp:extent cx="981075" cy="676275"/>
                <wp:effectExtent l="0" t="0" r="0" b="0"/>
                <wp:wrapNone/>
                <wp:docPr id="14"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81075" cy="676275"/>
                        </a:xfrm>
                        <a:prstGeom prst="rect">
                          <a:avLst/>
                        </a:prstGeom>
                        <a:noFill/>
                        <a:ln>
                          <a:noFill/>
                        </a:ln>
                      </wps:spPr>
                      <wps:bodyPr rot="0" vert="horz" wrap="square" lIns="91440" tIns="45720" rIns="91440" bIns="45720" anchor="t" anchorCtr="0" upright="1">
                        <a:noAutofit/>
                      </wps:bodyPr>
                    </wps:wsp>
                  </a:graphicData>
                </a:graphic>
              </wp:anchor>
            </w:drawing>
          </mc:Choice>
          <mc:Fallback>
            <w:pict>
              <v:rect id="AutoShape 5" o:spid="_x0000_s1026" o:spt="1" style="position:absolute;left:0pt;margin-left:-0.75pt;margin-top:106.9pt;height:53.25pt;width:77.25pt;z-index:251655168;mso-width-relative:page;mso-height-relative:page;" filled="f" stroked="f" coordsize="21600,21600" o:gfxdata="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qnJzZ&#10;2gAAAAoBAAAPAAAAAAAAAAEAIAAAACIAAABkcnMvZG93bnJldi54bWxQSwECFAAUAAAACACHTuJA&#10;q6ykleYBAADFAwAADgAAAAAAAAABACAAAAApAQAAZHJzL2Uyb0RvYy54bWxQSwUGAAAAAAYABgBZ&#10;AQAAgQUAAAAA&#10;">
                <v:fill on="f" focussize="0,0"/>
                <v:stroke on="f"/>
                <v:imagedata o:title=""/>
                <o:lock v:ext="edit" aspectratio="t"/>
              </v:rect>
            </w:pict>
          </mc:Fallback>
        </mc:AlternateContent>
      </w:r>
      <w:r>
        <w:rPr>
          <w:rFonts w:hint="eastAsia" w:ascii="仿宋" w:hAnsi="仿宋" w:eastAsia="仿宋" w:cs="仿宋"/>
          <w:sz w:val="28"/>
          <w:szCs w:val="28"/>
        </w:rPr>
        <w:t>3. 由于保单登记三期中增加了洲际代码的代码值字段，但是我司系统中目前是没有洲际代码的存储，业务人员也未能提供国别与洲际代码的对应关系，平台能否提供统一的对应关系？另外，国别代码中有999其他，这种情况应该映射到哪个洲际代码呢？</w:t>
      </w:r>
    </w:p>
    <w:p>
      <w:pPr>
        <w:spacing w:line="560" w:lineRule="exact"/>
      </w:pPr>
      <w:r>
        <w:t>洲际国别对应关系参见</w:t>
      </w:r>
      <w:r>
        <w:rPr>
          <w:rFonts w:hint="eastAsia"/>
        </w:rPr>
        <w:t>《保单</w:t>
      </w:r>
      <w:r>
        <w:t>登记平台</w:t>
      </w:r>
      <w:r>
        <w:rPr>
          <w:rFonts w:hint="eastAsia"/>
        </w:rPr>
        <w:t>洲际</w:t>
      </w:r>
      <w:r>
        <w:t>国别代码</w:t>
      </w:r>
      <w:r>
        <w:rPr>
          <w:rFonts w:hint="eastAsia"/>
        </w:rPr>
        <w:t>映射</w:t>
      </w:r>
      <w:r>
        <w:t>关系</w:t>
      </w:r>
      <w:r>
        <w:rPr>
          <w:rFonts w:hint="eastAsia"/>
        </w:rPr>
        <w:t>表</w:t>
      </w:r>
      <w:r>
        <w:t>.xlsx</w:t>
      </w:r>
      <w:r>
        <w:rPr>
          <w:rFonts w:hint="eastAsia"/>
        </w:rPr>
        <w:t>》。</w:t>
      </w:r>
    </w:p>
    <w:p>
      <w:pPr>
        <w:spacing w:line="560" w:lineRule="exact"/>
      </w:pPr>
      <w:r>
        <w:rPr>
          <w:rFonts w:hint="eastAsia"/>
        </w:rPr>
        <w:t>对于</w:t>
      </w:r>
      <w:r>
        <w:t>国别代码报送</w:t>
      </w:r>
      <w:r>
        <w:rPr>
          <w:rFonts w:hint="eastAsia"/>
        </w:rPr>
        <w:t>999</w:t>
      </w:r>
      <w:r>
        <w:t>-其他的，洲际代码报送默认值</w:t>
      </w:r>
      <w:r>
        <w:rPr>
          <w:rFonts w:hint="eastAsia"/>
        </w:rPr>
        <w:t>000000。</w:t>
      </w:r>
    </w:p>
    <w:p>
      <w:pPr>
        <w:pStyle w:val="3"/>
        <w:spacing w:before="0" w:after="0" w:line="560" w:lineRule="exact"/>
        <w:rPr>
          <w:rFonts w:ascii="楷体" w:hAnsi="楷体" w:eastAsia="楷体" w:cs="楷体"/>
        </w:rPr>
      </w:pPr>
      <w:r>
        <w:rPr>
          <w:rFonts w:hint="eastAsia" w:ascii="楷体" w:hAnsi="楷体" w:eastAsia="楷体" w:cs="楷体"/>
        </w:rPr>
        <w:t>（九）其他</w:t>
      </w:r>
    </w:p>
    <w:p>
      <w:pPr>
        <w:pStyle w:val="4"/>
        <w:numPr>
          <w:ilvl w:val="255"/>
          <w:numId w:val="0"/>
        </w:numPr>
        <w:spacing w:before="0" w:after="0" w:line="560" w:lineRule="exact"/>
      </w:pPr>
      <w:r>
        <w:rPr>
          <w:rFonts w:hint="eastAsia" w:ascii="仿宋" w:hAnsi="仿宋" w:eastAsia="仿宋" w:cs="仿宋"/>
          <w:sz w:val="28"/>
          <w:szCs w:val="28"/>
        </w:rPr>
        <w:t>1. 对于模型中部分表，保险公司没有相关业务，应如何报送？</w:t>
      </w:r>
    </w:p>
    <w:p>
      <w:pPr>
        <w:spacing w:line="560" w:lineRule="exact"/>
      </w:pPr>
      <w:r>
        <w:rPr>
          <w:rFonts w:hint="eastAsia"/>
        </w:rPr>
        <w:t>对于保险公司没有相关业务的情况，相应的数据表不必报送，并填写2-6数据报送说明文档，尽可能详细说明原因。</w:t>
      </w:r>
    </w:p>
    <w:p>
      <w:pPr>
        <w:spacing w:line="560" w:lineRule="exact"/>
      </w:pPr>
      <w:r>
        <w:rPr>
          <w:rFonts w:hint="eastAsia"/>
        </w:rPr>
        <w:t>但是以上情况仅限于各险类下标的信息表，对于基础模块中的产品模块（产品信息 、条款信息 、产品条款关系信息、条款责任关系信息），必须按照模型要求上报。若粒度不到责任，在条款责任关系信息表中上报虚拟责任数据，责任编号“000000”。</w:t>
      </w:r>
    </w:p>
    <w:p>
      <w:pPr>
        <w:spacing w:line="560" w:lineRule="exact"/>
      </w:pPr>
      <w:r>
        <w:rPr>
          <w:rFonts w:hint="eastAsia"/>
        </w:rPr>
        <w:t>除上述情况之外，如保险公司仍存在无法报送的其他表，应与平台业务联系人沟通确认。</w:t>
      </w:r>
    </w:p>
    <w:p>
      <w:pPr>
        <w:pStyle w:val="4"/>
        <w:numPr>
          <w:ilvl w:val="255"/>
          <w:numId w:val="0"/>
        </w:numPr>
        <w:spacing w:before="0" w:after="0" w:line="560" w:lineRule="exact"/>
      </w:pPr>
      <w:r>
        <w:rPr>
          <w:rFonts w:hint="eastAsia" w:ascii="仿宋" w:hAnsi="仿宋" w:eastAsia="仿宋" w:cs="仿宋"/>
          <w:sz w:val="28"/>
          <w:szCs w:val="28"/>
        </w:rPr>
        <w:t>2. 对于模型中部分必填项字段，保险公司没有采集对应的数据，应如何报送？</w:t>
      </w:r>
    </w:p>
    <w:p>
      <w:pPr>
        <w:spacing w:line="560" w:lineRule="exact"/>
      </w:pPr>
      <w:r>
        <w:rPr>
          <w:rFonts w:hint="eastAsia"/>
        </w:rPr>
        <w:t>对于模型中要求必填的字段，但保险公司确无对应数据（全部业务或部分业务）的情况，需在三期下发保险公司的2-6数据报送说明中，如实、完整、详细地说明无法填报的原因及数据范围，并按照要求的默认值进行填报，默认值格式请参考2-2文档“1.4.1报送质量要求”部分。</w:t>
      </w:r>
    </w:p>
    <w:p>
      <w:pPr>
        <w:spacing w:line="560" w:lineRule="exact"/>
      </w:pPr>
      <w:r>
        <w:rPr>
          <w:rFonts w:hint="eastAsia"/>
        </w:rPr>
        <w:t>2-2文档对默认值的要求为：</w:t>
      </w:r>
    </w:p>
    <w:p>
      <w:pPr>
        <w:spacing w:line="560" w:lineRule="exact"/>
      </w:pPr>
      <w:r>
        <w:rPr>
          <w:rFonts w:hint="eastAsia"/>
        </w:rPr>
        <w:t>（1）字段类型为“VARCHAR2”的数据项，默认值为“000000”；</w:t>
      </w:r>
    </w:p>
    <w:p>
      <w:pPr>
        <w:spacing w:line="560" w:lineRule="exact"/>
      </w:pPr>
      <w:r>
        <w:rPr>
          <w:rFonts w:hint="eastAsia"/>
        </w:rPr>
        <w:t>（2）字段类型为“DATE”的数据项，默认值为“1900-01-01”；</w:t>
      </w:r>
    </w:p>
    <w:p>
      <w:pPr>
        <w:spacing w:line="560" w:lineRule="exact"/>
      </w:pPr>
      <w:r>
        <w:rPr>
          <w:rFonts w:hint="eastAsia"/>
        </w:rPr>
        <w:t>（3）字段类型为“DATETIME YEAR TO SECOND”的数据项，默认值为“1900-01-01 00:00:00”；</w:t>
      </w:r>
    </w:p>
    <w:p>
      <w:pPr>
        <w:spacing w:line="560" w:lineRule="exact"/>
      </w:pPr>
      <w:r>
        <w:rPr>
          <w:rFonts w:hint="eastAsia"/>
        </w:rPr>
        <w:t>（4）字段类型为“NUMBER”的数据项，默认值为“9999999999”；</w:t>
      </w:r>
    </w:p>
    <w:p>
      <w:pPr>
        <w:spacing w:line="560" w:lineRule="exact"/>
      </w:pPr>
      <w:r>
        <w:rPr>
          <w:rFonts w:hint="eastAsia"/>
        </w:rPr>
        <w:t>（5）字段类型为“DECIMAL”的数据项，默认值为“0.0001”。</w:t>
      </w:r>
    </w:p>
    <w:p>
      <w:pPr>
        <w:spacing w:line="560" w:lineRule="exact"/>
      </w:pPr>
      <w:r>
        <w:rPr>
          <w:rFonts w:hint="eastAsia"/>
        </w:rPr>
        <w:t>除上述情况之外，如保险公司仍存在无法报送的其他情况，应与平台业务联系人沟通确认。</w:t>
      </w:r>
    </w:p>
    <w:p>
      <w:pPr>
        <w:pStyle w:val="4"/>
        <w:numPr>
          <w:ilvl w:val="255"/>
          <w:numId w:val="0"/>
        </w:numPr>
        <w:spacing w:before="0" w:after="0" w:line="560" w:lineRule="exact"/>
      </w:pPr>
      <w:r>
        <w:rPr>
          <w:rFonts w:hint="eastAsia" w:ascii="仿宋" w:hAnsi="仿宋" w:eastAsia="仿宋" w:cs="仿宋"/>
          <w:sz w:val="28"/>
          <w:szCs w:val="28"/>
        </w:rPr>
        <w:t>3. 对于模型中部分条件必填项字段，保险公司没有采集对应的数据，应如何报送？</w:t>
      </w:r>
    </w:p>
    <w:p>
      <w:pPr>
        <w:spacing w:line="560" w:lineRule="exact"/>
      </w:pPr>
      <w:r>
        <w:rPr>
          <w:rFonts w:hint="eastAsia"/>
        </w:rPr>
        <w:t>2-2文档中，结合字段说明及险种范围，对条件必填有明确要求。分为以下三种情况：</w:t>
      </w:r>
    </w:p>
    <w:p>
      <w:pPr>
        <w:spacing w:line="560" w:lineRule="exact"/>
      </w:pPr>
      <w:r>
        <w:rPr>
          <w:rFonts w:hint="eastAsia"/>
        </w:rPr>
        <w:t>（1）对于满足2-2文档条件必填要求且有采集数据的，应按照模型要求及实际情况报送。</w:t>
      </w:r>
    </w:p>
    <w:p>
      <w:pPr>
        <w:spacing w:line="560" w:lineRule="exact"/>
      </w:pPr>
      <w:r>
        <w:rPr>
          <w:rFonts w:hint="eastAsia"/>
        </w:rPr>
        <w:t>（2）对于满足 2-2文档要求必填的条件但无法上报的，按照2-2文档中对默认值的要求填写，并填写2-6数据报送说明文档，尽可能详细原因，如为部分数据有问题则说明有问题的数据范围。</w:t>
      </w:r>
    </w:p>
    <w:p>
      <w:pPr>
        <w:spacing w:line="560" w:lineRule="exact"/>
      </w:pPr>
      <w:r>
        <w:rPr>
          <w:rFonts w:hint="eastAsia"/>
        </w:rPr>
        <w:t>（3）对于不要求必填的场景，若保险公司有数据则要求如实上报，若没有数据可报空。</w:t>
      </w:r>
    </w:p>
    <w:p>
      <w:pPr>
        <w:spacing w:line="560" w:lineRule="exact"/>
      </w:pPr>
      <w:r>
        <w:rPr>
          <w:rFonts w:hint="eastAsia"/>
        </w:rPr>
        <w:t>除上述情况之外，如保险公司仍存在无法报送的其他情况，应与平台业务联系人沟通确认。</w:t>
      </w:r>
    </w:p>
    <w:p>
      <w:pPr>
        <w:pStyle w:val="4"/>
        <w:numPr>
          <w:ilvl w:val="255"/>
          <w:numId w:val="0"/>
        </w:numPr>
        <w:spacing w:before="0" w:after="0" w:line="560" w:lineRule="exact"/>
      </w:pPr>
      <w:r>
        <w:rPr>
          <w:rFonts w:hint="eastAsia" w:ascii="仿宋" w:hAnsi="仿宋" w:eastAsia="仿宋" w:cs="仿宋"/>
          <w:sz w:val="28"/>
          <w:szCs w:val="28"/>
        </w:rPr>
        <w:t>4. 对于模型中要求匹配《业务关系码表》的字段，保险公司没有采集对应的数据或者映射不上，应如何报送？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关于数据模型中的代码类、标志类字段项，平台要求如下。</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（1）对于可以与平台的业务代码表建立映射关系的情况：保险公司应将数据根据映射关系如实上报，并在2-7文档中记录公司代码与平台代码的映射关系。</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（2）对于可以与平台的业务代码表无法建立映射关系的情况，又可细分为以下四类：</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平台代码的粒度粗——保险公司多个码值往平台的一个码值映射。</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平台代码的粒度细——反馈保险公司码值内容及拟映射方案，发邮件给公共邮箱bddj@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.com.cn，平台协助确认。</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保险公司的代码分类维度与平台不同——视同为未采集平台要求的数据项。</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平台代码缺少码值——保险公司发码值增补申请给平台（例如，保险分支机构代码可根据业务开展情况随时申请增补）。</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（3）对于保险公司未采集的情况，又可细分为以下两类：</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代码项未采集——在2-7文档中目录页对应代码项的“备注”列说明公司未采集及原因。</w:t>
      </w:r>
    </w:p>
    <w:p>
      <w:pPr>
        <w:pStyle w:val="52"/>
        <w:numPr>
          <w:ilvl w:val="0"/>
          <w:numId w:val="3"/>
        </w:numPr>
        <w:spacing w:line="560" w:lineRule="exact"/>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部分数据未采集——已采集部分正常报送，未采集部分根据字段是否必填报送空或默认值。</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除上述情况之外，如保险公司仍存在无法报送的其他情况，应与平台业务联系人沟通确认。</w:t>
      </w:r>
    </w:p>
    <w:p>
      <w:pPr>
        <w:pStyle w:val="4"/>
        <w:numPr>
          <w:ilvl w:val="255"/>
          <w:numId w:val="0"/>
        </w:numPr>
        <w:spacing w:before="0" w:after="0" w:line="560" w:lineRule="exact"/>
      </w:pPr>
      <w:r>
        <w:rPr>
          <w:rFonts w:hint="eastAsia" w:ascii="仿宋" w:hAnsi="仿宋" w:eastAsia="仿宋" w:cs="仿宋"/>
          <w:sz w:val="28"/>
          <w:szCs w:val="28"/>
        </w:rPr>
        <w:t xml:space="preserve">5. 保险公司在保单登记二期已报备过的特殊业务场景，在三期是否需要重新报备？ </w:t>
      </w:r>
    </w:p>
    <w:p>
      <w:pPr>
        <w:spacing w:line="560" w:lineRule="exact"/>
      </w:pPr>
      <w:r>
        <w:rPr>
          <w:rFonts w:hint="eastAsia"/>
        </w:rPr>
        <w:t>如果是已报备且已被平台认可的场景，三期可以不用报送，如果需要对已被认可的场景进行修改，以及已报备过但未被认可的场景和未报备过的场景，则需要在三期报备。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6. 对计算类自查校验规则，如“总含税保费=不含税保费+增值税税额”，是否允许计算值存在一定的尾差？例如在上述规则中如果保险公司各项字段实际保留的小数位与平台要求保留的小数位不一致，可能导致计算值存在尾差，是否会导致校验失败？ </w:t>
      </w:r>
    </w:p>
    <w:p>
      <w:pPr>
        <w:spacing w:line="560" w:lineRule="exact"/>
      </w:pPr>
      <w:r>
        <w:rPr>
          <w:rFonts w:hint="eastAsia"/>
        </w:rPr>
        <w:t>对计算类自查校验规则，平台允许存在精度尾差。对加减法及乘法类的规则，允许正负一元内的尾差；对除法类计算规则，要求在平台规定的小数精度的后一位进行四舍五入处理。</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7. 对于赠险的情况，由于未向客户收费，因此总含税保费为0，但是税法上为“视同销售”行为，需缴纳增值税。这种情况下，自查校验规则 “总含税保费=不含税保费+增值税税额”，是否会导致校验失败？ </w:t>
      </w:r>
    </w:p>
    <w:p>
      <w:pPr>
        <w:spacing w:line="560" w:lineRule="exact"/>
      </w:pPr>
      <w:r>
        <w:rPr>
          <w:rFonts w:hint="eastAsia"/>
        </w:rPr>
        <w:t>对赠险的情况，平台已单独处理，这条规则不会生效。赠险数据可以正常上传。</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数据装载结果返回：“疾病代码有效性校验失败”，应如何处理？</w:t>
      </w:r>
    </w:p>
    <w:p>
      <w:pPr>
        <w:spacing w:line="560" w:lineRule="exact"/>
      </w:pPr>
      <w:r>
        <w:rPr>
          <w:rFonts w:hint="eastAsia"/>
        </w:rPr>
        <w:t>报送疾病代码时，应注意，若“疾病类型代码”为中医则对应《业务代码表》中的“中医疾病代码”，若为西医则对应《业务代码表》中的“疾病代码”，如填写错误，会导致有效性校验失败。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数据装载结果返回：损伤外部原因代码有效性校验失败，应如何处理？</w:t>
      </w:r>
    </w:p>
    <w:p>
      <w:pPr>
        <w:spacing w:line="560" w:lineRule="exact"/>
      </w:pPr>
      <w:r>
        <w:rPr>
          <w:rFonts w:hint="eastAsia"/>
        </w:rPr>
        <w:t>报送损伤外部原因代码填写时，应注意，需映射为“损伤外部原因代码”中的“具体代码项”，而非“代码”项，如填写错误，会导致有效性校验失败。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轻症重疾在“人身险责任类别代码”中对应项应该属重大疾病还是属特定疾病？</w:t>
      </w:r>
    </w:p>
    <w:p>
      <w:pPr>
        <w:spacing w:line="560" w:lineRule="exact"/>
      </w:pPr>
      <w:r>
        <w:rPr>
          <w:rFonts w:hint="eastAsia"/>
        </w:rPr>
        <w:t>轻症重疾属重大疾病，重疾险包含重疾，中症，轻症三种责任。</w:t>
      </w:r>
    </w:p>
    <w:p/>
    <w:p/>
    <w:p/>
    <w:p/>
    <w:p/>
    <w:p/>
    <w:p/>
    <w:p/>
    <w:p/>
    <w:p/>
    <w:p/>
    <w:p/>
    <w:p/>
    <w:p/>
    <w:p/>
    <w:p/>
    <w:p/>
    <w:p/>
    <w:p/>
    <w:p/>
    <w:p/>
    <w:p/>
    <w:p/>
    <w:p/>
    <w:p/>
    <w:p/>
    <w:p/>
    <w:p/>
    <w:p/>
    <w:p/>
    <w:p/>
    <w:p/>
    <w:p/>
    <w:p/>
    <w:p/>
    <w:p/>
    <w:p>
      <w:pPr>
        <w:rPr>
          <w:rFonts w:ascii="黑体" w:hAnsi="黑体" w:eastAsia="黑体" w:cs="黑体"/>
        </w:rPr>
      </w:pPr>
      <w:r>
        <w:rPr>
          <w:rFonts w:hint="eastAsia" w:ascii="黑体" w:hAnsi="黑体" w:eastAsia="黑体" w:cs="黑体"/>
        </w:rPr>
        <w:br w:type="page"/>
      </w:r>
    </w:p>
    <w:p>
      <w:pPr>
        <w:pStyle w:val="37"/>
        <w:spacing w:before="0" w:after="0" w:line="560" w:lineRule="exact"/>
        <w:jc w:val="both"/>
        <w:rPr>
          <w:rFonts w:ascii="黑体" w:hAnsi="黑体" w:eastAsia="黑体" w:cs="黑体"/>
          <w:b w:val="0"/>
          <w:bCs w:val="0"/>
        </w:rPr>
      </w:pPr>
      <w:r>
        <w:rPr>
          <w:rFonts w:hint="eastAsia" w:ascii="黑体" w:hAnsi="黑体" w:eastAsia="黑体" w:cs="黑体"/>
          <w:b w:val="0"/>
          <w:bCs w:val="0"/>
        </w:rPr>
        <w:t>第三篇：常见技术问题篇</w:t>
      </w:r>
    </w:p>
    <w:p>
      <w:pPr>
        <w:pStyle w:val="3"/>
        <w:spacing w:before="0" w:after="0" w:line="560" w:lineRule="exact"/>
        <w:rPr>
          <w:rFonts w:ascii="楷体" w:hAnsi="楷体" w:eastAsia="楷体" w:cs="楷体"/>
        </w:rPr>
      </w:pPr>
      <w:bookmarkStart w:id="7" w:name="_Toc510703273"/>
      <w:r>
        <w:rPr>
          <w:rFonts w:hint="eastAsia" w:ascii="楷体" w:hAnsi="楷体" w:eastAsia="楷体" w:cs="楷体"/>
        </w:rPr>
        <w:t>（一）增量数据报送及对账的周期与时间窗口</w:t>
      </w:r>
      <w:bookmarkEnd w:id="7"/>
      <w:r>
        <w:rPr>
          <w:rFonts w:hint="eastAsia" w:ascii="楷体" w:hAnsi="楷体" w:eastAsia="楷体" w:cs="楷体"/>
        </w:rPr>
        <w:t>说明</w:t>
      </w:r>
    </w:p>
    <w:p>
      <w:pPr>
        <w:spacing w:line="560" w:lineRule="exact"/>
        <w:ind w:firstLine="480" w:firstLineChars="200"/>
      </w:pPr>
      <w:r>
        <w:rPr>
          <w:rFonts w:hint="eastAsia"/>
        </w:rPr>
        <w:t>报送增量数据时，若为新单按照保单承保日期T+1报送，非新单的交易按照交易完结日期T+1报送，对账则在数据报送日期T+1日进行；数据报送的时间窗口为每日的06:00时至16:00时，对账的时间窗口为每日00:00时至06:00时。</w:t>
      </w:r>
    </w:p>
    <w:p>
      <w:pPr>
        <w:pStyle w:val="3"/>
        <w:spacing w:before="0" w:after="0" w:line="560" w:lineRule="exact"/>
        <w:rPr>
          <w:rFonts w:ascii="楷体" w:hAnsi="楷体" w:eastAsia="楷体" w:cs="楷体"/>
        </w:rPr>
      </w:pPr>
      <w:bookmarkStart w:id="8" w:name="_Toc510703274"/>
      <w:r>
        <w:rPr>
          <w:rFonts w:hint="eastAsia" w:ascii="楷体" w:hAnsi="楷体" w:eastAsia="楷体" w:cs="楷体"/>
        </w:rPr>
        <w:t>（二）数据报送的方式及技术方案</w:t>
      </w:r>
      <w:bookmarkEnd w:id="8"/>
      <w:r>
        <w:rPr>
          <w:rFonts w:hint="eastAsia" w:ascii="楷体" w:hAnsi="楷体" w:eastAsia="楷体" w:cs="楷体"/>
        </w:rPr>
        <w:t>说明</w:t>
      </w:r>
    </w:p>
    <w:p>
      <w:pPr>
        <w:spacing w:line="560" w:lineRule="exact"/>
        <w:ind w:firstLine="480" w:firstLineChars="200"/>
      </w:pPr>
      <w:r>
        <w:rPr>
          <w:rFonts w:hint="eastAsia"/>
        </w:rPr>
        <w:t>存量文本数据根据保险公司数据量的大小采用线下和线上两种交付方式，线上采用SFTP上传方式；增量文本数据统一采用SFTP上传方式，其他通讯采用WebService接口方式。</w:t>
      </w:r>
    </w:p>
    <w:p>
      <w:pPr>
        <w:pStyle w:val="3"/>
        <w:spacing w:before="0" w:after="0" w:line="560" w:lineRule="exact"/>
        <w:rPr>
          <w:rFonts w:ascii="楷体" w:hAnsi="楷体" w:eastAsia="楷体" w:cs="楷体"/>
        </w:rPr>
      </w:pPr>
      <w:bookmarkStart w:id="9" w:name="_Toc510703275"/>
      <w:r>
        <w:rPr>
          <w:rFonts w:hint="eastAsia" w:ascii="楷体" w:hAnsi="楷体" w:eastAsia="楷体" w:cs="楷体"/>
        </w:rPr>
        <w:t>（三）报送数据文件数据格式以及字符集</w:t>
      </w:r>
      <w:bookmarkEnd w:id="9"/>
      <w:r>
        <w:rPr>
          <w:rFonts w:hint="eastAsia" w:ascii="楷体" w:hAnsi="楷体" w:eastAsia="楷体" w:cs="楷体"/>
        </w:rPr>
        <w:t>说明</w:t>
      </w:r>
    </w:p>
    <w:p>
      <w:pPr>
        <w:pStyle w:val="52"/>
        <w:numPr>
          <w:ilvl w:val="0"/>
          <w:numId w:val="3"/>
        </w:numPr>
        <w:spacing w:line="560" w:lineRule="exact"/>
        <w:ind w:firstLineChars="0"/>
        <w:rPr>
          <w:szCs w:val="24"/>
        </w:rPr>
      </w:pPr>
      <w:r>
        <w:rPr>
          <w:rFonts w:hint="eastAsia" w:ascii="宋体" w:hAnsi="宋体"/>
          <w:bCs/>
          <w:szCs w:val="24"/>
        </w:rPr>
        <w:t>文件格式为txt格式，文件包为</w:t>
      </w:r>
      <w:r>
        <w:rPr>
          <w:rFonts w:hint="eastAsia" w:ascii="宋体" w:hAnsi="宋体"/>
          <w:szCs w:val="24"/>
        </w:rPr>
        <w:t>zip格式</w:t>
      </w:r>
    </w:p>
    <w:p>
      <w:pPr>
        <w:pStyle w:val="52"/>
        <w:numPr>
          <w:ilvl w:val="0"/>
          <w:numId w:val="3"/>
        </w:numPr>
        <w:spacing w:line="560" w:lineRule="exact"/>
        <w:ind w:firstLineChars="0"/>
        <w:rPr>
          <w:szCs w:val="24"/>
        </w:rPr>
      </w:pPr>
      <w:r>
        <w:rPr>
          <w:rFonts w:hint="eastAsia" w:ascii="宋体" w:hAnsi="宋体"/>
          <w:szCs w:val="24"/>
        </w:rPr>
        <w:t>行分隔符 {CR}{LF}</w:t>
      </w:r>
    </w:p>
    <w:p>
      <w:pPr>
        <w:pStyle w:val="52"/>
        <w:numPr>
          <w:ilvl w:val="0"/>
          <w:numId w:val="3"/>
        </w:numPr>
        <w:spacing w:line="560" w:lineRule="exact"/>
        <w:ind w:firstLineChars="0"/>
        <w:rPr>
          <w:szCs w:val="24"/>
        </w:rPr>
      </w:pPr>
      <w:r>
        <w:rPr>
          <w:rFonts w:ascii="宋体" w:hAnsi="宋体"/>
          <w:szCs w:val="24"/>
        </w:rPr>
        <w:t>列分隔符“|”</w:t>
      </w:r>
    </w:p>
    <w:p>
      <w:pPr>
        <w:pStyle w:val="52"/>
        <w:numPr>
          <w:ilvl w:val="0"/>
          <w:numId w:val="3"/>
        </w:numPr>
        <w:spacing w:line="560" w:lineRule="exact"/>
        <w:ind w:firstLineChars="0"/>
        <w:rPr>
          <w:szCs w:val="24"/>
        </w:rPr>
      </w:pPr>
      <w:r>
        <w:rPr>
          <w:rFonts w:hint="eastAsia" w:ascii="宋体" w:hAnsi="宋体"/>
          <w:szCs w:val="24"/>
        </w:rPr>
        <w:t>字符集：</w:t>
      </w:r>
      <w:r>
        <w:rPr>
          <w:rFonts w:ascii="宋体" w:hAnsi="宋体"/>
          <w:szCs w:val="24"/>
        </w:rPr>
        <w:t>UTF-8</w:t>
      </w:r>
    </w:p>
    <w:p>
      <w:pPr>
        <w:pStyle w:val="52"/>
        <w:numPr>
          <w:ilvl w:val="0"/>
          <w:numId w:val="3"/>
        </w:numPr>
        <w:spacing w:line="560" w:lineRule="exact"/>
        <w:ind w:firstLineChars="0"/>
        <w:rPr>
          <w:szCs w:val="24"/>
        </w:rPr>
      </w:pPr>
      <w:r>
        <w:rPr>
          <w:rFonts w:ascii="宋体" w:hAnsi="宋体"/>
          <w:szCs w:val="24"/>
        </w:rPr>
        <w:t>日期格式为</w:t>
      </w:r>
      <w:r>
        <w:rPr>
          <w:rFonts w:hint="eastAsia" w:ascii="宋体" w:hAnsi="宋体"/>
          <w:szCs w:val="24"/>
        </w:rPr>
        <w:t>“</w:t>
      </w:r>
      <w:r>
        <w:rPr>
          <w:rFonts w:ascii="宋体" w:hAnsi="宋体"/>
          <w:szCs w:val="24"/>
        </w:rPr>
        <w:t>YYYY-MM-DD”</w:t>
      </w:r>
    </w:p>
    <w:p>
      <w:pPr>
        <w:pStyle w:val="52"/>
        <w:numPr>
          <w:ilvl w:val="0"/>
          <w:numId w:val="3"/>
        </w:numPr>
        <w:spacing w:line="560" w:lineRule="exact"/>
        <w:ind w:firstLineChars="0"/>
        <w:rPr>
          <w:szCs w:val="24"/>
        </w:rPr>
      </w:pPr>
      <w:r>
        <w:rPr>
          <w:rFonts w:hint="eastAsia" w:ascii="宋体" w:hAnsi="宋体"/>
          <w:szCs w:val="24"/>
        </w:rPr>
        <w:t>以上字符均为英文半角</w:t>
      </w:r>
    </w:p>
    <w:p>
      <w:pPr>
        <w:pStyle w:val="52"/>
        <w:numPr>
          <w:ilvl w:val="0"/>
          <w:numId w:val="3"/>
        </w:numPr>
        <w:spacing w:line="560" w:lineRule="exact"/>
        <w:ind w:firstLineChars="0"/>
        <w:rPr>
          <w:szCs w:val="24"/>
        </w:rPr>
      </w:pPr>
      <w:r>
        <w:rPr>
          <w:rFonts w:hint="eastAsia" w:ascii="宋体" w:hAnsi="宋体"/>
          <w:szCs w:val="24"/>
        </w:rPr>
        <w:t>字段的数目必须和数据模型中各表的字段数保持一致，否则数据无法导入</w:t>
      </w:r>
    </w:p>
    <w:p>
      <w:pPr>
        <w:pStyle w:val="3"/>
        <w:spacing w:before="0" w:after="0" w:line="560" w:lineRule="exact"/>
        <w:rPr>
          <w:rFonts w:ascii="楷体" w:hAnsi="楷体" w:eastAsia="楷体" w:cs="楷体"/>
        </w:rPr>
      </w:pPr>
      <w:bookmarkStart w:id="10" w:name="_Toc510703276"/>
      <w:r>
        <w:rPr>
          <w:rFonts w:hint="eastAsia" w:ascii="楷体" w:hAnsi="楷体" w:eastAsia="楷体" w:cs="楷体"/>
        </w:rPr>
        <w:t>（四）数据文本文件命名规则</w:t>
      </w:r>
      <w:bookmarkEnd w:id="10"/>
      <w:r>
        <w:rPr>
          <w:rFonts w:hint="eastAsia" w:ascii="楷体" w:hAnsi="楷体" w:eastAsia="楷体" w:cs="楷体"/>
        </w:rPr>
        <w:t>说明</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增量数据：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文件包名：I_保单交易表中的批次号_文件个数(三位数字)(注：I=Incremental Data)</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例如：“I_000000PINC0000000001_018.zip”</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三级文件夹名：表名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 xml:space="preserve">例如：“ProCTransaction” </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文件名：I_保单交易表中的批次号_表名_三位流水(三位数字).txt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例如：“I_000000PINC0000000001_ProCTransaction_001.txt”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格式说明：增量数据每次上报使用一个文件包，一个文件包中只能包含一个批次的数据，且一个批次的数据交易日期必须为同一天；每次上报文件包名、文件名不可与已经上报过的文件包名、文件名重复。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存量数据：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文件包名：H_保单交易表中的批次号_文件个数（三位数字）(注：H=History Data)</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例如：“H_000000PHIS0000000001_030.zip”</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三级文件夹名：表名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 xml:space="preserve">例如：“ProCTransaction” </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文件名：H_保单交易表中的批次号_表名_三位流水(三位数字).txt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例如：“H_000000PHIS0000000001_ProCTransaction_001.txt”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格式说明：存量数据每次上报使用一个文件包，一个文件包中只能包含一个批次的数据，且一个批次的数据交易日期必须为同一天；每次上报文件包名、文件名不可与已经上报过的文件包名、文件名重复。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重报数据：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文件包名：F_保单交易表中的批次号_文件个数(三位数字)(注：F=Fail Data)</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例如：“F_000000PFAI0000000001_018.zip”</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三级文件夹名：表名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 xml:space="preserve">例如：“ProCTransaction” </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文件名：F_保单交易表中的批次号_表名_三位流水(三位数字).txt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例如：“F_000000PFAI0000000001_ProCTransaction_001.txt”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重报数据每次上报使用一个文件包，一个文件包中只能包含一个批次的数据，且一个批次的数据交易日期必须为同一天；每次重报数据的批次号不可重复；每次上报文件包名、文件名不可与已经上报过的文件包名、文件名重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对账数据：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文件包名：D_对账流水号_文件个数(三位数字)(注：D=Detail Data)</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对账流水号生成规则：6位公司编码＋P（财寿数据分类）＋DET（数据类型）＋10位流水，流水号不足10位需要左补“0”。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例如：“D_000000PDET0000000001_018.zip”</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三级文件夹名：表名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 xml:space="preserve">例如：“ProCTransaction” </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文件名：D_保单交易表中的批次号_表名_三位流水(三位数字).txt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例如：“D_000000PDET0000000001_ProCTransaction_001.txt”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格式说明：对账数据每次上报使用一个文件包，文件包名中的对账流水号与文件包内文件名中的对账流水号必须一致。每次上报文件包名、文件名不可与已经上报过的文件包名、文件名重复。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修正数据：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文件包名：M_保单交易表中的批次号_文件个数(三位数字)(注：M=Modify Data)</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例如：“M_000000PMOD0000000001_018.zip”</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三级文件夹名：表名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 xml:space="preserve">例如：“ProCTransaction” </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文件名：M_保单交易表中的批次号_表名_三位流水(三位数字).txt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例如：“M_000000PMOD0000000001_ProCTransaction_001.txt”</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修正数据每次上报使用一个文件包，修正数据每次报送均需使用新的批次号，不允许使用存量报送或增量报送时使用的批次号。每次上报文件包名、文件名不可与已经上报过的文件包名、文件名重复。修正数据的各个文件中只需要填写交易编码、批次号（只在交易表中体现）、保单号(如果没有承保，保单号字段赋值投保单号或印刷号)3个字段，其他字段遵照数据模型格式且为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影像文件：</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一级文件夹名：保险公司代码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例如：“000000”</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二级文件夹名：表所在模块名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例如：“批次号_Image”</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三级文件夹名：影像文件所在的文件夹内</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例如：“843156213”为医责险保单号</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 xml:space="preserve">  “843156213_2546”为医责险保单号_赔案号</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影像文件名：可正确存储的文件名即可</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影像文件扩展名要求：.jpg/.png/.jpeg/.bmp/.tif/.gif</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格式说明：影像文件不可单独报送，需要与增量/存量/补报/重报数据同时上传。</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注意：文件包中的文件夹名称以及文件名称请严格按照以上所述规则生成，请注意英文字母大小写必须与以上所述一致。保险公司代码指《中国保险业保单登记管理信息平台-业务代码表》中的“保险机构代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附件1:数据包目录对照关系</w:t>
      </w:r>
    </w:p>
    <w:tbl>
      <w:tblPr>
        <w:tblStyle w:val="3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242"/>
        <w:gridCol w:w="3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一级目录（保险公司）</w:t>
            </w:r>
          </w:p>
        </w:tc>
        <w:tc>
          <w:tcPr>
            <w:tcW w:w="2242" w:type="dxa"/>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二级目录（模块名）</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三级目录（数据表名）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公司编码</w:t>
            </w:r>
          </w:p>
        </w:tc>
        <w:tc>
          <w:tcPr>
            <w:tcW w:w="2242" w:type="dxa"/>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Transaction</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ProCTransaction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Policy</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ProCAppntt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ProCGrpAppnt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ProCInsured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ProCGrpinsured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ProCBenefit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ProCGrpBenefit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ProCItemKind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ProCDeductible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ProCengage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ProCPRate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ProCcoins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ProCitem_CB_Sperson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ProCitem_CB_build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ProCitem_CB_Bperson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ProCitem_CB_PolExtent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ProCitem_CB_Equip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ProCitem_GC_Project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ProCitem_GC_Equip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ProCitem_GC_Person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ProCitem_GC_JSEquip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ProCitem_GC_SGEquip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ProCitem_HY_Declarelist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ProCitem_HY_Domestic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ProCitem_HY_Abroad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ProCitem_HY_Cargo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ProCitem_HY_Oilgas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ProCitem_HY_Parcel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ProCitem_HY_Train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ProCitem_HY_Flight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ProCitem_HY_TRFreight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ProCitem_HY_LugCar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ProCitem_SY_Work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ProCitem_SY_Well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ProCitem_SY_Equipment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ProCitem_SY_Platform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ProCitem_SY_Project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ProCitem_HD_Carriage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ProCitem_HD_Project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ProCitem_TX_Equip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ProCitem_HK_AirCraft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ProCitem_HK_Person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ProCitem_HK_Satellite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ProCitem_HK_Rocket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ProCitem_JC_Electronic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ProCitem_JC_Equ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ProCitem_JC_Liner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ProCitem_JC_Hotel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ProCitem_JC_Fee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ProCitem_BZ_Car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ProCitem_BZ_Loan_Mortgage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ProCitem_BZ_Finance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ProCitem_BZ_BizContract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ProCitem_BZ_ProdInsured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ProCitem_BZ_Prepayment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ProCitem_BZ_Construction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ProCitem_BZ_EmployeeUnit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ProCitem_BZ_Litigation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ProCitem_XY_TPolExtent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ProCitem_XY_TAccYearSales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ProCitem_XY_TOverdueAR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ProCitem_XY_TBadLoan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ProCitem_XY_EPolExtent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ProCitem_XY_EAccYearSales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ProCitem_XY_EOverdueRemit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ProCitem_XY_CoInvolved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ProCitem_XY_BizOperation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ProCitem_XY_Buyer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ProCitem_XY_DetailReport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ProCitem_XY_TotalAmnt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ProCitem_XY_PolExtent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ProCitem_XY_EmployeeUnit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ProCitem_QC_PlantExtent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ProCitem_QC_PCExtent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ProCitem_QC_PCRisk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ProCitem_QC_CashRisk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ProCitem_QC_InterruptRisk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ProCitem_QC_Building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ProCitem_QC_Equipment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ProCitem_QC_Facility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ProCitem_ZR_PolExtent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ProCitem_ZR_Pcarrier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ProCitem_ZR_CCarriage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ProCitem_ZR_CVehicle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ProCitem_ZR_EnvCo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ProCitem_ZR_School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ProCitem_ZR_Vcollege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ProCitem_ZR_VCStudent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ProCitem_ZR_FSBizField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ProCitem_ZR_FSCorp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ProCitem_ZR_FSFood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ProCitem_ZR_PSupplyOrg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ProCitem_ZR_TravelAgency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ProCitem_ZR_SpecialEquip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ProCitem_ZR_PublicSite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ProCitem_ZR_Construction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ProCitem_ZR_CIPeriod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ProCitem_ZR_ReportAgency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ProCitem_ZR_ReportEquip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ProCitem_ZR_Corporation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ProCitem_ZR_InjuryCo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ProCitem_ZR_ErCorporation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ProCitem_ZR_ErEmployee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ProCitem_ZR_ErUnit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ProCitem_ZR_MedicalInt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ProCitem_ZR_MedicalStaff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ProCitem_ZR_MedicalUnit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ProCitem_ZR_MNBImage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ProCitem_ZR_MCLImage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ProCitem_ZR_AccountFirm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ProCitem_ZR_AFStaff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ProCitem_ZR_Executive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ProCitem_ZR_ArchDesignCo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ProCitem_ZR_ArchDesigner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ProCitem_ZR_Others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ProCitem_ZR_WExtSales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ProCitem_ZR_WExtProduct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ProCitem_ZR_WExtVehicle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ProCitem_ZR_PrptPreserve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ProCitem_ZR_DelayAirline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ProCitem_ZR_TRFreight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ProCitem_ZR_Patent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ProCitem_ZR_General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ProCConstruction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Endorse</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ProPmain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ProCpayeeAccount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ProCGrpPayeeAccount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ProCUWLiability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Rein</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FhTreaty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FhReins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FhTreatycedant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FhSectionReins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FhSectionCedant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ProRepolicy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ProReendor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ProLClaimsettle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FhiRepolicy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FhiReendor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FhiRepay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FciRepolicy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FpiReendor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FliRepay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FhXTreaty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FhXReins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FhXTreatyCedant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FhXsettle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FhXShare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FhiXTreaty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FhiXLayer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FeoXsettle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FeoXLayer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FeoXReins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Acc</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ProCInsureAcc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Pay</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Agent</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ProCcommissionDetail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Claim</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ProLRegist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ProLRegistDeal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ProLClaimOpinion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ProLClaimOpinionDeal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ProLClaimInjuryDetail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ProLClaimExpense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ProLBnf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ProLGrpbnf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ProLReceipt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ProLMedicalFee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ProLMedicalFeeDetail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ProLClaimantInfo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ProLDisease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ProLReplevy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ProLCoins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restart"/>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Product</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ProDclause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ProDriskclause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ProDClauseKind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vAlign w:val="center"/>
          </w:tcPr>
          <w:p>
            <w:pPr>
              <w:rPr>
                <w:rFonts w:asciiTheme="minorEastAsia" w:hAnsiTheme="minorEastAsia" w:eastAsiaTheme="minorEastAsia" w:cstheme="minorEastAsia"/>
                <w:sz w:val="20"/>
                <w:szCs w:val="20"/>
              </w:rPr>
            </w:pP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shd w:val="clear" w:color="auto" w:fill="auto"/>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Other</w:t>
            </w:r>
          </w:p>
        </w:tc>
        <w:tc>
          <w:tcPr>
            <w:tcW w:w="3712" w:type="dxa"/>
            <w:shd w:val="clear" w:color="000000" w:fill="FFFFFF"/>
            <w:vAlign w:val="center"/>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ProCBlacklist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restart"/>
            <w:vAlign w:val="center"/>
          </w:tcPr>
          <w:p>
            <w:pPr>
              <w:rPr>
                <w:rFonts w:asciiTheme="minorEastAsia" w:hAnsiTheme="minorEastAsia" w:eastAsiaTheme="minorEastAsia" w:cstheme="minorEastAsia"/>
                <w:sz w:val="20"/>
                <w:szCs w:val="20"/>
              </w:rPr>
            </w:pPr>
          </w:p>
        </w:tc>
        <w:tc>
          <w:tcPr>
            <w:tcW w:w="2242" w:type="dxa"/>
            <w:vMerge w:val="restart"/>
            <w:shd w:val="clear" w:color="auto" w:fill="auto"/>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批次号_Image</w:t>
            </w:r>
          </w:p>
        </w:tc>
        <w:tc>
          <w:tcPr>
            <w:tcW w:w="3712" w:type="dxa"/>
            <w:shd w:val="clear" w:color="000000" w:fill="FFFFFF"/>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医责险保单号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Merge w:val="continue"/>
            <w:vAlign w:val="center"/>
          </w:tcPr>
          <w:p>
            <w:pPr>
              <w:rPr>
                <w:rFonts w:asciiTheme="minorEastAsia" w:hAnsiTheme="minorEastAsia" w:eastAsiaTheme="minorEastAsia" w:cstheme="minorEastAsia"/>
                <w:sz w:val="20"/>
                <w:szCs w:val="20"/>
              </w:rPr>
            </w:pPr>
          </w:p>
        </w:tc>
        <w:tc>
          <w:tcPr>
            <w:tcW w:w="2242" w:type="dxa"/>
            <w:vMerge w:val="continue"/>
            <w:shd w:val="clear" w:color="auto" w:fill="auto"/>
          </w:tcPr>
          <w:p>
            <w:pPr>
              <w:rPr>
                <w:rFonts w:asciiTheme="minorEastAsia" w:hAnsiTheme="minorEastAsia" w:eastAsiaTheme="minorEastAsia" w:cstheme="minorEastAsia"/>
                <w:sz w:val="20"/>
                <w:szCs w:val="20"/>
              </w:rPr>
            </w:pPr>
          </w:p>
        </w:tc>
        <w:tc>
          <w:tcPr>
            <w:tcW w:w="3712" w:type="dxa"/>
            <w:shd w:val="clear" w:color="000000" w:fill="FFFFFF"/>
          </w:tcPr>
          <w:p>
            <w:pPr>
              <w:rPr>
                <w:rFonts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医责险保单号_赔案号</w:t>
            </w:r>
          </w:p>
        </w:tc>
      </w:tr>
    </w:tbl>
    <w:p>
      <w:pPr>
        <w:pStyle w:val="3"/>
        <w:spacing w:before="0" w:after="0" w:line="560" w:lineRule="exact"/>
        <w:rPr>
          <w:rFonts w:ascii="楷体" w:hAnsi="楷体" w:eastAsia="楷体" w:cs="楷体"/>
        </w:rPr>
      </w:pPr>
      <w:bookmarkStart w:id="11" w:name="_Toc510703277"/>
      <w:r>
        <w:rPr>
          <w:rFonts w:hint="eastAsia" w:ascii="楷体" w:hAnsi="楷体" w:eastAsia="楷体" w:cs="楷体"/>
        </w:rPr>
        <w:t>（五）数据报送异常处理方式</w:t>
      </w:r>
      <w:bookmarkEnd w:id="11"/>
      <w:r>
        <w:rPr>
          <w:rFonts w:hint="eastAsia" w:ascii="楷体" w:hAnsi="楷体" w:eastAsia="楷体" w:cs="楷体"/>
        </w:rPr>
        <w:t>说明</w:t>
      </w:r>
    </w:p>
    <w:p>
      <w:pPr>
        <w:pStyle w:val="52"/>
        <w:spacing w:line="560" w:lineRule="exact"/>
        <w:ind w:firstLine="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color w:val="000000" w:themeColor="text1"/>
          <w:szCs w:val="24"/>
          <w14:textFill>
            <w14:solidFill>
              <w14:schemeClr w14:val="tx1"/>
            </w14:solidFill>
          </w14:textFill>
        </w:rPr>
        <w:t>（1）如果文件格式不符合要求，例如：文件使用的编码非UTF-8、文件后缀名非小写txt等导致不能导入数据库的，必须重新报送本次全部数据。</w:t>
      </w:r>
    </w:p>
    <w:p>
      <w:pPr>
        <w:pStyle w:val="52"/>
        <w:spacing w:line="560" w:lineRule="exact"/>
        <w:ind w:firstLine="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color w:val="000000" w:themeColor="text1"/>
          <w:szCs w:val="24"/>
          <w14:textFill>
            <w14:solidFill>
              <w14:schemeClr w14:val="tx1"/>
            </w14:solidFill>
          </w14:textFill>
        </w:rPr>
        <w:t>（2）如果文件数据格式不符合要求，例如：存在长度超长的字段、字段类型不符、字段个数不符等导致不能导入数据库的，必须重新报送本次全部数据。</w:t>
      </w:r>
    </w:p>
    <w:p>
      <w:pPr>
        <w:pStyle w:val="52"/>
        <w:spacing w:line="560" w:lineRule="exact"/>
        <w:ind w:firstLine="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color w:val="000000" w:themeColor="text1"/>
          <w:szCs w:val="24"/>
          <w14:textFill>
            <w14:solidFill>
              <w14:schemeClr w14:val="tx1"/>
            </w14:solidFill>
          </w14:textFill>
        </w:rPr>
        <w:t>（3）如果文件数据内容存在缺少交易编码或缺少批次号的记录，则必须重新报送本次全部数据。</w:t>
      </w:r>
    </w:p>
    <w:p>
      <w:pPr>
        <w:pStyle w:val="52"/>
        <w:spacing w:line="560" w:lineRule="exact"/>
        <w:ind w:firstLine="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color w:val="000000" w:themeColor="text1"/>
          <w:szCs w:val="24"/>
          <w14:textFill>
            <w14:solidFill>
              <w14:schemeClr w14:val="tx1"/>
            </w14:solidFill>
          </w14:textFill>
        </w:rPr>
        <w:t>（4）如果文件数据内容存在其他错误信息，例如非空字段为空，超出码表范围等可以导入数据库但无法通过校验的，按照交易编码统计记录错误率。如果错误率超过10%（含），则必须重新报送本次全部数据。如果小于10%则只需要再次报送修正后的错误数据。</w:t>
      </w:r>
    </w:p>
    <w:p>
      <w:pPr>
        <w:pStyle w:val="52"/>
        <w:spacing w:line="560" w:lineRule="exact"/>
        <w:ind w:firstLine="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color w:val="000000" w:themeColor="text1"/>
          <w:szCs w:val="24"/>
          <w14:textFill>
            <w14:solidFill>
              <w14:schemeClr w14:val="tx1"/>
            </w14:solidFill>
          </w14:textFill>
        </w:rPr>
        <w:t>（5）针对错误数据修正后重报送要求：只针对错误数据报送，不允许对同批次所有数据重新报送；对于错误数据重报送时须要作为单独批次报送。</w:t>
      </w:r>
    </w:p>
    <w:p>
      <w:pPr>
        <w:pStyle w:val="3"/>
        <w:spacing w:before="0" w:after="0" w:line="560" w:lineRule="exact"/>
        <w:rPr>
          <w:rFonts w:ascii="楷体" w:hAnsi="楷体" w:eastAsia="楷体" w:cs="楷体"/>
        </w:rPr>
      </w:pPr>
      <w:r>
        <w:rPr>
          <w:rFonts w:hint="eastAsia" w:ascii="楷体" w:hAnsi="楷体" w:eastAsia="楷体" w:cs="楷体"/>
        </w:rPr>
        <w:t>（六）常见技术问题解答</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修正数据有以下内容：修正数据只能有两种类型：一种是需要删除的数据，一种是需要新增的数据。需要删除的数据放在四级文件夹名为Delete的文件夹中，需要新增的数据放在四级文件夹名为Insert的文件夹中；假如：某天的增量数据中，只有保单投保人procappnt出现一条交易数据错误，这时是只需要将保单交易proctransaction和保单投保人procappnt对应那条原数据生成txt文件，放到delete文件夹，将保单投保人procappnt和保单交易proctransaction对应的那条修正后的数据生成txt文件，放到insert文件夹。请问这样理解处理正确吗？</w:t>
      </w:r>
    </w:p>
    <w:p>
      <w:pPr>
        <w:spacing w:line="560" w:lineRule="exact"/>
      </w:pPr>
      <w:r>
        <w:rPr>
          <w:rFonts w:hint="eastAsia"/>
        </w:rPr>
        <w:t>先delete后insert没有问题，但删除和新增的数据需要符合正常数据报送的要求，即保单交易表必须报送，和保单交易表的交易编码相关联的其他数据的表也需要一同删除和新增。</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保险公司在06：00～16：00数据上传窗口，把数据文件成功上传到了中保信平台，并给平台发送了数据上传成功的通知，这时平台会开始处理数据文件吗？还是要等到对账窗口才开始处理？</w:t>
      </w:r>
    </w:p>
    <w:p>
      <w:pPr>
        <w:spacing w:line="560" w:lineRule="exact"/>
      </w:pPr>
      <w:r>
        <w:rPr>
          <w:rFonts w:hint="eastAsia"/>
        </w:rPr>
        <w:t>数据上传至平台后平台会开始处理文件。不用等到对账，查询结果建议各保险公司半小时查询一次。</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中保信平台方案说明内，有"使用Red Hat 6.4自带的SFTP使用ssh协议，传输加密文件"文字，这不会要求各保险公司的对接系统也需要安装Red Hat 6.4自带的SFTP使用ssh协议，而只要求各保险公司通过SFTP使用ssh协议，上传加密文件包到中保信平台就行吧？</w:t>
      </w:r>
    </w:p>
    <w:p>
      <w:pPr>
        <w:spacing w:line="560" w:lineRule="exact"/>
      </w:pPr>
      <w:r>
        <w:rPr>
          <w:rFonts w:hint="eastAsia"/>
        </w:rPr>
        <w:t>是的，不做要求。</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错误数据上报的时候 保单交易表条数，指的是错误的条数？还是 整个交易日期的所有交易的条数？</w:t>
      </w:r>
    </w:p>
    <w:p>
      <w:pPr>
        <w:spacing w:line="560" w:lineRule="exact"/>
      </w:pPr>
      <w:r>
        <w:rPr>
          <w:rFonts w:hint="eastAsia"/>
        </w:rPr>
        <w:t>如果只是错的，且交易表中 没有错误数据，其它表中各有2个不同交易流水错误。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请问这种情况 报文头中的"</w:t>
      </w:r>
      <w:r>
        <w:fldChar w:fldCharType="begin"/>
      </w:r>
      <w:r>
        <w:instrText xml:space="preserve"> HYPERLINK \l "_接口对象信息描述" </w:instrText>
      </w:r>
      <w:r>
        <w:fldChar w:fldCharType="separate"/>
      </w:r>
      <w:r>
        <w:rPr>
          <w:rFonts w:hint="eastAsia" w:ascii="仿宋" w:hAnsi="仿宋" w:eastAsia="仿宋" w:cs="仿宋"/>
          <w:sz w:val="28"/>
          <w:szCs w:val="28"/>
        </w:rPr>
        <w:t>交易数量对象</w:t>
      </w:r>
      <w:r>
        <w:rPr>
          <w:rFonts w:hint="eastAsia" w:ascii="仿宋" w:hAnsi="仿宋" w:eastAsia="仿宋" w:cs="仿宋"/>
          <w:sz w:val="28"/>
          <w:szCs w:val="28"/>
        </w:rPr>
        <w:fldChar w:fldCharType="end"/>
      </w:r>
      <w:r>
        <w:rPr>
          <w:rFonts w:hint="eastAsia" w:ascii="仿宋" w:hAnsi="仿宋" w:eastAsia="仿宋" w:cs="仿宋"/>
          <w:sz w:val="28"/>
          <w:szCs w:val="28"/>
        </w:rPr>
        <w:t>列表" 应该如何填写？</w:t>
      </w:r>
    </w:p>
    <w:p>
      <w:pPr>
        <w:spacing w:line="560" w:lineRule="exact"/>
      </w:pPr>
      <w:r>
        <w:rPr>
          <w:rFonts w:hint="eastAsia"/>
        </w:rPr>
        <w:t>报送时需要重新报送整个交易的数据，而不是哪个表中有错只报哪个表的。 同一个交易中只要任何一个表有错误就需要重新报送整个交易的数据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什么是修正数据？什么是重报数据？重报数据指存量或增量报送后未通过平台校验的，需要修正后再次报送的数据。修正数据是指明细对账对出来的与平台不一致的需要做修正的数据。增量或存量数据处理导入失败（如：个别字段过长），这种重报数据的处理流程？是否和明细对账失败后的 ，错误的明细数据处理一致，走线下通知，手工改？还是发送重报数据上传成功请求和处理结果查询请求？如果这2者，流程不一致，那么 明细对账失败后修正的数据，是怎样一个文件格式？也是上传F_000000LFAI0000000001_015.zip这种文件包，只是走线下吗？ 还是说重报数据只在明细对账不成功之后才需要做？</w:t>
      </w:r>
    </w:p>
    <w:p>
      <w:pPr>
        <w:spacing w:line="560" w:lineRule="exact"/>
      </w:pPr>
      <w:r>
        <w:rPr>
          <w:rFonts w:hint="eastAsia"/>
        </w:rPr>
        <w:t>对于增量或存量有错误的</w:t>
      </w:r>
    </w:p>
    <w:p>
      <w:pPr>
        <w:spacing w:line="560" w:lineRule="exact"/>
      </w:pPr>
      <w:r>
        <w:rPr>
          <w:rFonts w:hint="eastAsia"/>
        </w:rPr>
        <w:t>如果是线下报送的，则走线下流程。</w:t>
      </w:r>
    </w:p>
    <w:p>
      <w:pPr>
        <w:spacing w:line="560" w:lineRule="exact"/>
      </w:pPr>
      <w:r>
        <w:rPr>
          <w:rFonts w:hint="eastAsia"/>
        </w:rPr>
        <w:t xml:space="preserve">如果是线上报送的，则走重报数据上传成功请求和处理结果查询请求。 </w:t>
      </w:r>
    </w:p>
    <w:p>
      <w:pPr>
        <w:spacing w:line="560" w:lineRule="exact"/>
      </w:pPr>
      <w:r>
        <w:rPr>
          <w:rFonts w:hint="eastAsia"/>
        </w:rPr>
        <w:t>如果是明细对账后修正数据，数据包通过SFTP上传，通过线下方式联系保信，具体修正数据的流程后续保信会出台相关制度。</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附件2-2中，数据检查部分，“钩稽关系”包含哪些？</w:t>
      </w:r>
    </w:p>
    <w:p>
      <w:pPr>
        <w:spacing w:line="560" w:lineRule="exact"/>
      </w:pPr>
      <w:r>
        <w:rPr>
          <w:rFonts w:hint="eastAsia"/>
        </w:rPr>
        <w:t>即保证业务数据完整性，比如各表保单号码和交易编码的关联等。</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定义为增量的文件包：是否只报送前一天的业务数据。如果T+2以前的业务数据，是否就定义为重报类型还是修正类型。</w:t>
      </w:r>
    </w:p>
    <w:p>
      <w:pPr>
        <w:spacing w:line="560" w:lineRule="exact"/>
      </w:pPr>
      <w:r>
        <w:rPr>
          <w:rFonts w:hint="eastAsia"/>
        </w:rPr>
        <w:t>要求所有数据都是T+1日报送，如果由于某种原因导致数据没有按时完成报送，需要线下联系中国保信说明原因，然后通过补报报送接口按照正常数据报送。重报类型只针对上报错误或失败的情况。各公司数据报送情况会按时统计上报保监会进行全行业通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修正数据：是分别生成删除和新增的数据文件。那么修正是修正的一批数据还是一行数据。这个数据操作的标记是打在每一条业务记录上还是独立于某一个表的。</w:t>
      </w:r>
    </w:p>
    <w:p>
      <w:pPr>
        <w:spacing w:line="560" w:lineRule="exact"/>
      </w:pPr>
      <w:r>
        <w:rPr>
          <w:rFonts w:hint="eastAsia"/>
        </w:rPr>
        <w:t>修正数据的报送要求和增量正常数据报送一样的，也需要保证数据的完整性，只是可以删除而已。只要是保单交易表交易号码相关连的数据都需要报送。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请问每次进行处理结果查询，返回的QueryNo（查询码），是否每次交易都是唯一的？</w:t>
      </w:r>
    </w:p>
    <w:p>
      <w:pPr>
        <w:spacing w:line="560" w:lineRule="exact"/>
      </w:pPr>
      <w:r>
        <w:rPr>
          <w:rFonts w:hint="eastAsia"/>
        </w:rPr>
        <w:t>是唯一的。</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文档2-4中国保险业保单登记管理信息平台-数据抽取技术方案说明及接口规范（财）中，3.2.2 存量数据处理结果查询、3.2.4 增量数据处理结果查询类似这种数据处理接口与异步查询接口，请问其查询时间间隔、频率？即上传成功接口发送后，需多久开启查询接口？支持的查询频率?</w:t>
      </w:r>
    </w:p>
    <w:p>
      <w:pPr>
        <w:spacing w:line="560" w:lineRule="exact"/>
      </w:pPr>
      <w:r>
        <w:rPr>
          <w:rFonts w:hint="eastAsia"/>
        </w:rPr>
        <w:t>建议半个小时查询一次，直至成功</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2-4中国保险业保单登记管理信息平台-数据抽取技术方案说明及接口规范（财）3.2.9 明细对账数据上传成功通知问题：请求报文体描述有对账流水号（SerialNo），而范例中描述的是批次号（BatchNo），请问生成明细对账文件是按交易日期，还是按批次号；并且范例中描述的还是保单交易表批次号，我这边就没法理解了，难道一天按批次多次对账？</w:t>
      </w:r>
    </w:p>
    <w:p>
      <w:pPr>
        <w:spacing w:line="560" w:lineRule="exact"/>
      </w:pPr>
      <w:r>
        <w:rPr>
          <w:rFonts w:hint="eastAsia"/>
        </w:rPr>
        <w:t>明细对账是按交易日期，对账流水号（SerialNo）已修改为对账流水号（BatchNo）。</w:t>
      </w:r>
    </w:p>
    <w:p>
      <w:pPr>
        <w:spacing w:line="560" w:lineRule="exact"/>
      </w:pPr>
      <w:r>
        <w:rPr>
          <w:rFonts w:hint="eastAsia"/>
        </w:rPr>
        <w:t>修正报文节点注释内容：将报文中下面部分：</w:t>
      </w:r>
    </w:p>
    <w:p>
      <w:pPr>
        <w:spacing w:line="560" w:lineRule="exact"/>
      </w:pPr>
      <w:r>
        <w:rPr>
          <w:rFonts w:hint="eastAsia"/>
        </w:rPr>
        <w:t>---------------报文内容--------------</w:t>
      </w:r>
    </w:p>
    <w:p>
      <w:pPr>
        <w:spacing w:line="560" w:lineRule="exact"/>
      </w:pPr>
      <w:r>
        <w:rPr>
          <w:rFonts w:hint="eastAsia"/>
        </w:rPr>
        <w:t>……</w:t>
      </w:r>
    </w:p>
    <w:p>
      <w:pPr>
        <w:spacing w:line="560" w:lineRule="exact"/>
      </w:pPr>
      <w:r>
        <w:rPr>
          <w:rFonts w:hint="eastAsia"/>
        </w:rPr>
        <w:t>&lt;!-- 保单交易表批次号 --&gt;</w:t>
      </w:r>
    </w:p>
    <w:p>
      <w:pPr>
        <w:spacing w:line="560" w:lineRule="exact"/>
      </w:pPr>
      <w:r>
        <w:t>&lt;BatchNo&gt;000000LDET0000000001&lt;/BatchNo&gt;</w:t>
      </w:r>
    </w:p>
    <w:p>
      <w:pPr>
        <w:spacing w:line="560" w:lineRule="exact"/>
      </w:pPr>
      <w:r>
        <w:rPr>
          <w:rFonts w:hint="eastAsia"/>
        </w:rPr>
        <w:t>……</w:t>
      </w:r>
    </w:p>
    <w:p>
      <w:pPr>
        <w:spacing w:line="560" w:lineRule="exact"/>
      </w:pPr>
      <w:r>
        <w:rPr>
          <w:rFonts w:hint="eastAsia"/>
        </w:rPr>
        <w:t>---------------报文内容--------------</w:t>
      </w:r>
    </w:p>
    <w:p>
      <w:pPr>
        <w:spacing w:line="560" w:lineRule="exact"/>
      </w:pPr>
      <w:r>
        <w:rPr>
          <w:rFonts w:hint="eastAsia"/>
        </w:rPr>
        <w:t>修正为：</w:t>
      </w:r>
    </w:p>
    <w:p>
      <w:pPr>
        <w:spacing w:line="560" w:lineRule="exact"/>
      </w:pPr>
      <w:r>
        <w:rPr>
          <w:rFonts w:hint="eastAsia"/>
        </w:rPr>
        <w:t>---------------报文内容--------------</w:t>
      </w:r>
    </w:p>
    <w:p>
      <w:pPr>
        <w:spacing w:line="560" w:lineRule="exact"/>
      </w:pPr>
      <w:r>
        <w:rPr>
          <w:rFonts w:hint="eastAsia"/>
        </w:rPr>
        <w:t>……</w:t>
      </w:r>
    </w:p>
    <w:p>
      <w:pPr>
        <w:spacing w:line="560" w:lineRule="exact"/>
      </w:pPr>
      <w:r>
        <w:rPr>
          <w:rFonts w:hint="eastAsia"/>
        </w:rPr>
        <w:t>&lt;!--对账流水号--&gt;</w:t>
      </w:r>
    </w:p>
    <w:p>
      <w:pPr>
        <w:spacing w:line="560" w:lineRule="exact"/>
      </w:pPr>
      <w:r>
        <w:t>&lt;BatchNo&gt;000000LDET0000000001&lt;/BatchNo&gt;</w:t>
      </w:r>
    </w:p>
    <w:p>
      <w:pPr>
        <w:spacing w:line="560" w:lineRule="exact"/>
      </w:pPr>
      <w:r>
        <w:rPr>
          <w:rFonts w:hint="eastAsia"/>
        </w:rPr>
        <w:t>……</w:t>
      </w:r>
    </w:p>
    <w:p>
      <w:pPr>
        <w:spacing w:line="560" w:lineRule="exact"/>
      </w:pPr>
      <w:r>
        <w:rPr>
          <w:rFonts w:hint="eastAsia"/>
        </w:rPr>
        <w:t>---------------报文内容--------------。</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批次号中的流水号，在同一批数据数据里面是相同的还是递增的?也就是存量数据批次号中的流水号都是0000000001,增量数据按批次递增？还是说存量数据批次号中的流水号也是从0000000001开始递增的，这样的话10亿条有可能不够用。</w:t>
      </w:r>
    </w:p>
    <w:p>
      <w:pPr>
        <w:spacing w:line="560" w:lineRule="exact"/>
      </w:pPr>
      <w:r>
        <w:rPr>
          <w:rFonts w:hint="eastAsia"/>
        </w:rPr>
        <w:t>批次号在同一批数据中是相同的。</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增量数据中每次传输过程中如果有失败的记录是需要重新全部传输还是只重新传失败的记录。比如生存金领取记录单个客户当天有15条记录需要上传（同一接口表），但传输时只成功了12条，3条失败，那后续再重新传是传失败的3条还是15条都传。</w:t>
      </w:r>
    </w:p>
    <w:p>
      <w:pPr>
        <w:spacing w:line="560" w:lineRule="exact"/>
      </w:pPr>
      <w:r>
        <w:rPr>
          <w:rFonts w:hint="eastAsia"/>
        </w:rPr>
        <w:t>全部重报还是只报送错误数据主要看错误率是否大于等于10%，如果小于10%则只报送错误的数据。错误数据是按照交易统计，即同一交易编码的数据无论是成功还是失败必须完整，即有一个表的数据报送错误，则同一交易的其他表数据也同时错误。不存在生存金部分成功的情况。</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各个接口表里边的交易编码是否有关联，批次号是否有关联，即同一次变更交易编码和批次号是否需要相同。</w:t>
      </w:r>
    </w:p>
    <w:p>
      <w:pPr>
        <w:spacing w:line="560" w:lineRule="exact"/>
      </w:pPr>
      <w:r>
        <w:rPr>
          <w:rFonts w:hint="eastAsia"/>
        </w:rPr>
        <w:t>每个交易引起的数据变化，应该在通过一个交易编码报送，各表的数据通过交易编码相关联。</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批次处理结果码描述给了三个状态分别是：0000成功、0001进行中、0002失败，我们想知道存量、增量、重报、明细上传成功通知接口会返回“0001进行中”状态吗？以及什么情况下会返回“0002失败”状态？</w:t>
      </w:r>
    </w:p>
    <w:p>
      <w:pPr>
        <w:spacing w:line="560" w:lineRule="exact"/>
      </w:pPr>
      <w:r>
        <w:rPr>
          <w:rFonts w:hint="eastAsia"/>
        </w:rPr>
        <w:t>存量、增量、重报、明细上传成功通知接口不会返回“0001进行中”状态。“0001进行中”状态是用在处理结果查询接口中。“0002失败”是指请求报文中内容和上传文件有不一致情况或者数据处理失败的情况下，如：MD5码有问题，或者数据解压、导入数据库有问题等。</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调用webservice接口时，我们是不是都要调用getResult这个方法，只是根据各个接口的不同，所传的参数即对应的document不同</w:t>
      </w:r>
    </w:p>
    <w:p>
      <w:pPr>
        <w:spacing w:line="560" w:lineRule="exact"/>
      </w:pPr>
      <w:r>
        <w:rPr>
          <w:rFonts w:hint="eastAsia"/>
        </w:rPr>
        <w:t>所有接口只调用‘getResult’方法，此处根据请求类型不同在服务端内部转发。</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通知接口中，文件MD5码具体指的是什么？是否是前四个字段进行拼接的MD5码？</w:t>
      </w:r>
    </w:p>
    <w:p>
      <w:pPr>
        <w:spacing w:line="560" w:lineRule="exact"/>
      </w:pPr>
      <w:r>
        <w:rPr>
          <w:rFonts w:hint="eastAsia"/>
        </w:rPr>
        <w:t>答复：</w:t>
      </w:r>
    </w:p>
    <w:p>
      <w:pPr>
        <w:spacing w:line="560" w:lineRule="exact"/>
      </w:pPr>
      <w:r>
        <w:rPr>
          <w:rFonts w:hint="eastAsia"/>
        </w:rPr>
        <w:t>MD5码是根据上传zip包计算的MD5值，具体参考Linux MD5计算命令。</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增量结果查询接口的返回报文头中流水号节点为SerialNoRes，接口文件中的节点为SerialNo，请问是按那个为准。</w:t>
      </w:r>
    </w:p>
    <w:p>
      <w:pPr>
        <w:spacing w:line="560" w:lineRule="exact"/>
      </w:pPr>
      <w:r>
        <w:rPr>
          <w:rFonts w:hint="eastAsia"/>
        </w:rPr>
        <w:t>以SerialNo为准，目前已经修正。</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如果批次数据上传时，个别指标表没有记录，是上传个空文件还是无需上传文件，如果指标表无记录对账时KPI指标是如何处理，也不发送还是对账数据指标为零。</w:t>
      </w:r>
    </w:p>
    <w:p>
      <w:pPr>
        <w:spacing w:line="560" w:lineRule="exact"/>
      </w:pPr>
      <w:r>
        <w:rPr>
          <w:rFonts w:hint="eastAsia"/>
        </w:rPr>
        <w:t>无需上传文件，对账指标为0。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21. 汇总对账时状态返回“未知”，错误描述为“报文长度或格式错误”是什么问题？</w:t>
      </w:r>
    </w:p>
    <w:p>
      <w:pPr>
        <w:spacing w:line="560" w:lineRule="exact"/>
      </w:pPr>
      <w:r>
        <w:rPr>
          <w:rFonts w:hint="eastAsia"/>
        </w:rPr>
        <w:t>报文长度8000是是指请求报文整个长度不能超过8000，为了避免报文超长，大家在请求接口时，请将报文中的空白符去掉，空白符包括空格,制表符(tab)、回车符、换行符等。</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查询处理结果：“0002”；错误信息文件下载路径：“未获取错误文件”；错误率：0；无错误日志。</w:t>
      </w:r>
    </w:p>
    <w:p>
      <w:pPr>
        <w:spacing w:line="560" w:lineRule="exact"/>
      </w:pPr>
      <w:r>
        <w:rPr>
          <w:rFonts w:hint="eastAsia"/>
        </w:rPr>
        <w:t>此种原因可能有两种情况导致：①报文中交易条数与文件包中的保单交易表中条数对不上，②文件包目录结构不符合要求。</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MD5码校验失败是什麽原因？查询码是多少位？</w:t>
      </w:r>
    </w:p>
    <w:p>
      <w:pPr>
        <w:spacing w:line="560" w:lineRule="exact"/>
      </w:pPr>
      <w:r>
        <w:rPr>
          <w:rFonts w:hint="eastAsia"/>
        </w:rPr>
        <w:t>报文中MD5码是32位，核实生成的MD5码位数。同时，MD5码要小写，查询码为37位。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报送上传成功通知中，Msg（错误描述）是否不会详细描述错误，而要上报处理结果查询才能知道具体的错误数据情况。</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数据的错误在返回的txt文件中。</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获取通知结果，若返回“部分成功”，那么成功的数据是以一条交易完整记录（含多表）为基础，还是以交易中的表为基础？比如：一个批次：有10个交易。若返回“部分成功”，假设有8个成功，2个失败。这2个失败，是交易表以及关联的所有表都不会保存到平台，还是指这2个交易的某些表是保存了的，某些是不保存的？</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是交易表以及关联的所有表都不会保存到平台。</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可以为空的字段是否不用报送？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数据模型中可为空字段，保险公司业务系统有值则必须提取，不能为空。</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报文体中“</w:t>
      </w:r>
      <w:r>
        <w:fldChar w:fldCharType="begin"/>
      </w:r>
      <w:r>
        <w:instrText xml:space="preserve"> HYPERLINK \l "_接口对象信息描述" </w:instrText>
      </w:r>
      <w:r>
        <w:fldChar w:fldCharType="separate"/>
      </w:r>
      <w:r>
        <w:rPr>
          <w:rFonts w:hint="eastAsia" w:ascii="仿宋" w:hAnsi="仿宋" w:eastAsia="仿宋" w:cs="仿宋"/>
          <w:sz w:val="28"/>
          <w:szCs w:val="28"/>
        </w:rPr>
        <w:t>交易数量对象</w:t>
      </w:r>
      <w:r>
        <w:rPr>
          <w:rFonts w:hint="eastAsia" w:ascii="仿宋" w:hAnsi="仿宋" w:eastAsia="仿宋" w:cs="仿宋"/>
          <w:sz w:val="28"/>
          <w:szCs w:val="28"/>
        </w:rPr>
        <w:fldChar w:fldCharType="end"/>
      </w:r>
      <w:r>
        <w:rPr>
          <w:rFonts w:hint="eastAsia" w:ascii="仿宋" w:hAnsi="仿宋" w:eastAsia="仿宋" w:cs="仿宋"/>
          <w:sz w:val="28"/>
          <w:szCs w:val="28"/>
        </w:rPr>
        <w:t>列表”该如何填写？</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若只报送3张表的数据，那么</w:t>
      </w:r>
      <w:r>
        <w:fldChar w:fldCharType="begin"/>
      </w:r>
      <w:r>
        <w:instrText xml:space="preserve"> HYPERLINK \l "_接口对象信息描述" </w:instrText>
      </w:r>
      <w:r>
        <w:fldChar w:fldCharType="separate"/>
      </w:r>
      <w:r>
        <w:rPr>
          <w:rFonts w:hint="eastAsia" w:asciiTheme="minorEastAsia" w:hAnsiTheme="minorEastAsia" w:eastAsiaTheme="minorEastAsia" w:cstheme="minorEastAsia"/>
        </w:rPr>
        <w:t>交易数量对象</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列表中&lt; TableName &gt;及&lt; TableDateCount &gt;标签需要填写这3张表的表名及数据量，并且其余211张表也需要填写进去，只有&lt; TableDateCount &gt;标签填写为0。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影像文件该如何报送？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若公司有影像文件数据，那么需要按照“</w:t>
      </w:r>
      <w:r>
        <w:fldChar w:fldCharType="begin"/>
      </w:r>
      <w:r>
        <w:instrText xml:space="preserve"> HYPERLINK \l "_数据文本文件命名规则" </w:instrText>
      </w:r>
      <w:r>
        <w:fldChar w:fldCharType="separate"/>
      </w:r>
      <w:r>
        <w:rPr>
          <w:rFonts w:hint="eastAsia" w:asciiTheme="minorEastAsia" w:hAnsiTheme="minorEastAsia" w:eastAsiaTheme="minorEastAsia" w:cstheme="minorEastAsia"/>
        </w:rPr>
        <w:t>数据文件命名规则</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”的模式上传影像文件及业务数据。若公司没有影像文件数据，需要跟中国保信运营说明保险公司实际情况。</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对于数据入库装载时返回错误处理的几点建议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1.保险公司在上传数据时，数据文件包应严格遵循文档要求小于文档规定值；</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2.为了便于查询在装载时出现的各种问题 ，例如：MD5码错误、校验错误、唯一性校验等错误。请各公司在上传数据包时不应过大。</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3.类似交易编码重复的问题，错误文件中的描述仅限于提示重复项，应结合下发文档检查数据包来对比核查是否重复。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30. 关于保单登记平台保险公司端SFTP连接情况监控和服务器空间维护的通知</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近期个别保险公司出现SFTP无法连接以及上传数据失败的问题。经排查，导致两个问题的原因分别是保险公司专线机SFTP连接数过高，以及上传服务器空间不足。</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为确保数据正常报送，请各保险公司务必对SFTP连接数进行监控并及时释放，确保连接数在500以内。同时，注意监控服务器空间，定期清理上传/下载服务器，保持服务器空间大于60%。</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31. 批次上传后，查询结果平台返回报文显示一直在装载中问题的特别说明</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请注意数据包上传规范，在上传数据包时应注意以下问题，上传数据包中保单交易信息模块的保单交易表内总条数应大于0（即ProCTransaction中count＞0），凡保单交易信息模块中保单交易表内总条数小于等于0（即ProCTransaction中count≤0）的批次禁止上传。</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32. 关于保单登记平台三期影像文件报送要求的说明</w:t>
      </w:r>
    </w:p>
    <w:p>
      <w:pPr>
        <w:widowControl/>
        <w:shd w:val="clear" w:color="auto" w:fill="FFFFFF"/>
        <w:spacing w:line="560" w:lineRule="exact"/>
        <w:ind w:firstLine="560"/>
        <w:rPr>
          <w:rFonts w:ascii="宋体" w:hAnsi="宋体" w:cs="Calibri"/>
          <w:szCs w:val="21"/>
        </w:rPr>
      </w:pPr>
      <w:r>
        <w:rPr>
          <w:rFonts w:hint="eastAsia" w:ascii="宋体" w:hAnsi="宋体" w:cs="Calibri"/>
          <w:szCs w:val="21"/>
        </w:rPr>
        <w:t>近期部分公司在报送影像数据文件时，平台返回了“文件路径在影像文件信息映射表中存在校验失败”、“文件大小在影像文件信息映射表中存在校验失败”的错误，经查明是由于报送的影像文件路径和文件大小有误导致。请各保险公司务必按照正确的文件路径及文件大小要求报送数据，具体要求如下：</w:t>
      </w:r>
    </w:p>
    <w:p>
      <w:pPr>
        <w:widowControl/>
        <w:shd w:val="clear" w:color="auto" w:fill="FFFFFF"/>
        <w:spacing w:line="560" w:lineRule="exact"/>
        <w:ind w:firstLine="420"/>
        <w:rPr>
          <w:rFonts w:ascii="宋体" w:hAnsi="宋体" w:cs="Calibri"/>
          <w:szCs w:val="21"/>
        </w:rPr>
      </w:pPr>
      <w:r>
        <w:rPr>
          <w:rFonts w:ascii="宋体" w:hAnsi="宋体" w:cs="Calibri"/>
          <w:szCs w:val="21"/>
        </w:rPr>
        <w:t>1.</w:t>
      </w:r>
      <w:r>
        <w:rPr>
          <w:rFonts w:hint="eastAsia" w:ascii="宋体" w:hAnsi="宋体" w:cs="Calibri"/>
          <w:szCs w:val="21"/>
        </w:rPr>
        <w:t>影像文件路径：</w:t>
      </w:r>
    </w:p>
    <w:p>
      <w:pPr>
        <w:widowControl/>
        <w:shd w:val="clear" w:color="auto" w:fill="FFFFFF"/>
        <w:spacing w:line="560" w:lineRule="exact"/>
        <w:ind w:firstLine="420"/>
        <w:rPr>
          <w:rFonts w:ascii="宋体" w:hAnsi="宋体" w:cs="Calibri"/>
          <w:szCs w:val="21"/>
        </w:rPr>
      </w:pPr>
      <w:r>
        <w:rPr>
          <w:rFonts w:hint="eastAsia" w:ascii="宋体" w:hAnsi="宋体" w:cs="Calibri"/>
          <w:szCs w:val="21"/>
        </w:rPr>
        <w:t>（</w:t>
      </w:r>
      <w:r>
        <w:rPr>
          <w:rFonts w:ascii="宋体" w:hAnsi="宋体" w:cs="Calibri"/>
          <w:szCs w:val="21"/>
        </w:rPr>
        <w:t>1</w:t>
      </w:r>
      <w:r>
        <w:rPr>
          <w:rFonts w:hint="eastAsia" w:ascii="宋体" w:hAnsi="宋体" w:cs="Calibri"/>
          <w:szCs w:val="21"/>
        </w:rPr>
        <w:t>）承保影像文件地址：</w:t>
      </w:r>
      <w:r>
        <w:rPr>
          <w:rFonts w:ascii="宋体" w:hAnsi="宋体" w:cs="Calibri"/>
          <w:szCs w:val="21"/>
        </w:rPr>
        <w:t>/</w:t>
      </w:r>
      <w:r>
        <w:rPr>
          <w:rFonts w:hint="eastAsia" w:ascii="宋体" w:hAnsi="宋体" w:cs="Calibri"/>
          <w:szCs w:val="21"/>
        </w:rPr>
        <w:t>公司编码</w:t>
      </w:r>
      <w:r>
        <w:rPr>
          <w:rFonts w:ascii="宋体" w:hAnsi="宋体" w:cs="Calibri"/>
          <w:szCs w:val="21"/>
        </w:rPr>
        <w:t>/</w:t>
      </w:r>
      <w:r>
        <w:rPr>
          <w:rFonts w:hint="eastAsia" w:ascii="宋体" w:hAnsi="宋体" w:cs="Calibri"/>
          <w:szCs w:val="21"/>
        </w:rPr>
        <w:t>批次号</w:t>
      </w:r>
      <w:r>
        <w:rPr>
          <w:rFonts w:ascii="宋体" w:hAnsi="宋体" w:cs="Calibri"/>
          <w:szCs w:val="21"/>
        </w:rPr>
        <w:t>_Image/</w:t>
      </w:r>
      <w:r>
        <w:rPr>
          <w:rFonts w:hint="eastAsia" w:ascii="宋体" w:hAnsi="宋体" w:cs="Calibri"/>
          <w:szCs w:val="21"/>
        </w:rPr>
        <w:t>保单号</w:t>
      </w:r>
    </w:p>
    <w:p>
      <w:pPr>
        <w:widowControl/>
        <w:shd w:val="clear" w:color="auto" w:fill="FFFFFF"/>
        <w:spacing w:line="560" w:lineRule="exact"/>
        <w:ind w:firstLine="420"/>
        <w:rPr>
          <w:rFonts w:ascii="宋体" w:hAnsi="宋体" w:cs="Calibri"/>
          <w:szCs w:val="21"/>
        </w:rPr>
      </w:pPr>
      <w:r>
        <w:rPr>
          <w:rFonts w:hint="eastAsia" w:ascii="宋体" w:hAnsi="宋体" w:cs="Calibri"/>
          <w:szCs w:val="21"/>
        </w:rPr>
        <w:t>（</w:t>
      </w:r>
      <w:r>
        <w:rPr>
          <w:rFonts w:ascii="宋体" w:hAnsi="宋体" w:cs="Calibri"/>
          <w:szCs w:val="21"/>
        </w:rPr>
        <w:t>2</w:t>
      </w:r>
      <w:r>
        <w:rPr>
          <w:rFonts w:hint="eastAsia" w:ascii="宋体" w:hAnsi="宋体" w:cs="Calibri"/>
          <w:szCs w:val="21"/>
        </w:rPr>
        <w:t>）理赔影像文件地址：</w:t>
      </w:r>
      <w:r>
        <w:rPr>
          <w:rFonts w:ascii="宋体" w:hAnsi="宋体" w:cs="Calibri"/>
          <w:szCs w:val="21"/>
        </w:rPr>
        <w:t>/</w:t>
      </w:r>
      <w:r>
        <w:rPr>
          <w:rFonts w:hint="eastAsia" w:ascii="宋体" w:hAnsi="宋体" w:cs="Calibri"/>
          <w:szCs w:val="21"/>
        </w:rPr>
        <w:t>公司编码</w:t>
      </w:r>
      <w:r>
        <w:rPr>
          <w:rFonts w:ascii="宋体" w:hAnsi="宋体" w:cs="Calibri"/>
          <w:szCs w:val="21"/>
        </w:rPr>
        <w:t>/</w:t>
      </w:r>
      <w:r>
        <w:rPr>
          <w:rFonts w:hint="eastAsia" w:ascii="宋体" w:hAnsi="宋体" w:cs="Calibri"/>
          <w:szCs w:val="21"/>
        </w:rPr>
        <w:t>批次号</w:t>
      </w:r>
      <w:r>
        <w:rPr>
          <w:rFonts w:ascii="宋体" w:hAnsi="宋体" w:cs="Calibri"/>
          <w:szCs w:val="21"/>
        </w:rPr>
        <w:t>_Image/</w:t>
      </w:r>
      <w:r>
        <w:rPr>
          <w:rFonts w:hint="eastAsia" w:ascii="宋体" w:hAnsi="宋体" w:cs="Calibri"/>
          <w:szCs w:val="21"/>
        </w:rPr>
        <w:t>保单号</w:t>
      </w:r>
      <w:r>
        <w:rPr>
          <w:rFonts w:ascii="宋体" w:hAnsi="宋体" w:cs="Calibri"/>
          <w:szCs w:val="21"/>
        </w:rPr>
        <w:t>_</w:t>
      </w:r>
      <w:r>
        <w:rPr>
          <w:rFonts w:hint="eastAsia" w:ascii="宋体" w:hAnsi="宋体" w:cs="Calibri"/>
          <w:szCs w:val="21"/>
        </w:rPr>
        <w:t>赔案号</w:t>
      </w:r>
    </w:p>
    <w:p>
      <w:pPr>
        <w:widowControl/>
        <w:shd w:val="clear" w:color="auto" w:fill="FFFFFF"/>
        <w:spacing w:line="560" w:lineRule="exact"/>
        <w:ind w:firstLine="420"/>
        <w:rPr>
          <w:rFonts w:ascii="宋体" w:hAnsi="宋体" w:cs="Calibri"/>
          <w:szCs w:val="21"/>
        </w:rPr>
      </w:pPr>
      <w:r>
        <w:rPr>
          <w:rFonts w:ascii="宋体" w:hAnsi="宋体" w:cs="Calibri"/>
          <w:szCs w:val="21"/>
        </w:rPr>
        <w:t>2.</w:t>
      </w:r>
      <w:r>
        <w:rPr>
          <w:rFonts w:hint="eastAsia" w:ascii="宋体" w:hAnsi="宋体" w:cs="Calibri"/>
          <w:szCs w:val="21"/>
        </w:rPr>
        <w:t>影像文件大小：对文件大小取整（非四舍五入），例如</w:t>
      </w:r>
      <w:r>
        <w:rPr>
          <w:rFonts w:ascii="宋体" w:hAnsi="宋体" w:cs="Calibri"/>
          <w:szCs w:val="21"/>
        </w:rPr>
        <w:t>270.56KB</w:t>
      </w:r>
      <w:r>
        <w:rPr>
          <w:rFonts w:hint="eastAsia" w:ascii="宋体" w:hAnsi="宋体" w:cs="Calibri"/>
          <w:szCs w:val="21"/>
        </w:rPr>
        <w:t>，取整后为</w:t>
      </w:r>
      <w:r>
        <w:rPr>
          <w:rFonts w:ascii="宋体" w:hAnsi="宋体" w:cs="Calibri"/>
          <w:szCs w:val="21"/>
        </w:rPr>
        <w:t>270KB</w:t>
      </w:r>
    </w:p>
    <w:p>
      <w:pPr>
        <w:widowControl/>
        <w:shd w:val="clear" w:color="auto" w:fill="FFFFFF"/>
        <w:spacing w:line="560" w:lineRule="exact"/>
        <w:ind w:firstLine="560"/>
        <w:rPr>
          <w:rFonts w:ascii="宋体" w:hAnsi="宋体" w:cs="Calibri"/>
          <w:szCs w:val="21"/>
        </w:rPr>
      </w:pPr>
      <w:r>
        <w:rPr>
          <w:rFonts w:hint="eastAsia" w:ascii="宋体" w:hAnsi="宋体" w:cs="Calibri"/>
          <w:szCs w:val="21"/>
        </w:rPr>
        <w:t>如影像文件数据报送过程中遇到其他问题，请随时与平台沟通。</w:t>
      </w:r>
    </w:p>
    <w:p>
      <w:pPr>
        <w:widowControl/>
        <w:shd w:val="clear" w:color="auto" w:fill="FFFFFF"/>
        <w:spacing w:line="560" w:lineRule="exact"/>
        <w:ind w:firstLine="560"/>
        <w:rPr>
          <w:rFonts w:ascii="宋体" w:hAnsi="宋体" w:cs="Calibri"/>
          <w:szCs w:val="21"/>
        </w:rPr>
      </w:pPr>
      <w:r>
        <w:rPr>
          <w:rFonts w:hint="eastAsia" w:ascii="宋体" w:hAnsi="宋体" w:cs="Calibri"/>
          <w:szCs w:val="21"/>
        </w:rPr>
        <w:t>注意：数据包在中转服务器解压后，如果文件名称是中文，会导致生成乱码，所以上传影像文件时，请确保影像文件名为英文。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33. 数据脱敏后，以“*”号来代替，但却会导致装载失败，如何解决？</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首先，平台模型文档和FAQ中有明确说明，不得存在含“*”号在内的一些特殊字符或乱码，其次，保险公司应向平台传送原始、真实、完整的交易数据。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34. 导致“数据文件不符合要求”的特殊字符有哪些？</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答复：根据目前保险公司的反馈，可导致“数据文件不符合要求”的特殊字符有“\”，“/”，“|”及换行符（回车）。</w:t>
      </w: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spacing w:line="560" w:lineRule="exact"/>
        <w:rPr>
          <w:rFonts w:asciiTheme="minorEastAsia" w:hAnsiTheme="minorEastAsia" w:eastAsiaTheme="minorEastAsia" w:cstheme="minorEastAsia"/>
        </w:rPr>
      </w:pPr>
    </w:p>
    <w:p>
      <w:pPr>
        <w:rPr>
          <w:rFonts w:ascii="黑体" w:hAnsi="黑体" w:eastAsia="黑体" w:cs="黑体"/>
        </w:rPr>
      </w:pPr>
      <w:r>
        <w:rPr>
          <w:rFonts w:hint="eastAsia" w:ascii="黑体" w:hAnsi="黑体" w:eastAsia="黑体" w:cs="黑体"/>
        </w:rPr>
        <w:br w:type="page"/>
      </w:r>
    </w:p>
    <w:p>
      <w:pPr>
        <w:pStyle w:val="37"/>
        <w:spacing w:before="0" w:after="0" w:line="560" w:lineRule="exact"/>
        <w:jc w:val="both"/>
        <w:rPr>
          <w:rFonts w:ascii="黑体" w:hAnsi="黑体" w:eastAsia="黑体" w:cs="黑体"/>
          <w:b w:val="0"/>
          <w:bCs w:val="0"/>
        </w:rPr>
      </w:pPr>
      <w:r>
        <w:rPr>
          <w:rFonts w:hint="eastAsia" w:ascii="黑体" w:hAnsi="黑体" w:eastAsia="黑体" w:cs="黑体"/>
          <w:b w:val="0"/>
          <w:bCs w:val="0"/>
        </w:rPr>
        <w:t>第四篇：常见运营问题篇</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 如果错误率小于10%则只需要再次报送修正后的错误数据，走哪个接口?重报or补报？</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增量数据发生数据错误时，走补报接口，补报接口如何使用详见《2-4中国保险业保单登记管理信息平台（第三期）-数据抽取技术方案说明及接口规范（财）.doc》3.3.2补报说明代码。存量数据发生数据错误时，继续使用存量接口报送数据。只有在明细对账失败后数据修正完毕后才开始进行重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 生成多个压缩包时，上传成功通知接口需要调用几次接口，因为接口定义中有压缩包的文件名称。</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一个压缩包调用一次接口。</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 要求补报时，我们如何获知需要补报的数据范围？</w:t>
      </w:r>
    </w:p>
    <w:p>
      <w:pPr>
        <w:pStyle w:val="52"/>
        <w:spacing w:line="560" w:lineRule="exact"/>
        <w:ind w:firstLine="0" w:firstLineChars="0"/>
        <w:rPr>
          <w:rFonts w:ascii="宋体" w:hAnsi="宋体"/>
          <w:b/>
        </w:rPr>
      </w:pPr>
      <w:r>
        <w:rPr>
          <w:rFonts w:hint="eastAsia" w:ascii="宋体" w:hAnsi="宋体"/>
          <w:b/>
        </w:rPr>
        <w:t>答复：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只有在未按照T+1规则上报数据与数据装载错误的时候才会有补报场景。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 数据装载或校验错误后，补报（pth），是补报完整的交易对应的所有的表，还是只报错误的表？</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补报没有入库的所有数据。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5. 数据修正需要提交哪些材料？</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运维服务平台提交数据修正申请需上传3个附件：</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WORD版修正申请单：文件命名为“修正流水号-公司名称四字缩写”；必须勾选修正类型；表中的各项信息正确完整填写。</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PDF版修正申请单：文件命名为“修正流水号-公司名称四字缩写”；加盖总公司公章，扫描成彩色PDF文档；PDF文件只能有一个（扫描成多份的，需自行整合为一份）。</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TXT文件：针对不同修正类型按要求生成。</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6. 请问每个公司上传服务器空间是多大？如何了解目前空间大小？</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基本每个公司上传服务器空间是300G，估算一下里边的文件总合就知道可用空间大小了。</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7. 修正申请单今天寄出了，大概什么时候可以进行数据修正？</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收到纸质的修正申请之后开始进入数据修正流程。数据修正流程会审核文档正确性、修正原因、修正批次的状态，所以比较慢。请耐心等待。可以等待期内组织准备新批次的数据，以便随时开展重、补报工作。</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8. 必须要盖章？流程严格复杂，周期长，为了问题及时解决，能否省略加盖公章步骤？</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提交运维平台申请修正单，会要求加盖总公司公章，是因为数据修正需要保险公司总公司确认数据无效或不符合规范的原因删除后重新报送。保信都会留存申请表，以便查询。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9. 我公司由于生产报数中数据出现问题，我们整理一下数据，想在测试环境中测试一下数据，查询到数据无法装载，请问，联调环境是不是不开放？</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您好，目前联调环境只针对新公司申请接入测试接口，贵司已通过联调，暂时不予开放。为了数据安全性考虑，联调环境不能上传任何生产环境的数据。</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10. 数据治理过程中，发现问题数据量过大应如何报送？</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如保险公司在数据治理过程中，发现问题数据量过大，需要通过存量接口重新报送全部数据，请申请开通存量接口， 开通存量接口重新报送数据，相当于重新进行一次历史数据报送，报送要求参见二期上线时报送存量数据的要求。本次历史数据提取日期可以是取数逻辑调整完成后的日期，需要将本次历史数据提取日期前的数据全部重新报送一遍。同时，请提交数据修正申请单，请在申请单中列明需要删除的批次号，批次号为历史数据提取日期前报送至平台的批次。保险公司通过存量接口重新报送数据和平台处理保险公司提起数据修正申请互不影响，还请尽快通过存量接口报数。注：邮件中的两个附件都需要由保险公司数据报送和质量管理负责人（公司级领导）签字并加盖总公司公章。请将申请表或确认单的扫描件发送至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.com.cn，纸质版寄送至如下地址：北京市石景山区实兴大街30号院1号楼  收件人：袁玥  电话：010-88195679</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11. 由于数据治理后需开通存量接口上传数据的特殊时期，应如何进行汇总对账？</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部分公司因数据治理需要通过存量接口重新报送数据，按文档规定，数据上传流程终止于汇总对账成功无差异。由于数据治理情况特殊，因此，目前只要存量数据上传完成且装载完全成功即可，可暂不进行汇总对账！汇总对账可在后续操作完成后进行。 </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12. 在运维服务平台提交任务审核不通过，原因是“未选择所属版本”，修改任务添加时却无法操作的解决方式。</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运维服务平台提交任务时，应在提交任务前确认必填选项已选择，如审核不通过原因为“未选择所属版本”时，应重新建立新的任务并选择相应的选项和填写相应的内容。</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13. 保单交易表中的交易编码字段-说明解释：</w:t>
      </w:r>
    </w:p>
    <w:p>
      <w:pPr>
        <w:spacing w:line="560" w:lineRule="exac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rPr>
        <w:t>上传数据时，应遵循模型的要求：</w:t>
      </w:r>
      <w:r>
        <w:rPr>
          <w:rFonts w:hint="eastAsia" w:asciiTheme="minorEastAsia" w:hAnsiTheme="minorEastAsia" w:eastAsiaTheme="minorEastAsia" w:cstheme="minorEastAsia"/>
          <w:b/>
          <w:color w:val="FF0000"/>
        </w:rPr>
        <w:t>公司编码+日期（YYYYMMDD）+14位流水，流水号是每天的流水号，每天都是从“00000000000001”开始。其中日期为交易编码产生时当前的系统日期。切记不得随意变更日期，保持数据的真实，完整。</w:t>
      </w:r>
      <w:r>
        <w:rPr>
          <w:rFonts w:hint="eastAsia" w:asciiTheme="minorEastAsia" w:hAnsiTheme="minorEastAsia" w:eastAsiaTheme="minorEastAsia" w:cstheme="minorEastAsia"/>
          <w:color w:val="000000" w:themeColor="text1"/>
          <w14:textFill>
            <w14:solidFill>
              <w14:schemeClr w14:val="tx1"/>
            </w14:solidFill>
          </w14:textFill>
        </w:rPr>
        <w:t>如特定情况下需区分交易编码，请修改流水号来区别即可。</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14. 在运维平台提交数据修正申请单时，支持的批次类型都有哪些？</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行业各公司在运台提交修正申请单时，应注意，平台数据修正只包含以下</w:t>
      </w:r>
      <w:r>
        <w:rPr>
          <w:rFonts w:hint="eastAsia" w:asciiTheme="minorEastAsia" w:hAnsiTheme="minorEastAsia" w:eastAsiaTheme="minorEastAsia" w:cstheme="minorEastAsia"/>
          <w:color w:val="000000" w:themeColor="text1"/>
          <w14:textFill>
            <w14:solidFill>
              <w14:schemeClr w14:val="tx1"/>
            </w14:solidFill>
          </w14:textFill>
        </w:rPr>
        <w:t>批次类型</w:t>
      </w:r>
      <w:r>
        <w:rPr>
          <w:rFonts w:hint="eastAsia" w:asciiTheme="minorEastAsia" w:hAnsiTheme="minorEastAsia" w:eastAsiaTheme="minorEastAsia" w:cstheme="minorEastAsia"/>
        </w:rPr>
        <w:t>，即存量（PHIS）、增量（PINC）、重报（PFAI）、补报（PPTH），但</w:t>
      </w:r>
      <w:r>
        <w:rPr>
          <w:rFonts w:hint="eastAsia" w:asciiTheme="minorEastAsia" w:hAnsiTheme="minorEastAsia" w:eastAsiaTheme="minorEastAsia" w:cstheme="minorEastAsia"/>
          <w:b/>
          <w:color w:val="FF0000"/>
        </w:rPr>
        <w:t>明细对账（PDET）不包含在内</w:t>
      </w:r>
      <w:r>
        <w:rPr>
          <w:rFonts w:hint="eastAsia" w:asciiTheme="minorEastAsia" w:hAnsiTheme="minorEastAsia" w:eastAsiaTheme="minorEastAsia" w:cstheme="minorEastAsia"/>
        </w:rPr>
        <w:t>。请行业各公司注意区分。</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15. 关于维护清理各保险公司上传/下载服务器的通知</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答：请注意：近期保单登记平台发现部分公司在数据上报时出现异常，导致数据无法正常上传，下载服务器无法正常推送错误文件。经排查，此类问题与保险公司上传/下载服务器空间容量达100%有关。请各保险公司务必定期自行维护清理本司上传/下载服务器，保持容量充足，确保数据正常上传/下载。</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16. 平台对证书申请及更新方式进行了变更，请各保险公司遵照执行，如有新的申请或数字证书更新，可使用新版本进行申请和变更！</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答：数字证书申请及变更说明，各保险公司向中国保信申请数字证书需提交2份文件：一是数字证书申请表（详见附件4）。该申请表为纸本形式，一式一份，由保险公司填写相关信息并签字盖章，提交给中国保信人员存档。二是数字证书申请文件。该文件为采用PKCS#10标准格式的电子文件，由保险公司通过本地的硬件密码设备产生，申请证书的主题信息格式参见附件5。中国保信人员确认申请信息完备后，根据该电子文件制发数字证书。以相应的邮件、U盘等形式把数字证书返回给保险公司，保险公司自行将数字证书导入到本公司用于数字签名的硬件密码设备中。</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数字证书申请及变更操作流程如下：</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1.保险公司确定本公司数字证书申请联系人，负责数字证书的申请、变更和使用。</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2.保险公司证书申请负责人按照附件一格式，填写“数字证书申请表”。申请表可现场提交，也可通过快递发至中国保信（收件人信息为详见下文第7条）。申请书扫描件（PDF文档）需同步提交至bddj@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保险公司证书申请负责人在本地用于数字签名的硬件密码设备中生成数字证书申请文件（格式满足PKCS#10标准格式），密钥算法为国密算法SM2，密钥长度为256位。保险公司需填写“保险公司名称”、“组织机构代码”字段，其他字段按照附件二给出的内容填写。电子申请文件可提交至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.com.cn，也可通过U盘现场提交。</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4.中国保信制证人员审核确认“数字证书申请表”、“数字证书申请文件”，确认无误后，制发数字证书（生成扩展名为.p7b格式文件），并以相应的邮件、U盘等形式把数字证书返回给保险公司。</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5.保险公司数字证书申请责任人将证书导入本单位用于数字签名的硬件密码设备，并确认导入成功。</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6.保险公司从证书受理点领取数字证书起，应对该证书的使用进行严格管理。如出现更新、停用、恢复、撤销等证书变更需求，应按照附件6格式，填写“单位数字证书更新／停用／恢复／撤销申请表”，并邮寄至中国保信联系人。</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7.中国保信人员及联系方式：</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申请接收邮箱: 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申请接收地址: 北京市石景山区实兴大街30号院1号楼中国保信，邮编100144</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收件人：袁玥       联系电话：010-88195679</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17. 目前，平台三期咨询问题主要以邮件提交为主，请问发送咨询邮件时，主题是否有要求？</w:t>
      </w:r>
    </w:p>
    <w:p>
      <w:pPr>
        <w:spacing w:line="560" w:lineRule="exact"/>
        <w:ind w:right="48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答：是</w:t>
      </w:r>
      <w:r>
        <w:rPr>
          <w:rFonts w:ascii="宋体" w:hAnsi="宋体"/>
          <w:color w:val="000000" w:themeColor="text1"/>
          <w:szCs w:val="21"/>
          <w14:textFill>
            <w14:solidFill>
              <w14:schemeClr w14:val="tx1"/>
            </w14:solidFill>
          </w14:textFill>
        </w:rPr>
        <w:t>的</w:t>
      </w:r>
      <w:r>
        <w:rPr>
          <w:rFonts w:hint="eastAsia" w:ascii="宋体" w:hAnsi="宋体"/>
          <w:color w:val="000000" w:themeColor="text1"/>
          <w:szCs w:val="21"/>
          <w14:textFill>
            <w14:solidFill>
              <w14:schemeClr w14:val="tx1"/>
            </w14:solidFill>
          </w14:textFill>
        </w:rPr>
        <w:t>，邮</w:t>
      </w:r>
      <w:r>
        <w:rPr>
          <w:rFonts w:ascii="宋体" w:hAnsi="宋体"/>
          <w:color w:val="000000" w:themeColor="text1"/>
          <w:szCs w:val="21"/>
          <w14:textFill>
            <w14:solidFill>
              <w14:schemeClr w14:val="tx1"/>
            </w14:solidFill>
          </w14:textFill>
        </w:rPr>
        <w:t>件提交按</w:t>
      </w:r>
      <w:r>
        <w:rPr>
          <w:rFonts w:hint="eastAsia" w:ascii="宋体" w:hAnsi="宋体"/>
          <w:color w:val="000000" w:themeColor="text1"/>
          <w:szCs w:val="21"/>
          <w14:textFill>
            <w14:solidFill>
              <w14:schemeClr w14:val="tx1"/>
            </w14:solidFill>
          </w14:textFill>
        </w:rPr>
        <w:t>要求</w:t>
      </w:r>
      <w:r>
        <w:rPr>
          <w:rFonts w:ascii="宋体" w:hAnsi="宋体"/>
          <w:color w:val="000000" w:themeColor="text1"/>
          <w:szCs w:val="21"/>
          <w14:textFill>
            <w14:solidFill>
              <w14:schemeClr w14:val="tx1"/>
            </w14:solidFill>
          </w14:textFill>
        </w:rPr>
        <w:t>分</w:t>
      </w:r>
      <w:r>
        <w:rPr>
          <w:rFonts w:hint="eastAsia" w:ascii="宋体" w:hAnsi="宋体"/>
          <w:color w:val="000000" w:themeColor="text1"/>
          <w:szCs w:val="21"/>
          <w14:textFill>
            <w14:solidFill>
              <w14:schemeClr w14:val="tx1"/>
            </w14:solidFill>
          </w14:textFill>
        </w:rPr>
        <w:t>类</w:t>
      </w:r>
      <w:r>
        <w:rPr>
          <w:rFonts w:ascii="宋体" w:hAnsi="宋体"/>
          <w:color w:val="000000" w:themeColor="text1"/>
          <w:szCs w:val="21"/>
          <w14:textFill>
            <w14:solidFill>
              <w14:schemeClr w14:val="tx1"/>
            </w14:solidFill>
          </w14:textFill>
        </w:rPr>
        <w:t>，规范内容如下：</w:t>
      </w:r>
    </w:p>
    <w:p>
      <w:pPr>
        <w:spacing w:line="560" w:lineRule="exact"/>
        <w:ind w:right="48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1.行业各保险公司发送三期咨询邮件时，应将邮件主题命名为：三期问题咨询</w:t>
      </w:r>
      <w:r>
        <w:rPr>
          <w:rFonts w:ascii="宋体" w:hAnsi="宋体"/>
          <w:color w:val="000000" w:themeColor="text1"/>
          <w:szCs w:val="21"/>
          <w14:textFill>
            <w14:solidFill>
              <w14:schemeClr w14:val="tx1"/>
            </w14:solidFill>
          </w14:textFill>
        </w:rPr>
        <w:t>+</w:t>
      </w:r>
      <w:r>
        <w:rPr>
          <w:rFonts w:hint="eastAsia" w:ascii="宋体" w:hAnsi="宋体"/>
          <w:color w:val="000000" w:themeColor="text1"/>
          <w:szCs w:val="21"/>
          <w14:textFill>
            <w14:solidFill>
              <w14:schemeClr w14:val="tx1"/>
            </w14:solidFill>
          </w14:textFill>
        </w:rPr>
        <w:t>六位机构编码</w:t>
      </w:r>
      <w:r>
        <w:rPr>
          <w:rFonts w:ascii="宋体" w:hAnsi="宋体"/>
          <w:color w:val="000000" w:themeColor="text1"/>
          <w:szCs w:val="21"/>
          <w14:textFill>
            <w14:solidFill>
              <w14:schemeClr w14:val="tx1"/>
            </w14:solidFill>
          </w14:textFill>
        </w:rPr>
        <w:t>+</w:t>
      </w:r>
      <w:r>
        <w:rPr>
          <w:rFonts w:hint="eastAsia" w:ascii="宋体" w:hAnsi="宋体"/>
          <w:color w:val="000000" w:themeColor="text1"/>
          <w:szCs w:val="21"/>
          <w14:textFill>
            <w14:solidFill>
              <w14:schemeClr w14:val="tx1"/>
            </w14:solidFill>
          </w14:textFill>
        </w:rPr>
        <w:t>公司中文简称；</w:t>
      </w:r>
    </w:p>
    <w:p>
      <w:pPr>
        <w:spacing w:line="560" w:lineRule="exact"/>
        <w:ind w:right="48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示例</w:t>
      </w:r>
      <w:r>
        <w:rPr>
          <w:rFonts w:ascii="宋体" w:hAnsi="宋体"/>
          <w:color w:val="000000" w:themeColor="text1"/>
          <w:szCs w:val="21"/>
          <w14:textFill>
            <w14:solidFill>
              <w14:schemeClr w14:val="tx1"/>
            </w14:solidFill>
          </w14:textFill>
        </w:rPr>
        <w:t>：</w:t>
      </w:r>
      <w:r>
        <w:rPr>
          <w:rFonts w:hint="eastAsia" w:ascii="宋体" w:hAnsi="宋体"/>
          <w:color w:val="000000" w:themeColor="text1"/>
          <w:szCs w:val="21"/>
          <w14:textFill>
            <w14:solidFill>
              <w14:schemeClr w14:val="tx1"/>
            </w14:solidFill>
          </w14:textFill>
        </w:rPr>
        <w:t>三期问题咨询</w:t>
      </w:r>
      <w:r>
        <w:rPr>
          <w:rFonts w:ascii="宋体" w:hAnsi="宋体"/>
          <w:color w:val="000000" w:themeColor="text1"/>
          <w:szCs w:val="21"/>
          <w14:textFill>
            <w14:solidFill>
              <w14:schemeClr w14:val="tx1"/>
            </w14:solidFill>
          </w14:textFill>
        </w:rPr>
        <w:t>+</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00000</w:t>
      </w:r>
      <w:r>
        <w:rPr>
          <w:rFonts w:hint="eastAsia" w:ascii="宋体" w:hAnsi="宋体"/>
          <w:color w:val="000000" w:themeColor="text1"/>
          <w:szCs w:val="21"/>
          <w14:textFill>
            <w14:solidFill>
              <w14:schemeClr w14:val="tx1"/>
            </w14:solidFill>
          </w14:textFill>
        </w:rPr>
        <w:t>+XX公</w:t>
      </w:r>
      <w:r>
        <w:rPr>
          <w:rFonts w:ascii="宋体" w:hAnsi="宋体"/>
          <w:color w:val="000000" w:themeColor="text1"/>
          <w:szCs w:val="21"/>
          <w14:textFill>
            <w14:solidFill>
              <w14:schemeClr w14:val="tx1"/>
            </w14:solidFill>
          </w14:textFill>
        </w:rPr>
        <w:t>司</w:t>
      </w:r>
    </w:p>
    <w:p>
      <w:pPr>
        <w:spacing w:line="560" w:lineRule="exact"/>
        <w:rPr>
          <w:rFonts w:ascii="宋体" w:hAnsi="宋体"/>
          <w:b/>
          <w:color w:val="FF0000"/>
          <w:szCs w:val="21"/>
        </w:rPr>
      </w:pPr>
      <w:r>
        <w:rPr>
          <w:rFonts w:hint="eastAsia" w:ascii="宋体" w:hAnsi="宋体"/>
          <w:b/>
          <w:color w:val="FF0000"/>
          <w:szCs w:val="21"/>
        </w:rPr>
        <w:t>请行业各公司注意：非专用对接邮箱发送的咨询、不按规范的主题命名的，平台都不予回复。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18. 每日数据装载返回“部分失败”，“全部失败”的批次，应如何处理？</w:t>
      </w:r>
    </w:p>
    <w:p>
      <w:pPr>
        <w:spacing w:line="560" w:lineRule="exact"/>
        <w:ind w:right="480"/>
        <w:rPr>
          <w:rFonts w:asciiTheme="minorEastAsia" w:hAnsiTheme="minorEastAsia" w:eastAsiaTheme="minorEastAsia" w:cstheme="minorEastAsia"/>
        </w:rPr>
      </w:pPr>
      <w:r>
        <w:rPr>
          <w:rFonts w:hint="eastAsia" w:asciiTheme="minorEastAsia" w:hAnsiTheme="minorEastAsia" w:eastAsiaTheme="minorEastAsia" w:cstheme="minorEastAsia"/>
          <w:color w:val="000000" w:themeColor="text1"/>
          <w:szCs w:val="21"/>
          <w14:textFill>
            <w14:solidFill>
              <w14:schemeClr w14:val="tx1"/>
            </w14:solidFill>
          </w14:textFill>
        </w:rPr>
        <w:t>答：</w:t>
      </w:r>
      <w:r>
        <w:rPr>
          <w:rFonts w:hint="eastAsia" w:asciiTheme="minorEastAsia" w:hAnsiTheme="minorEastAsia" w:eastAsiaTheme="minorEastAsia" w:cstheme="minorEastAsia"/>
        </w:rPr>
        <w:t xml:space="preserve">数据装载完成，返回“部分失败”，“全部失败”后，应按下发文档要求，于T+2日开始补报。不得故意拖延，不得漏报。 </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19. 关于保单登记三期正式上线通知的补充说明：平台于5月24日向各保险公司发送了《关于中国保险业保单登记管理信息平台三期正式上线的通知》（保信函〔2018〕153号）（详见附件1），请各保险公司注意查收。请各保险公司注意如下内容：</w:t>
      </w:r>
    </w:p>
    <w:p>
      <w:pPr>
        <w:shd w:val="clear" w:color="auto" w:fill="FFFFFF"/>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1.按照通知，</w:t>
      </w:r>
      <w:r>
        <w:fldChar w:fldCharType="begin"/>
      </w:r>
      <w:r>
        <w:instrText xml:space="preserve"> HYPERLINK "http://88.88.4.87:6800/pdl_qzj/api/FontProcessorWs?wsdl" </w:instrText>
      </w:r>
      <w:r>
        <w:fldChar w:fldCharType="separate"/>
      </w:r>
      <w:r>
        <w:rPr>
          <w:rStyle w:val="47"/>
          <w:rFonts w:hint="eastAsia" w:asciiTheme="minorEastAsia" w:hAnsiTheme="minorEastAsia" w:eastAsiaTheme="minorEastAsia" w:cstheme="minorEastAsia"/>
        </w:rPr>
        <w:t>http://88.88.4.87:6800/pdl_qzj/api/FontProcessorWs?wsdl</w:t>
      </w:r>
      <w:r>
        <w:rPr>
          <w:rStyle w:val="47"/>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为保单登记平台三期前置机地址，请各保险公司注意核查。</w:t>
      </w:r>
    </w:p>
    <w:p>
      <w:pPr>
        <w:shd w:val="clear" w:color="auto" w:fill="FFFFFF"/>
        <w:spacing w:line="560" w:lineRule="exact"/>
        <w:ind w:firstLine="480" w:firstLineChars="20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rPr>
        <w:t>2.（二期地址不变，为</w:t>
      </w:r>
      <w:r>
        <w:fldChar w:fldCharType="begin"/>
      </w:r>
      <w:r>
        <w:instrText xml:space="preserve"> HYPERLINK "http://88.88.4.87:6800/pdlfront/api/FontProcessorWs?wsdl" </w:instrText>
      </w:r>
      <w:r>
        <w:fldChar w:fldCharType="separate"/>
      </w:r>
      <w:r>
        <w:rPr>
          <w:rFonts w:hint="eastAsia" w:asciiTheme="minorEastAsia" w:hAnsiTheme="minorEastAsia" w:eastAsiaTheme="minorEastAsia" w:cstheme="minorEastAsia"/>
        </w:rPr>
        <w:t>http://88.88.4.87:6800/pdlfront/api/FontProcessorWs?wsdl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3.关于系统验证反馈表说明如下：</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（1）保单登记平台三期将于2018年6月1日正式上线，已经通过联调测试的公司应于平台上线后5个工作日内填写并提交系统验证反馈表， 6月1日尚未通过联调测试的公司应于联调测试通过后的5个工作日内填写并提交系统验证反馈表。</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中国保险业保单登记管理信息平台第三期涉及12个接口，全部接口验证完毕后填写此表。“测试结果”一栏需将12个接口的验证情况分开填写，请参考示例。各接口验证成功后,在“测试结果”中标注正常。如接口未验证成功，在“测试结果”中标注异常，并在备注中说明情况。平台将协助各公司对测试结果为异常的接口进行问题排查。填写示例详见附件2。</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4.关于二期、三期数据报送要求说明如下：</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（1）各保险公司自6月1日起，可根据自身情况开始三期存量数据报送。</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（2）三期存量报送期间，二期增量应按照T+1正常报送。</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（3）三期存量报送完成后，应做好二期、三期增量报送切换，开始按T+1进行三期增量报送，并停止二期增量报送。</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（4）三期增量数据应包含二期增量数据。</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（5）按照保监人身险〔2017〕209 号要求：各保险公司应于8月底前完成三期所涉及险种的全部历史数据报送；2018年9月1日起，各保险公司按照T+1方式传送三期增量业务数据。</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报送要求可参考下图：</w:t>
      </w:r>
    </w:p>
    <w:p>
      <w:pPr>
        <w:shd w:val="clear" w:color="auto" w:fill="FFFFFF"/>
        <w:spacing w:line="560" w:lineRule="exact"/>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 w:val="28"/>
          <w:szCs w:val="28"/>
        </w:rPr>
        <w:drawing>
          <wp:inline distT="0" distB="0" distL="0" distR="0">
            <wp:extent cx="6048375" cy="3074035"/>
            <wp:effectExtent l="0" t="0" r="9525" b="12065"/>
            <wp:docPr id="10" name="图片 10" descr="C:\Users\Administrator\AppData\Roaming\Foxmail7\Temp-2580-20180601091624\Attach\image001(06-01-10-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Foxmail7\Temp-2580-20180601091624\Attach\image001(06-01-10-51-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63198" cy="3081569"/>
                    </a:xfrm>
                    <a:prstGeom prst="rect">
                      <a:avLst/>
                    </a:prstGeom>
                    <a:noFill/>
                    <a:ln>
                      <a:noFill/>
                    </a:ln>
                  </pic:spPr>
                </pic:pic>
              </a:graphicData>
            </a:graphic>
          </wp:inline>
        </w:drawing>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5.关于《中国保险业保单登记管理信息平台（第三期）-数据报送说明》文档，请注意如下内容：</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（1）应于首次报送存量数据前，</w:t>
      </w:r>
      <w:r>
        <w:fldChar w:fldCharType="begin"/>
      </w:r>
      <w:r>
        <w:instrText xml:space="preserve"> HYPERLINK "mailto:将上述文档电子版发送至平台邮箱bddj@ciitc.com.cn（《中国保险业保单登记管理信息平台（第三期）-保险公司业务代码映射关系》文档也需同步提交电子版），纸质版寄送至如下地址：北京市石景山区实兴大街" </w:instrText>
      </w:r>
      <w:r>
        <w:fldChar w:fldCharType="separate"/>
      </w:r>
      <w:r>
        <w:rPr>
          <w:rFonts w:hint="eastAsia" w:asciiTheme="minorEastAsia" w:hAnsiTheme="minorEastAsia" w:eastAsiaTheme="minorEastAsia" w:cstheme="minorEastAsia"/>
        </w:rPr>
        <w:t>将上述文档电子版发送至平台邮箱bddj@</w:t>
      </w:r>
      <w:r>
        <w:rPr>
          <w:rFonts w:hint="eastAsia" w:asciiTheme="minorEastAsia" w:hAnsiTheme="minorEastAsia" w:eastAsiaTheme="minorEastAsia" w:cstheme="minorEastAsia"/>
          <w:lang w:eastAsia="zh-CN"/>
        </w:rPr>
        <w:t>cbit</w:t>
      </w:r>
      <w:r>
        <w:rPr>
          <w:rFonts w:hint="eastAsia" w:asciiTheme="minorEastAsia" w:hAnsiTheme="minorEastAsia" w:eastAsiaTheme="minorEastAsia" w:cstheme="minorEastAsia"/>
        </w:rPr>
        <w:t>.com.cn（《中国保险业保单登记管理信息平台（第三期）-保险公司业务代码映射关系》文档也需同步提交电子版），纸质版寄送至如下地址：北京市石景山区实兴大街</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30号院1号楼；收件人：袁玥  电话：010-88195679。</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（2）纸质版中，下图中的日期（文档最后一页）必须按要求填写，此日期真实反映了各公司截止日期的数据报送情况。图中（总公司公章）处，应加盖总公司公章并同时填上签章日期。</w:t>
      </w:r>
    </w:p>
    <w:p>
      <w:pPr>
        <w:shd w:val="clear" w:color="auto" w:fill="FFFFFF"/>
        <w:ind w:firstLine="482"/>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 w:val="28"/>
          <w:szCs w:val="28"/>
        </w:rPr>
        <w:t> </w:t>
      </w:r>
      <w:r>
        <w:rPr>
          <w:rStyle w:val="167"/>
          <w:rFonts w:hint="eastAsia" w:asciiTheme="minorEastAsia" w:hAnsiTheme="minorEastAsia" w:eastAsiaTheme="minorEastAsia" w:cstheme="minorEastAsia"/>
          <w:color w:val="000000"/>
          <w:sz w:val="28"/>
          <w:szCs w:val="28"/>
        </w:rPr>
        <w:t> </w:t>
      </w:r>
      <w:r>
        <w:rPr>
          <w:rFonts w:hint="eastAsia" w:asciiTheme="minorEastAsia" w:hAnsiTheme="minorEastAsia" w:eastAsiaTheme="minorEastAsia" w:cstheme="minorEastAsia"/>
          <w:color w:val="000000"/>
          <w:szCs w:val="21"/>
        </w:rPr>
        <w:drawing>
          <wp:anchor distT="0" distB="0" distL="114300" distR="114300" simplePos="0" relativeHeight="251658240" behindDoc="0" locked="0" layoutInCell="1" allowOverlap="1">
            <wp:simplePos x="0" y="0"/>
            <wp:positionH relativeFrom="column">
              <wp:posOffset>2239645</wp:posOffset>
            </wp:positionH>
            <wp:positionV relativeFrom="paragraph">
              <wp:posOffset>2106930</wp:posOffset>
            </wp:positionV>
            <wp:extent cx="2419350" cy="847725"/>
            <wp:effectExtent l="0" t="0" r="0" b="9525"/>
            <wp:wrapNone/>
            <wp:docPr id="1" name="图片 1" descr="C:\Users\Administrator\AppData\Roaming\Foxmail7\Temp-2580-20180601091624\Attach\image005(06-01-10-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Foxmail7\Temp-2580-20180601091624\Attach\image005(06-01-10-51-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19350" cy="847725"/>
                    </a:xfrm>
                    <a:prstGeom prst="rect">
                      <a:avLst/>
                    </a:prstGeom>
                    <a:noFill/>
                    <a:ln>
                      <a:noFill/>
                    </a:ln>
                  </pic:spPr>
                </pic:pic>
              </a:graphicData>
            </a:graphic>
          </wp:anchor>
        </w:drawing>
      </w:r>
      <w:r>
        <w:rPr>
          <w:rFonts w:hint="eastAsia" w:asciiTheme="minorEastAsia" w:hAnsiTheme="minorEastAsia" w:eastAsiaTheme="minorEastAsia" w:cstheme="minorEastAsia"/>
          <w:color w:val="000000"/>
          <w:szCs w:val="21"/>
        </w:rPr>
        <w:drawing>
          <wp:anchor distT="0" distB="0" distL="114300" distR="114300" simplePos="0" relativeHeight="251656192" behindDoc="0" locked="0" layoutInCell="1" allowOverlap="1">
            <wp:simplePos x="0" y="0"/>
            <wp:positionH relativeFrom="column">
              <wp:posOffset>2114550</wp:posOffset>
            </wp:positionH>
            <wp:positionV relativeFrom="paragraph">
              <wp:posOffset>106680</wp:posOffset>
            </wp:positionV>
            <wp:extent cx="1819275" cy="257175"/>
            <wp:effectExtent l="0" t="0" r="9525" b="9525"/>
            <wp:wrapNone/>
            <wp:docPr id="8" name="图片 8" descr="C:\Users\Administrator\AppData\Roaming\Foxmail7\Temp-2580-20180601091624\Attach\image006(06-01-10-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Foxmail7\Temp-2580-20180601091624\Attach\image006(06-01-10-51-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19275" cy="257175"/>
                    </a:xfrm>
                    <a:prstGeom prst="rect">
                      <a:avLst/>
                    </a:prstGeom>
                    <a:noFill/>
                    <a:ln>
                      <a:noFill/>
                    </a:ln>
                  </pic:spPr>
                </pic:pic>
              </a:graphicData>
            </a:graphic>
          </wp:anchor>
        </w:drawing>
      </w:r>
      <w:r>
        <w:rPr>
          <w:rFonts w:hint="eastAsia" w:asciiTheme="minorEastAsia" w:hAnsiTheme="minorEastAsia" w:eastAsiaTheme="minorEastAsia" w:cstheme="minorEastAsia"/>
          <w:color w:val="000000"/>
          <w:sz w:val="28"/>
          <w:szCs w:val="28"/>
        </w:rPr>
        <w:drawing>
          <wp:inline distT="0" distB="0" distL="0" distR="0">
            <wp:extent cx="4657725" cy="2828925"/>
            <wp:effectExtent l="0" t="0" r="9525" b="9525"/>
            <wp:docPr id="12" name="图片 12" descr="C:\Users\Administrator\AppData\Roaming\Foxmail7\Temp-2580-20180601091624\Attach\image007(06-01-10-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Foxmail7\Temp-2580-20180601091624\Attach\image007(06-01-10-51-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57725" cy="2828925"/>
                    </a:xfrm>
                    <a:prstGeom prst="rect">
                      <a:avLst/>
                    </a:prstGeom>
                    <a:noFill/>
                    <a:ln>
                      <a:noFill/>
                    </a:ln>
                  </pic:spPr>
                </pic:pic>
              </a:graphicData>
            </a:graphic>
          </wp:inline>
        </w:drawing>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（3）纸质版提交后，如后续有文档更新，只需提交电子版及修订内容的详细说明。如涉及重大调整，平台会要求保险公司重新盖章提交，届时以通知为准。</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20. 平台三期增补的保险分支机构格式和要求</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答：按照保单登记平台三期模型要求，各保险公司进行数据报送时，平台将对涉及保险分支机构代码表的字段进行码表校验。保险分支机构代码表主要包括机构高管系统中的一级和二级机构代码，以及共保公司、再保公司等保险机构代码两部分。其中，后者代码为平台统一编制，请各保险公司注意做好映射。此外，如待报送机构为三级机构，应映射为二级机构代码后报送。</w:t>
      </w:r>
    </w:p>
    <w:tbl>
      <w:tblPr>
        <w:tblStyle w:val="39"/>
        <w:tblW w:w="8398" w:type="dxa"/>
        <w:tblInd w:w="0" w:type="dxa"/>
        <w:tblLayout w:type="fixed"/>
        <w:tblCellMar>
          <w:top w:w="0" w:type="dxa"/>
          <w:left w:w="0" w:type="dxa"/>
          <w:bottom w:w="0" w:type="dxa"/>
          <w:right w:w="0" w:type="dxa"/>
        </w:tblCellMar>
      </w:tblPr>
      <w:tblGrid>
        <w:gridCol w:w="1530"/>
        <w:gridCol w:w="1873"/>
        <w:gridCol w:w="4995"/>
      </w:tblGrid>
      <w:tr>
        <w:tblPrEx>
          <w:tblCellMar>
            <w:top w:w="0" w:type="dxa"/>
            <w:left w:w="0" w:type="dxa"/>
            <w:bottom w:w="0" w:type="dxa"/>
            <w:right w:w="0" w:type="dxa"/>
          </w:tblCellMar>
        </w:tblPrEx>
        <w:trPr>
          <w:trHeight w:val="360" w:hRule="atLeast"/>
        </w:trPr>
        <w:tc>
          <w:tcPr>
            <w:tcW w:w="1530" w:type="dxa"/>
            <w:tcBorders>
              <w:top w:val="single" w:color="000000" w:sz="4" w:space="0"/>
              <w:left w:val="single" w:color="000000" w:sz="4" w:space="0"/>
              <w:bottom w:val="single" w:color="000000" w:sz="4" w:space="0"/>
              <w:right w:val="single" w:color="000000" w:sz="4" w:space="0"/>
            </w:tcBorders>
            <w:shd w:val="clear" w:color="auto" w:fill="BFBFBF"/>
            <w:noWrap/>
            <w:tcMar>
              <w:top w:w="15" w:type="dxa"/>
              <w:left w:w="15" w:type="dxa"/>
              <w:right w:w="15" w:type="dxa"/>
            </w:tcMar>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lang w:bidi="ar"/>
              </w:rPr>
              <w:t>机构代码</w:t>
            </w:r>
          </w:p>
        </w:tc>
        <w:tc>
          <w:tcPr>
            <w:tcW w:w="1873" w:type="dxa"/>
            <w:tcBorders>
              <w:top w:val="single" w:color="000000" w:sz="4" w:space="0"/>
              <w:left w:val="single" w:color="000000" w:sz="4" w:space="0"/>
              <w:bottom w:val="single" w:color="000000" w:sz="4" w:space="0"/>
              <w:right w:val="single" w:color="000000" w:sz="4" w:space="0"/>
            </w:tcBorders>
            <w:shd w:val="clear" w:color="auto" w:fill="BFBFBF"/>
            <w:noWrap/>
            <w:tcMar>
              <w:top w:w="15" w:type="dxa"/>
              <w:left w:w="15" w:type="dxa"/>
              <w:right w:w="15" w:type="dxa"/>
            </w:tcMar>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lang w:bidi="ar"/>
              </w:rPr>
              <w:t>代码名称</w:t>
            </w:r>
          </w:p>
        </w:tc>
        <w:tc>
          <w:tcPr>
            <w:tcW w:w="4995" w:type="dxa"/>
            <w:tcBorders>
              <w:top w:val="single" w:color="000000" w:sz="4" w:space="0"/>
              <w:left w:val="single" w:color="000000" w:sz="4" w:space="0"/>
              <w:bottom w:val="single" w:color="000000" w:sz="4" w:space="0"/>
              <w:right w:val="single" w:color="000000" w:sz="4" w:space="0"/>
            </w:tcBorders>
            <w:shd w:val="clear" w:color="auto" w:fill="BFBFBF"/>
            <w:noWrap/>
            <w:tcMar>
              <w:top w:w="15" w:type="dxa"/>
              <w:left w:w="15" w:type="dxa"/>
              <w:right w:w="15" w:type="dxa"/>
            </w:tcMar>
            <w:vAlign w:val="center"/>
          </w:tcPr>
          <w:p>
            <w:pPr>
              <w:widowControl/>
              <w:jc w:val="center"/>
              <w:textAlignment w:val="center"/>
              <w:rPr>
                <w:rFonts w:ascii="宋体" w:hAnsi="宋体" w:cs="宋体"/>
                <w:color w:val="000000"/>
                <w:sz w:val="18"/>
                <w:szCs w:val="18"/>
              </w:rPr>
            </w:pPr>
            <w:r>
              <w:rPr>
                <w:rFonts w:hint="eastAsia" w:ascii="宋体" w:hAnsi="宋体" w:cs="宋体"/>
                <w:color w:val="000000"/>
                <w:kern w:val="0"/>
                <w:sz w:val="18"/>
                <w:szCs w:val="18"/>
                <w:lang w:bidi="ar"/>
              </w:rPr>
              <w:t>备注（如机构名称为英文，请在备注列反馈对应的中文名称）</w:t>
            </w:r>
          </w:p>
        </w:tc>
      </w:tr>
      <w:tr>
        <w:tblPrEx>
          <w:tblCellMar>
            <w:top w:w="0" w:type="dxa"/>
            <w:left w:w="0" w:type="dxa"/>
            <w:bottom w:w="0" w:type="dxa"/>
            <w:right w:w="0" w:type="dxa"/>
          </w:tblCellMar>
        </w:tblPrEx>
        <w:trPr>
          <w:trHeight w:val="270" w:hRule="atLeast"/>
        </w:trPr>
        <w:tc>
          <w:tcPr>
            <w:tcW w:w="15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187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49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r>
      <w:tr>
        <w:tblPrEx>
          <w:tblCellMar>
            <w:top w:w="0" w:type="dxa"/>
            <w:left w:w="0" w:type="dxa"/>
            <w:bottom w:w="0" w:type="dxa"/>
            <w:right w:w="0" w:type="dxa"/>
          </w:tblCellMar>
        </w:tblPrEx>
        <w:trPr>
          <w:trHeight w:val="270" w:hRule="atLeast"/>
        </w:trPr>
        <w:tc>
          <w:tcPr>
            <w:tcW w:w="15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187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49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r>
      <w:tr>
        <w:tblPrEx>
          <w:tblCellMar>
            <w:top w:w="0" w:type="dxa"/>
            <w:left w:w="0" w:type="dxa"/>
            <w:bottom w:w="0" w:type="dxa"/>
            <w:right w:w="0" w:type="dxa"/>
          </w:tblCellMar>
        </w:tblPrEx>
        <w:trPr>
          <w:trHeight w:val="270" w:hRule="atLeast"/>
        </w:trPr>
        <w:tc>
          <w:tcPr>
            <w:tcW w:w="15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187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c>
          <w:tcPr>
            <w:tcW w:w="49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宋体" w:hAnsi="宋体" w:cs="宋体"/>
                <w:color w:val="000000"/>
                <w:sz w:val="22"/>
              </w:rPr>
            </w:pPr>
          </w:p>
        </w:tc>
      </w:tr>
    </w:tbl>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请各保险公司比对平台最新版保险分支机构代码表将需要平台增补的保险分支机构以如下格式反馈至平台。</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注意！反馈时请注意如下内容：</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（1） 保险分支机构代码表仅对保险机构进行增补，请不要反馈经纪公司名称；</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（2） 机构名称务必反馈全称；</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（3） 增补境内一级、二级机构时，需同步反馈该机构在机构高管系统中的代码；其余机构无需反馈机构代码</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（4） 增补共保及再保公司时，反馈省分级机构即可；对于国外再保公司，反馈国家或地区级机构即可；再下级的公司不需要申请，如业务实际记录的公司层级更细，应映射到上一级；</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（5） 增补国外机构时，请在机构名称列填写机构对应母国的名称或英文名称，中文名请在备注列进行说明。</w:t>
      </w:r>
    </w:p>
    <w:p>
      <w:pPr>
        <w:spacing w:line="560" w:lineRule="exact"/>
        <w:ind w:firstLine="480" w:firstLineChars="200"/>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后续出现新增代码时，请尽量提前将新增机构反馈至平台，以便平台能够及时完成增补。报送过程中，如相关机构尚未完成增补，受影响数据请于平台增补完成后再以补报的形式报送。平台收到代码增补申请并审核处理完成后，会向行业发送最新的保险分支机构代码表，请大家注意及时查收并更新。</w:t>
      </w:r>
    </w:p>
    <w:p>
      <w:pPr>
        <w:pStyle w:val="4"/>
        <w:numPr>
          <w:ilvl w:val="255"/>
          <w:numId w:val="0"/>
        </w:numPr>
        <w:spacing w:before="0" w:after="0" w:line="560" w:lineRule="exact"/>
        <w:rPr>
          <w:rFonts w:asciiTheme="minorEastAsia" w:hAnsiTheme="minorEastAsia" w:eastAsiaTheme="minorEastAsia" w:cstheme="minorEastAsia"/>
          <w:sz w:val="28"/>
          <w:szCs w:val="28"/>
        </w:rPr>
      </w:pPr>
      <w:r>
        <w:rPr>
          <w:rFonts w:hint="eastAsia" w:ascii="仿宋" w:hAnsi="仿宋" w:eastAsia="仿宋" w:cs="仿宋"/>
          <w:sz w:val="28"/>
          <w:szCs w:val="28"/>
        </w:rPr>
        <w:t>21. 出现“该批次处理完成，数据校验处理，数据交易条数与报文交易条数不一致”的提示，应如何处理？</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答：在数据装载后的返回报文中，会出现“该批次处理完成，数据校验处理,数据交易条数与报文交易条数不一致”的提示，首先，请根据下列三条及四点注意事项自行核对是否有误。</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1.报数系统接口中“交易数量对象”与ZIP数据包中数据量是否一致。</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2.数据包ZIP目录结构及数据文件TXT命名规则是否符合下发文档《2-4中国保险业保单登记管理信息平台（第三期）-数据抽取技术方案说明及接口规范（财）.doc》数据包目录结构。</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3.以下是实例：</w:t>
      </w:r>
    </w:p>
    <w:p>
      <w:pPr>
        <w:pStyle w:val="111"/>
        <w:spacing w:line="560" w:lineRule="exact"/>
        <w:ind w:firstLineChars="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文件包名：I_保单交易表中的批次号_文件个数(三位数字)(注：I=Incremental Data)</w:t>
      </w:r>
    </w:p>
    <w:p>
      <w:pPr>
        <w:pStyle w:val="111"/>
        <w:spacing w:line="560" w:lineRule="exact"/>
        <w:ind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例如：“I_000000LINC0000000001_018.zip”</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一级文件夹名：保险公司代码</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例如：“000000”</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二级文件夹名：表所在模块名</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例如：“Transaction”</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三级文件夹名：表名</w:t>
      </w:r>
    </w:p>
    <w:p>
      <w:pPr>
        <w:pStyle w:val="111"/>
        <w:spacing w:line="560" w:lineRule="exact"/>
        <w:ind w:left="851" w:firstLine="480"/>
        <w:rPr>
          <w:rFonts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例如：“ProCTransaction”</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color w:val="000000"/>
          <w:szCs w:val="21"/>
        </w:rPr>
        <w:t>3.1.“_”只能有一个，不能写为“__”。</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3.2.严格按照“数据包文件规范”中的“数据文本文件命名规则”进行命名。</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3.3.严格按照“数据包文件规范”中的“数据包目录结构”路径要求。</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3.4严格按照“数据模型”中的“数据类型”和“格式说明”赋值。</w:t>
      </w:r>
    </w:p>
    <w:p>
      <w:pPr>
        <w:spacing w:line="560" w:lineRule="exact"/>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FF0000"/>
        </w:rPr>
        <w:t>注意：如出现此类错误，在核对完成后，确实还是无法查明问题所在，可将对比结果生成EXCEL表格，做为附件并提供其它相应的资料，在运维服务平台进行工单提交。</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22. 关于问题咨询的补充说明</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针对各公司在平台邮箱、微信中提交问题咨询，为了确保问题可以高效，准确的回复，请注意以下三点：</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1.请在提交问题前区分问题分类，如属接口、查询及其它技术问题，请在运维服务平台提交，如属业务、数据治理、机构代码等问题，可以微信、电话或平台邮箱提交。</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2.在微信或邮件提交问题时，务必于微信或邮件正文中标注问题相关联系人的姓名及电话。</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3.需要电话沟通的，请拨打平台咨询电话：010-88195931（寿险），010-88195932（财险）。为便于平台与各司沟通邮件中提出的问题，请各保险公司发送邮件进行问题咨询时，务必于邮件正文中标注问题相关联系人的姓名及电话，感谢大家的支持与配合！</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23. 关于运维平台提交工单的补充说明</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在运维服务平台提交工单时，应注意，各保险公司在获取到批次装载的错误文件后，应按照对应错误项先自行对上报数据进行检核、对比。如检核、对比后，确实无法核查到问题原因，可将详细的检核、对比结果附上，在运维服务平台提交工单。</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24. 出现“该批次处理完成，数据校验处理，数据交易条数与报文交易条数不一致”时，在运维平台上传附件的范本。</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出现以上问题时，在运维平台提交对比结果时，应在文本中列出详细对比结果，以便自行检查或平台复查时用，请注意符合“该批次处理完成，数据校验处理，数据交易条数与报文交易条数不一致”的解决方法，同时，需关注表内字段名称和是否超长、有乱码、缺失等问题，范例如下图：</w:t>
      </w:r>
    </w:p>
    <w:p>
      <w:pPr>
        <w:spacing w:line="560" w:lineRule="exact"/>
      </w:pPr>
      <w:r>
        <w:drawing>
          <wp:anchor distT="0" distB="0" distL="0" distR="0" simplePos="0" relativeHeight="251657216" behindDoc="0" locked="0" layoutInCell="1" allowOverlap="1">
            <wp:simplePos x="0" y="0"/>
            <wp:positionH relativeFrom="column">
              <wp:posOffset>0</wp:posOffset>
            </wp:positionH>
            <wp:positionV relativeFrom="paragraph">
              <wp:posOffset>141605</wp:posOffset>
            </wp:positionV>
            <wp:extent cx="5274310" cy="2278380"/>
            <wp:effectExtent l="0" t="0" r="2540" b="762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2278380"/>
                    </a:xfrm>
                    <a:prstGeom prst="rect">
                      <a:avLst/>
                    </a:prstGeom>
                  </pic:spPr>
                </pic:pic>
              </a:graphicData>
            </a:graphic>
          </wp:anchor>
        </w:drawing>
      </w:r>
    </w:p>
    <w:p/>
    <w:p/>
    <w:p/>
    <w:p/>
    <w:p/>
    <w:p/>
    <w:p/>
    <w:p/>
    <w:p/>
    <w:p/>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25. 在运维平台提交“数据装载中”类似问题时,需要提交什么附件？</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在运维平台提交类似“数据装载中”的问题时，应附带上传该批次的批次号、请求报文、半小时内的最新查询返回报文，如有返回错误文件，也请附带，以便运维人员准确定位问题。</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26. 关于保险分支机构代码增补申请的注意事项</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为进一步提高保险公司保险分支机构代码增补申请的处理效率，请各保险公司提交增补邮件时注意以下要求：</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1.申请增补境内保险分支机构代码时，应同时提交银保监会相关批复文件（《中国银保监会关于设立xxxx保险有限公司xx分公司的批复》）的扫描件，平台确认后方进行申请增补。</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2.增补境内一级、二级保险分支机构时，应准确反馈该机构在机构高管系统中的代码；境外机构无需反馈机构代码。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27. 保单登记平台三期数据修正支持什么类型？</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保单登记平台三期数据修正将支持按以下五种方式进行：</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1.“按公司编码修正”、“按批次号修正”、“按保单编号修正”、“按交易编码修正”、“按模块修正”。</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2.修正申请文档应按平台规范要求填写、加盖总公司公章并填写日期。</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28. 关于平台对接联系人及联系方式变更的通知</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为确保平台与保险公司间顺畅沟通，请各保险公司在对接平台联系人发生变更后，及时填写保单登记平台对接联系人信息表（详见附件7），并通过邮件反馈至平台。</w:t>
      </w:r>
    </w:p>
    <w:p>
      <w:pPr>
        <w:spacing w:line="560" w:lineRule="exact"/>
        <w:ind w:firstLine="482" w:firstLineChars="200"/>
        <w:rPr>
          <w:rFonts w:asciiTheme="minorEastAsia" w:hAnsiTheme="minorEastAsia" w:eastAsiaTheme="minorEastAsia" w:cstheme="minorEastAsia"/>
          <w:b/>
          <w:color w:val="000000" w:themeColor="text1"/>
          <w14:textFill>
            <w14:solidFill>
              <w14:schemeClr w14:val="tx1"/>
            </w14:solidFill>
          </w14:textFill>
        </w:rPr>
      </w:pPr>
      <w:r>
        <w:rPr>
          <w:rFonts w:hint="eastAsia" w:asciiTheme="minorEastAsia" w:hAnsiTheme="minorEastAsia" w:eastAsiaTheme="minorEastAsia" w:cstheme="minorEastAsia"/>
          <w:b/>
          <w:color w:val="000000" w:themeColor="text1"/>
          <w14:textFill>
            <w14:solidFill>
              <w14:schemeClr w14:val="tx1"/>
            </w14:solidFill>
          </w14:textFill>
        </w:rPr>
        <w:t>邮件主题为【对接平台联系人】+000XXX+公司简称。</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目前平台记录的对接平台联系人为各保险公司参加2018年11月数据治理专项培训会的人员，如有变更，还请尽快按要求进行更新，表格详见附件7。</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29. 保单登记平台邮件主题规范的通知</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为更高效地处理并解答各保险公司发送至保单登记平台的邮件，请务必使用对接平台专用邮箱发送邮件，并将邮件主题等按照以下要求进行命名：</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a.反馈增量报送监控时，应将邮件主题命名为：增量未按照T+1报送+六位机构编码+公司中文简称。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增量未按照T+1报送+000XXX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 反馈对接联系人变更情况时，应将邮件主题命名为：【对接平台联系人】+六位机构编码+公司简称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【对接平台联系人】+000XXX+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c.数据治理问题咨询时，应将邮件主题命名为：【数据治理问题咨询】+六位机构编码+公司中文简称。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【数据治理问题咨询】+000XXX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d.反馈运维平台工单时，应将邮件主题命名为：运维工单延迟+六位机构编码+公司中文简称。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运维工单延迟+000XXX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e.咨询保单登记平台问题时，应将邮件主题命名为：【平台问题咨询】+六位机构编码+公司中文简称。</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【平台问题咨询】+000XXX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f.咨询数据修正问题时，应将邮件主题命名为：【数据修正问题】+六位机构编码+公司中文简称。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数据修正问题+000XXX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g.因特殊原因需要申请开放存量接口时，应将邮件主题命名为：【存量接口开通】+六位机构编码+公司中文简称。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【存量接口开通】+000XXX +XX公司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h.特殊场景需要报备时，应将邮件主题命名为：【特殊业务场景报备】+六位机构编码+公司中文简称。</w:t>
      </w:r>
    </w:p>
    <w:p>
      <w:pPr>
        <w:spacing w:line="560" w:lineRule="exact"/>
        <w:ind w:firstLine="480" w:firstLineChars="200"/>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示例：</w:t>
      </w:r>
      <w:r>
        <w:rPr>
          <w:rFonts w:hint="eastAsia" w:asciiTheme="minorEastAsia" w:hAnsiTheme="minorEastAsia" w:eastAsiaTheme="minorEastAsia" w:cstheme="minorEastAsia"/>
          <w:color w:val="FF0000"/>
        </w:rPr>
        <w:t>【特殊业务场景报备】+六位机构编码+XX公司</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注意：请各保险公司务必按所需选择适用的邮件主题进行邮件沟通。即日起，各保险公司发送的邮件未使用报备对接保单登记平台专用邮箱的、邮件主题不规范的，平台将概不回复。</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30. </w:t>
      </w:r>
      <w:r>
        <w:rPr>
          <w:rFonts w:hint="eastAsia" w:ascii="仿宋" w:hAnsi="仿宋" w:eastAsia="仿宋" w:cs="仿宋"/>
          <w:b/>
          <w:color w:val="000000" w:themeColor="text1"/>
          <w:sz w:val="28"/>
          <w:szCs w:val="28"/>
          <w14:textFill>
            <w14:solidFill>
              <w14:schemeClr w14:val="tx1"/>
            </w14:solidFill>
          </w14:textFill>
        </w:rPr>
        <w:t>关于进一步规范保单登记平台数据报送工作的函</w:t>
      </w:r>
    </w:p>
    <w:p>
      <w:pPr>
        <w:spacing w:line="560" w:lineRule="exact"/>
        <w:ind w:firstLine="0" w:firstLineChars="0"/>
        <w:rPr>
          <w:rFonts w:hint="eastAsia" w:ascii="宋体" w:hAnsi="宋体" w:cs="宋体"/>
          <w:sz w:val="24"/>
        </w:rPr>
      </w:pPr>
      <w:r>
        <w:rPr>
          <w:rFonts w:hint="eastAsia" w:ascii="宋体" w:hAnsi="宋体" w:cs="宋体"/>
          <w:sz w:val="24"/>
        </w:rPr>
        <w:t>各人身保险公司、财产保险公司：</w:t>
      </w:r>
    </w:p>
    <w:p>
      <w:pPr>
        <w:spacing w:line="560" w:lineRule="exact"/>
        <w:ind w:firstLine="480" w:firstLineChars="200"/>
        <w:rPr>
          <w:rFonts w:hint="eastAsia" w:ascii="宋体" w:hAnsi="宋体" w:cs="宋体"/>
          <w:sz w:val="24"/>
        </w:rPr>
      </w:pPr>
      <w:r>
        <w:rPr>
          <w:rFonts w:hint="eastAsia" w:ascii="宋体" w:hAnsi="宋体" w:cs="宋体"/>
          <w:sz w:val="24"/>
        </w:rPr>
        <w:t>根据《中国保险业保单登记管理信息平台数据治理情况的通报》（人身险部函〔2019〕76号）要求，各保险公司应高度重视中国保险业保单登记管理信息平台（以下简称保单登记平台）数据报送工作，严格按照T+1的要求报送数据，不得发生迟报、漏报、瞒报、错报等问题，不断完善数据报送监控和数据质量检查机制，保证数据报送及时、完整、准确。为进一步规范保单登记平台数据报送工作，现将相关工作要求如下：</w:t>
      </w:r>
    </w:p>
    <w:p>
      <w:pPr>
        <w:spacing w:line="560" w:lineRule="exact"/>
        <w:ind w:firstLine="482" w:firstLineChars="200"/>
        <w:rPr>
          <w:rFonts w:hint="eastAsia" w:ascii="宋体" w:hAnsi="宋体" w:cs="宋体"/>
          <w:sz w:val="24"/>
        </w:rPr>
      </w:pPr>
      <w:r>
        <w:rPr>
          <w:rFonts w:hint="eastAsia" w:ascii="宋体" w:hAnsi="宋体" w:cs="宋体"/>
          <w:b/>
          <w:bCs/>
          <w:sz w:val="24"/>
        </w:rPr>
        <w:t>一、各保险公司应建立数据报送监控机制</w:t>
      </w:r>
    </w:p>
    <w:p>
      <w:pPr>
        <w:spacing w:line="560" w:lineRule="exact"/>
        <w:ind w:firstLine="480" w:firstLineChars="200"/>
        <w:rPr>
          <w:rFonts w:hint="eastAsia" w:ascii="宋体" w:hAnsi="宋体" w:cs="宋体"/>
          <w:sz w:val="24"/>
        </w:rPr>
      </w:pPr>
      <w:r>
        <w:rPr>
          <w:rFonts w:hint="eastAsia" w:ascii="宋体" w:hAnsi="宋体" w:cs="宋体"/>
          <w:sz w:val="24"/>
        </w:rPr>
        <w:t>各保险公司应建立保单登记平台数据报送监控机制，借助自动化手段进行数据报送全流程监控，及时发现并解决问题，提高数据报送成功率，确保数据及时报送。</w:t>
      </w:r>
    </w:p>
    <w:p>
      <w:pPr>
        <w:spacing w:line="560" w:lineRule="exact"/>
        <w:ind w:firstLine="480" w:firstLineChars="200"/>
        <w:rPr>
          <w:rFonts w:hint="eastAsia" w:ascii="宋体" w:hAnsi="宋体" w:cs="宋体"/>
          <w:sz w:val="24"/>
        </w:rPr>
      </w:pPr>
      <w:r>
        <w:rPr>
          <w:rFonts w:hint="eastAsia" w:ascii="宋体" w:hAnsi="宋体" w:cs="宋体"/>
          <w:sz w:val="24"/>
        </w:rPr>
        <w:t>通过对保单登记平台数据报送情况分析，各保险公司应重点加强如下六方面工作：</w:t>
      </w:r>
      <w:r>
        <w:rPr>
          <w:rFonts w:hint="eastAsia" w:ascii="宋体" w:hAnsi="宋体" w:cs="宋体"/>
          <w:b/>
          <w:bCs/>
          <w:sz w:val="24"/>
        </w:rPr>
        <w:t>一是</w:t>
      </w:r>
      <w:r>
        <w:rPr>
          <w:rFonts w:hint="eastAsia" w:ascii="宋体" w:hAnsi="宋体" w:cs="宋体"/>
          <w:sz w:val="24"/>
        </w:rPr>
        <w:t>提高数据补报时效，对于未能按照T+1报送或未成功装载的数据，应及时排查处理，并按照T+2进行数据补报。</w:t>
      </w:r>
      <w:r>
        <w:rPr>
          <w:rFonts w:hint="eastAsia" w:ascii="宋体" w:hAnsi="宋体" w:cs="宋体"/>
          <w:b/>
          <w:bCs/>
          <w:sz w:val="24"/>
        </w:rPr>
        <w:t>二是</w:t>
      </w:r>
      <w:r>
        <w:rPr>
          <w:rFonts w:hint="eastAsia" w:ascii="宋体" w:hAnsi="宋体" w:cs="宋体"/>
          <w:sz w:val="24"/>
        </w:rPr>
        <w:t>按时进行汇总对账，每日数据全部装载完成后，应及时发起对账流程</w:t>
      </w:r>
      <w:r>
        <w:rPr>
          <w:rFonts w:hint="eastAsia" w:ascii="宋体" w:hAnsi="宋体" w:cs="宋体"/>
          <w:sz w:val="24"/>
        </w:rPr>
        <w:footnoteReference w:id="0"/>
      </w:r>
      <w:r>
        <w:rPr>
          <w:rFonts w:hint="eastAsia" w:ascii="宋体" w:hAnsi="宋体" w:cs="宋体"/>
          <w:sz w:val="24"/>
        </w:rPr>
        <w:t>，确保数据完整报送。</w:t>
      </w:r>
      <w:r>
        <w:rPr>
          <w:rFonts w:hint="eastAsia" w:ascii="宋体" w:hAnsi="宋体" w:cs="宋体"/>
          <w:b/>
          <w:bCs/>
          <w:sz w:val="24"/>
        </w:rPr>
        <w:t>三是</w:t>
      </w:r>
      <w:r>
        <w:rPr>
          <w:rFonts w:hint="eastAsia" w:ascii="宋体" w:hAnsi="宋体" w:cs="宋体"/>
          <w:sz w:val="24"/>
        </w:rPr>
        <w:t>制定设备巡检方案，保障保单登记平台数据报送相关系统、数据库、服务器、加密机、网络等稳定运行。</w:t>
      </w:r>
      <w:r>
        <w:rPr>
          <w:rFonts w:hint="eastAsia" w:ascii="宋体" w:hAnsi="宋体" w:cs="宋体"/>
          <w:b/>
          <w:bCs/>
          <w:sz w:val="24"/>
        </w:rPr>
        <w:t>四是</w:t>
      </w:r>
      <w:r>
        <w:rPr>
          <w:rFonts w:hint="eastAsia" w:ascii="宋体" w:hAnsi="宋体" w:cs="宋体"/>
          <w:sz w:val="24"/>
        </w:rPr>
        <w:t>进行数据报送模拟测试，当调整取数逻辑或相关系统更新升级时，应全面考虑对数据报送的影响，充分测试。</w:t>
      </w:r>
      <w:r>
        <w:rPr>
          <w:rFonts w:hint="eastAsia" w:ascii="宋体" w:hAnsi="宋体" w:cs="宋体"/>
          <w:b/>
          <w:bCs/>
          <w:sz w:val="24"/>
        </w:rPr>
        <w:t>五是</w:t>
      </w:r>
      <w:r>
        <w:rPr>
          <w:rFonts w:hint="eastAsia" w:ascii="宋体" w:hAnsi="宋体" w:cs="宋体"/>
          <w:sz w:val="24"/>
        </w:rPr>
        <w:t>合理配置人员，避免因人员问题导致数据报送不及时。</w:t>
      </w:r>
      <w:r>
        <w:rPr>
          <w:rFonts w:hint="eastAsia" w:ascii="宋体" w:hAnsi="宋体" w:cs="宋体"/>
          <w:b/>
          <w:bCs/>
          <w:sz w:val="24"/>
        </w:rPr>
        <w:t>六是</w:t>
      </w:r>
      <w:r>
        <w:rPr>
          <w:rFonts w:hint="eastAsia" w:ascii="宋体" w:hAnsi="宋体" w:cs="宋体"/>
          <w:sz w:val="24"/>
        </w:rPr>
        <w:t>合理进行每日报送前数据校验，并及时处理问题数据。</w:t>
      </w:r>
    </w:p>
    <w:p>
      <w:pPr>
        <w:spacing w:line="560" w:lineRule="exact"/>
        <w:ind w:firstLine="482" w:firstLineChars="200"/>
        <w:rPr>
          <w:rFonts w:hint="eastAsia" w:ascii="宋体" w:hAnsi="宋体" w:cs="宋体"/>
          <w:b/>
          <w:bCs/>
          <w:sz w:val="24"/>
        </w:rPr>
      </w:pPr>
      <w:r>
        <w:rPr>
          <w:rFonts w:hint="eastAsia" w:ascii="宋体" w:hAnsi="宋体" w:cs="宋体"/>
          <w:b/>
          <w:bCs/>
          <w:sz w:val="24"/>
        </w:rPr>
        <w:t>二、各保险公司应主动反馈数据报送情况</w:t>
      </w:r>
    </w:p>
    <w:p>
      <w:pPr>
        <w:spacing w:line="560" w:lineRule="exact"/>
        <w:ind w:firstLine="480" w:firstLineChars="200"/>
        <w:rPr>
          <w:rFonts w:hint="eastAsia" w:ascii="宋体" w:hAnsi="宋体" w:cs="宋体"/>
          <w:sz w:val="24"/>
        </w:rPr>
      </w:pPr>
      <w:r>
        <w:rPr>
          <w:rFonts w:hint="eastAsia" w:ascii="宋体" w:hAnsi="宋体" w:cs="宋体"/>
          <w:sz w:val="24"/>
        </w:rPr>
        <w:t>各保险公司进行保单登记平台数据报送时，应主动反馈数据报送情况。具体反馈场景及要求如下：</w:t>
      </w:r>
    </w:p>
    <w:p>
      <w:pPr>
        <w:spacing w:line="560" w:lineRule="exact"/>
        <w:ind w:firstLine="482" w:firstLineChars="200"/>
        <w:rPr>
          <w:rFonts w:hint="eastAsia" w:ascii="宋体" w:hAnsi="宋体" w:cs="宋体"/>
          <w:sz w:val="24"/>
        </w:rPr>
      </w:pPr>
      <w:r>
        <w:rPr>
          <w:rFonts w:hint="eastAsia" w:ascii="宋体" w:hAnsi="宋体" w:cs="宋体"/>
          <w:b/>
          <w:bCs/>
          <w:sz w:val="24"/>
        </w:rPr>
        <w:t>（一）反馈场景</w:t>
      </w:r>
    </w:p>
    <w:p>
      <w:pPr>
        <w:spacing w:line="560" w:lineRule="exact"/>
        <w:ind w:firstLine="482" w:firstLineChars="200"/>
        <w:rPr>
          <w:rFonts w:hint="eastAsia" w:ascii="宋体" w:hAnsi="宋体" w:cs="宋体"/>
          <w:sz w:val="24"/>
        </w:rPr>
      </w:pPr>
      <w:r>
        <w:rPr>
          <w:rFonts w:hint="eastAsia" w:ascii="宋体" w:hAnsi="宋体" w:cs="宋体"/>
          <w:b/>
          <w:bCs/>
          <w:sz w:val="24"/>
        </w:rPr>
        <w:t>1.无业务发生：</w:t>
      </w:r>
      <w:r>
        <w:rPr>
          <w:rFonts w:hint="eastAsia" w:ascii="宋体" w:hAnsi="宋体" w:cs="宋体"/>
          <w:sz w:val="24"/>
        </w:rPr>
        <w:t>如交易日没有平台相关的业务发生，应反馈无业务发生的日期。</w:t>
      </w:r>
    </w:p>
    <w:p>
      <w:pPr>
        <w:spacing w:line="560" w:lineRule="exact"/>
        <w:ind w:firstLine="482" w:firstLineChars="200"/>
        <w:rPr>
          <w:rFonts w:hint="eastAsia" w:ascii="宋体" w:hAnsi="宋体" w:cs="宋体"/>
          <w:sz w:val="24"/>
        </w:rPr>
      </w:pPr>
      <w:r>
        <w:rPr>
          <w:rFonts w:hint="eastAsia" w:ascii="宋体" w:hAnsi="宋体" w:cs="宋体"/>
          <w:b/>
          <w:bCs/>
          <w:sz w:val="24"/>
        </w:rPr>
        <w:t>2.数据未按时报送：</w:t>
      </w:r>
      <w:r>
        <w:rPr>
          <w:rFonts w:hint="eastAsia" w:ascii="宋体" w:hAnsi="宋体" w:cs="宋体"/>
          <w:sz w:val="24"/>
        </w:rPr>
        <w:t>如在当日16:00前未完成数据上传或发起报送成功通知，应反馈未按时完成的详细原因、解决方案、补报计划等。</w:t>
      </w:r>
    </w:p>
    <w:p>
      <w:pPr>
        <w:spacing w:line="560" w:lineRule="exact"/>
        <w:ind w:firstLine="482" w:firstLineChars="200"/>
        <w:rPr>
          <w:rFonts w:hint="eastAsia" w:ascii="宋体" w:hAnsi="宋体" w:cs="宋体"/>
          <w:sz w:val="24"/>
        </w:rPr>
      </w:pPr>
      <w:r>
        <w:rPr>
          <w:rFonts w:hint="eastAsia" w:ascii="宋体" w:hAnsi="宋体" w:cs="宋体"/>
          <w:b/>
          <w:bCs/>
          <w:sz w:val="24"/>
        </w:rPr>
        <w:t>3.数据未全部成功装载：</w:t>
      </w:r>
      <w:r>
        <w:rPr>
          <w:rFonts w:hint="eastAsia" w:ascii="宋体" w:hAnsi="宋体" w:cs="宋体"/>
          <w:sz w:val="24"/>
        </w:rPr>
        <w:t>保险公司应于每日16:00起开始查询数据装载结果，若平台返回的批次装载结果不为“该批次处理完成，数据装载处理成功（05050100）”，应逐批次反馈错误原因、解决方案、补报计划等。</w:t>
      </w:r>
    </w:p>
    <w:p>
      <w:pPr>
        <w:spacing w:line="560" w:lineRule="exact"/>
        <w:ind w:firstLine="482" w:firstLineChars="200"/>
        <w:rPr>
          <w:rFonts w:hint="eastAsia" w:ascii="宋体" w:hAnsi="宋体" w:cs="宋体"/>
          <w:sz w:val="24"/>
        </w:rPr>
      </w:pPr>
      <w:r>
        <w:rPr>
          <w:rFonts w:hint="eastAsia" w:ascii="宋体" w:hAnsi="宋体" w:cs="宋体"/>
          <w:b/>
          <w:bCs/>
          <w:sz w:val="24"/>
        </w:rPr>
        <w:t>4.未及时补报：</w:t>
      </w:r>
      <w:r>
        <w:rPr>
          <w:rFonts w:hint="eastAsia" w:ascii="宋体" w:hAnsi="宋体" w:cs="宋体"/>
          <w:sz w:val="24"/>
        </w:rPr>
        <w:t>如未能按照T+2进行数据补报，应逐批次反馈未及时补报的详细原因及后续补报计划等。</w:t>
      </w:r>
    </w:p>
    <w:p>
      <w:pPr>
        <w:spacing w:line="560" w:lineRule="exact"/>
        <w:ind w:firstLine="482" w:firstLineChars="200"/>
        <w:rPr>
          <w:rFonts w:hint="eastAsia" w:ascii="宋体" w:hAnsi="宋体" w:cs="宋体"/>
          <w:sz w:val="24"/>
        </w:rPr>
      </w:pPr>
      <w:r>
        <w:rPr>
          <w:rFonts w:hint="eastAsia" w:ascii="宋体" w:hAnsi="宋体" w:cs="宋体"/>
          <w:b/>
          <w:bCs/>
          <w:sz w:val="24"/>
        </w:rPr>
        <w:t>5.数据完成补报：</w:t>
      </w:r>
      <w:r>
        <w:rPr>
          <w:rFonts w:hint="eastAsia" w:ascii="宋体" w:hAnsi="宋体" w:cs="宋体"/>
          <w:sz w:val="24"/>
        </w:rPr>
        <w:t>数据补报完成后，应逐批次反馈补报批次号、批次装载结果、批次对应交易日期、交易条数及保单总量等。</w:t>
      </w:r>
    </w:p>
    <w:p>
      <w:pPr>
        <w:spacing w:line="560" w:lineRule="exact"/>
        <w:ind w:firstLine="482" w:firstLineChars="200"/>
        <w:rPr>
          <w:rFonts w:hint="eastAsia" w:ascii="宋体" w:hAnsi="宋体" w:cs="宋体"/>
          <w:sz w:val="24"/>
        </w:rPr>
      </w:pPr>
      <w:r>
        <w:rPr>
          <w:rFonts w:hint="eastAsia" w:ascii="宋体" w:hAnsi="宋体" w:cs="宋体"/>
          <w:b/>
          <w:bCs/>
          <w:sz w:val="24"/>
        </w:rPr>
        <w:t>6.对账不成功：</w:t>
      </w:r>
      <w:r>
        <w:rPr>
          <w:rFonts w:hint="eastAsia" w:ascii="宋体" w:hAnsi="宋体" w:cs="宋体"/>
          <w:sz w:val="24"/>
        </w:rPr>
        <w:t>对账后，若平台返回的对账结果不为“汇总对账处理完成，无差异（02170100）”或“明细对账完成，不存在差异（07070100）”，应反馈对账对应交易日期、差异原因及补报方案等。</w:t>
      </w:r>
    </w:p>
    <w:p>
      <w:pPr>
        <w:spacing w:line="560" w:lineRule="exact"/>
        <w:ind w:firstLine="482" w:firstLineChars="200"/>
        <w:rPr>
          <w:rFonts w:hint="eastAsia" w:ascii="宋体" w:hAnsi="宋体" w:cs="宋体"/>
          <w:b/>
          <w:bCs/>
          <w:sz w:val="24"/>
        </w:rPr>
      </w:pPr>
      <w:r>
        <w:rPr>
          <w:rFonts w:hint="eastAsia" w:ascii="宋体" w:hAnsi="宋体" w:cs="宋体"/>
          <w:b/>
          <w:bCs/>
          <w:sz w:val="24"/>
        </w:rPr>
        <w:t>（二）反馈要求</w:t>
      </w:r>
    </w:p>
    <w:p>
      <w:pPr>
        <w:spacing w:line="560" w:lineRule="exact"/>
        <w:ind w:firstLine="480" w:firstLineChars="200"/>
        <w:rPr>
          <w:rFonts w:hint="eastAsia" w:ascii="宋体" w:hAnsi="宋体" w:cs="宋体"/>
          <w:sz w:val="24"/>
        </w:rPr>
      </w:pPr>
      <w:r>
        <w:rPr>
          <w:rFonts w:hint="eastAsia" w:ascii="宋体" w:hAnsi="宋体" w:cs="宋体"/>
          <w:sz w:val="24"/>
        </w:rPr>
        <w:t>各保险公司应于上述场景发生次日11:00前，通过对接平台专用邮箱反馈至保单登记平台邮箱（bddj@cbit.com.cn），并将邮件主题命名为“数据报送情况反馈+六位机构编码+公司中文简称”。如需反馈多个场景的情况，可合并为一封邮件发送。同时，为便于后续沟通，需于邮件正文末标注数据报送相关联系人姓名及电话。</w:t>
      </w:r>
    </w:p>
    <w:p>
      <w:pPr>
        <w:spacing w:line="560" w:lineRule="exact"/>
        <w:ind w:firstLine="480" w:firstLineChars="200"/>
        <w:rPr>
          <w:rFonts w:hint="eastAsia" w:ascii="宋体" w:hAnsi="宋体" w:cs="宋体"/>
          <w:sz w:val="24"/>
        </w:rPr>
      </w:pPr>
      <w:r>
        <w:rPr>
          <w:rFonts w:hint="eastAsia" w:ascii="宋体" w:hAnsi="宋体" w:cs="宋体"/>
          <w:sz w:val="24"/>
        </w:rPr>
        <w:t>各保险公司进行数据报送时，有任何疑问，请及时与保单登记平台联系。保单登记平台将对各保险公司数据报送情况进行监控、记录，并纳入数据质量评价范畴。</w:t>
      </w:r>
    </w:p>
    <w:p>
      <w:pPr>
        <w:spacing w:line="560" w:lineRule="exact"/>
        <w:ind w:firstLine="480" w:firstLineChars="200"/>
        <w:rPr>
          <w:rFonts w:hint="eastAsia" w:ascii="宋体" w:hAnsi="宋体" w:cs="宋体"/>
          <w:sz w:val="24"/>
        </w:rPr>
      </w:pPr>
      <w:r>
        <w:rPr>
          <w:rFonts w:hint="eastAsia" w:ascii="宋体" w:hAnsi="宋体" w:cs="宋体"/>
          <w:sz w:val="24"/>
        </w:rPr>
        <w:t>保单登记平台邮箱：bddj@cbit.com.cn</w:t>
      </w:r>
    </w:p>
    <w:p>
      <w:pPr>
        <w:spacing w:line="560" w:lineRule="exact"/>
        <w:ind w:firstLine="480" w:firstLineChars="200"/>
        <w:rPr>
          <w:rFonts w:hint="eastAsia" w:ascii="宋体" w:hAnsi="宋体" w:cs="宋体"/>
          <w:sz w:val="24"/>
        </w:rPr>
      </w:pPr>
      <w:r>
        <w:rPr>
          <w:rFonts w:hint="eastAsia" w:ascii="宋体" w:hAnsi="宋体" w:cs="宋体"/>
          <w:sz w:val="24"/>
        </w:rPr>
        <w:t>联系电话：010-88195931（人身险）</w:t>
      </w:r>
      <w:r>
        <w:rPr>
          <w:rFonts w:hint="eastAsia" w:ascii="宋体" w:hAnsi="宋体" w:cs="宋体"/>
          <w:sz w:val="24"/>
          <w:lang w:val="en-US" w:eastAsia="zh-CN"/>
        </w:rPr>
        <w:t xml:space="preserve">   </w:t>
      </w:r>
      <w:r>
        <w:rPr>
          <w:rFonts w:hint="eastAsia" w:ascii="宋体" w:hAnsi="宋体" w:cs="宋体"/>
          <w:sz w:val="24"/>
        </w:rPr>
        <w:t>010-88195932（财产险）</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31. 关于批次处理结果邮件通知服务启用的公告</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保单登记平台自12月14日起启用了批次处理结果邮件通知功能，请各保险公司注意及时查收。此功能为了各保险公司更直观了解装载结果，无须回复。针对批次处理结果邮件说明如下：</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邮件主题：六位机构编码+批次处理结果（示例：000XXX批次处理结果）</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邮件发送时间：每日23:00-24:00</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注：1.邮件对当日存量、增量、补报、重报、汇总对账、明细对账的处理结果和状态码进行列示。</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2.针对多个批次上传、对账请求，邮件中会顺序列出批次或对账状态详情。</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3.状态码为“05050100”，状态码说明为“当无错误文件时，此路径值位null”时，该批次装载全部成功，无错误文件。</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4.状态码定义详见《2-4数据抽取技术方案说明及接口规范》/接口代码定义/状态码。</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32. 对未能找到错误原因的批次如何处理？</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a.根据装载结果查询返回报文所载明的错误，按要求对比、分析上传数据。错误状态报文示例：“该批次处理完成，数据校验处理，交易编码在平台存在”、“该批次处理完成，数据校验处理，数据交易条数与报文交易条数不一致”、“数据装载处理中”、“数据校验处理，数据中存在交易编码或批次号为空数据”等。</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b.如核查数据文件后并未发现返回报文中所述错误，应及时在运维平台提交工单，以便平台协助核查问题原因。提交工单后，须同步通过微信或邮件反馈，以便运营人员跟进协调。</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c.对于在运维服务平台提交工单的批次，应在平台处理完成后，再进行数据重报、补报工作。切勿在工单提交后，随意变更或用原交易编码，重新组织数据上报。</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33. 关于保单登记平台三期数据修正的通知</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保单登记平台三期数据修正工作正式启动，请各保险公司知悉。</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为提高各保险公司保单登记平台三期数据修正申请提交的准确性、完整性以及规范性，平台编写了《中国保险业保单登记管理信息平台（三期）数据修正申请说明文档》（具体详见2018年12月13日通知邮件），文档对修正申请单及文本文件的填写要求、修正申请的提交要求进行了详尽说明，请各保险公司务必认真阅读。现将部分注意事项摘要如下：</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a.《中国保险业保单登记管理信息平台（三期）数据修正申请单》详见附件8。</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b.保单登记平台三期支持5种修正类型：按批次号修正、按交易编码修正、按保单编号修正、按模块修正、按公司编码修正。除按批次号修正外，各公司提交申请前应与平台联系沟通修正事宜。</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c.同一修正申请单可申请按多种修正类型修正，不同修正类型需创建不同文本文件（TXT），应严格按照说明文档要求准备申请材料。</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d.在运维服务平台提交数据修正申请时需上传3个附件，分别为WORD版修正申请单、PDF版修正申请单、文本文件（TXT）；同时纸质版修正申请单应寄送至平台。</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e.文本文件（TXT）命名规范为：公司编码（六位数字）_财寿标志（一位字母）_YYYYMMDD_险种标识（二位数字）_修正类型标识_流水号(五位数字).txt。</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f.上传附件时，如文本文件（TXT）在2个以上（含2个），应将文件打包压缩，命名为“修正流水号-公司名称简称”。</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34. 关于提交数据修正申请的补充说明</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a.提交修正工单时，为避免处理时出现错误，文本文件（txt）</w:t>
      </w:r>
      <w:r>
        <w:rPr>
          <w:rFonts w:hint="eastAsia" w:asciiTheme="minorEastAsia" w:hAnsiTheme="minorEastAsia" w:eastAsiaTheme="minorEastAsia" w:cstheme="minorEastAsia"/>
          <w:lang w:eastAsia="zh-CN"/>
        </w:rPr>
        <w:t>字符集应为</w:t>
      </w:r>
      <w:r>
        <w:rPr>
          <w:rFonts w:hint="eastAsia" w:asciiTheme="minorEastAsia" w:hAnsiTheme="minorEastAsia" w:eastAsiaTheme="minorEastAsia" w:cstheme="minorEastAsia"/>
          <w:b/>
          <w:bCs/>
          <w:lang w:val="en-US" w:eastAsia="zh-CN"/>
        </w:rPr>
        <w:t>UTF-8</w:t>
      </w:r>
      <w:r>
        <w:rPr>
          <w:rFonts w:hint="eastAsia" w:asciiTheme="minorEastAsia" w:hAnsiTheme="minorEastAsia" w:eastAsiaTheme="minorEastAsia" w:cstheme="minorEastAsia"/>
          <w:lang w:val="en-US" w:eastAsia="zh-CN"/>
        </w:rPr>
        <w:t>，文本文件（txt）</w:t>
      </w:r>
      <w:r>
        <w:rPr>
          <w:rFonts w:hint="eastAsia" w:asciiTheme="minorEastAsia" w:hAnsiTheme="minorEastAsia" w:eastAsiaTheme="minorEastAsia" w:cstheme="minorEastAsia"/>
        </w:rPr>
        <w:t>中勿包含多余的</w:t>
      </w:r>
      <w:r>
        <w:rPr>
          <w:rFonts w:hint="eastAsia" w:asciiTheme="minorEastAsia" w:hAnsiTheme="minorEastAsia" w:eastAsiaTheme="minorEastAsia" w:cstheme="minorEastAsia"/>
          <w:b/>
          <w:bCs/>
          <w:lang w:eastAsia="zh-CN"/>
        </w:rPr>
        <w:t>字符、</w:t>
      </w:r>
      <w:r>
        <w:rPr>
          <w:rFonts w:hint="eastAsia" w:asciiTheme="minorEastAsia" w:hAnsiTheme="minorEastAsia" w:eastAsiaTheme="minorEastAsia" w:cstheme="minorEastAsia"/>
          <w:b/>
          <w:bCs/>
        </w:rPr>
        <w:t>空格</w:t>
      </w:r>
      <w:r>
        <w:rPr>
          <w:rFonts w:hint="eastAsia" w:asciiTheme="minorEastAsia" w:hAnsiTheme="minorEastAsia" w:eastAsiaTheme="minorEastAsia" w:cstheme="minorEastAsia"/>
          <w:b/>
          <w:bCs/>
          <w:lang w:eastAsia="zh-CN"/>
        </w:rPr>
        <w:t>、</w:t>
      </w:r>
      <w:r>
        <w:rPr>
          <w:rFonts w:hint="eastAsia" w:asciiTheme="minorEastAsia" w:hAnsiTheme="minorEastAsia" w:eastAsiaTheme="minorEastAsia" w:cstheme="minorEastAsia"/>
          <w:b/>
          <w:bCs/>
        </w:rPr>
        <w:t>空行</w:t>
      </w:r>
      <w:r>
        <w:rPr>
          <w:rFonts w:hint="eastAsia" w:asciiTheme="minorEastAsia" w:hAnsiTheme="minorEastAsia" w:eastAsiaTheme="minorEastAsia" w:cstheme="minorEastAsia"/>
        </w:rPr>
        <w:t>。</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b.提交“按批次号”修正任务时，应按要求在“任务描述”处标明本次删除批次总量。</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c.提交数据治理相关数据修正申请前，应与数据治理项目组沟通，确认具体修正要求后，方可提交修正申请。</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d.提交修正申请时，请认真核查待修正删除的数据，确保待删除数据在平台存在（可在本地自行查询或在运维服务平台提交工单查询），如审核时发现待删除数据不存在，则本次申请终止，保险公司需确认数据无误后重新提交新的修正申请（含盖章纸质版）。</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 xml:space="preserve">35. 装载结果查询返回报文中的状态码与中文描述不一致，应以哪个为准？ </w:t>
      </w:r>
    </w:p>
    <w:p>
      <w:pPr>
        <w:spacing w:line="560" w:lineRule="exact"/>
      </w:pPr>
      <w:r>
        <w:rPr>
          <w:rFonts w:hint="eastAsia" w:ascii="宋体" w:hAnsi="宋体"/>
          <w:szCs w:val="21"/>
        </w:rPr>
        <w:t>查询批次装载状态时，如中文描述“</w:t>
      </w:r>
      <w:r>
        <w:rPr>
          <w:rFonts w:ascii="宋体" w:hAnsi="宋体"/>
          <w:szCs w:val="21"/>
        </w:rPr>
        <w:t>Msg</w:t>
      </w:r>
      <w:r>
        <w:rPr>
          <w:rFonts w:hint="eastAsia" w:ascii="宋体" w:hAnsi="宋体"/>
          <w:szCs w:val="21"/>
        </w:rPr>
        <w:t>”与状态码“</w:t>
      </w:r>
      <w:r>
        <w:rPr>
          <w:rFonts w:ascii="宋体" w:hAnsi="宋体"/>
          <w:szCs w:val="21"/>
        </w:rPr>
        <w:t>DataStatus</w:t>
      </w:r>
      <w:r>
        <w:rPr>
          <w:rFonts w:hint="eastAsia" w:ascii="宋体" w:hAnsi="宋体"/>
          <w:szCs w:val="21"/>
        </w:rPr>
        <w:t>”不一致，应以“</w:t>
      </w:r>
      <w:r>
        <w:rPr>
          <w:rFonts w:ascii="宋体" w:hAnsi="宋体"/>
          <w:szCs w:val="21"/>
        </w:rPr>
        <w:t>DataStatus</w:t>
      </w:r>
      <w:r>
        <w:rPr>
          <w:rFonts w:hint="eastAsia" w:ascii="宋体" w:hAnsi="宋体"/>
          <w:szCs w:val="21"/>
        </w:rPr>
        <w:t>”结果为准，</w:t>
      </w:r>
      <w:r>
        <w:rPr>
          <w:rFonts w:hint="eastAsia" w:ascii="宋体" w:hAnsi="宋体" w:cs="宋体"/>
        </w:rPr>
        <w:t>状态码具体内容详见《2-4中国保险业保单登记管理信息平台（第三期）数据抽取技术方案说明及接口规范（财产险）》中的3.3接口定义-3.3.1状态码；如还是无法判定最终结果的，</w:t>
      </w:r>
      <w:r>
        <w:rPr>
          <w:rFonts w:hint="eastAsia" w:ascii="宋体" w:hAnsi="宋体"/>
          <w:szCs w:val="21"/>
        </w:rPr>
        <w:t>也可在运维服务平台提交工单进行查询。</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36. 关于保单登记平台特殊业务场景报备表更新的补充说明</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a.为提高报备效率，《保单登记平台特殊业务场景报备表》（以下简称《报备表》，见FAQ文档附件10）填写完成后，应发送至保单登记平台邮箱进行初审。</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b.邮件主题命名为：【场景报备（预审）】+六位机构编码+公司中文简称。示例：【场景报备（预审）】+000XXX+XX公司。</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c.初审完成后，《保单登记平台特殊业务场景报备说明》（以下简称《报备说明》，见FAQ文档附件9）需由数据报送和质量管理负责人签字并加盖总公司公章，《报备说明》及《报备表》需加盖骑缝章，将 PDF 文档连同《报备表》Excel 文件发送至保单登记平台邮箱，纸质版寄送至中国保信。</w:t>
      </w:r>
    </w:p>
    <w:p>
      <w:pPr>
        <w:spacing w:line="560" w:lineRule="exac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e.为提高审核效率，平台会对报备表中的内容进行预审，符合条件后提交正式带有签名及盖章的报备表流程。</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37. 保单登记平台数据报送完整性自核指标及计算方法（财产险公司）</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一、比对指标</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1.签单数量：指在统计月份内起保保单件数。</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2.原保单保费：指在统计月份内起保保单原始的保费收入（剔除批改部分）。</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二、计算方法</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（一）签单数量</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1.保单登记平台计算方法：在保单标的责任信息表中，“起保日期”在统计月内，用“产品编号”和“条款编号”关联产品条款关系信息表和条款信息表，取具体条款对应险类，分险类统计</w:t>
      </w:r>
      <w:r>
        <w:rPr>
          <w:rStyle w:val="49"/>
          <w:rFonts w:hint="eastAsia" w:asciiTheme="minorEastAsia" w:hAnsiTheme="minorEastAsia" w:eastAsiaTheme="minorEastAsia" w:cstheme="minorEastAsia"/>
        </w:rPr>
        <w:footnoteReference w:id="1"/>
      </w:r>
      <w:r>
        <w:rPr>
          <w:rFonts w:hint="eastAsia" w:asciiTheme="minorEastAsia" w:hAnsiTheme="minorEastAsia" w:eastAsiaTheme="minorEastAsia" w:cstheme="minorEastAsia"/>
        </w:rPr>
        <w:t>保单数量。统计时剔除共保保单，不需剔除退保保单。</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例：某个非共保保单，主险为健康险，只包含一个健康险条款；附加险包含一个健康险条款和一个意外伤害险条款。根据上述计算方法，健康险、意外伤害险的签单数量各计1件，总计2件。</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2.统信系统计算方法：“签单数量”的当月发生值</w:t>
      </w:r>
      <w:r>
        <w:rPr>
          <w:rStyle w:val="49"/>
          <w:rFonts w:hint="eastAsia" w:asciiTheme="minorEastAsia" w:hAnsiTheme="minorEastAsia" w:eastAsiaTheme="minorEastAsia" w:cstheme="minorEastAsia"/>
        </w:rPr>
        <w:footnoteReference w:id="2"/>
      </w:r>
      <w:r>
        <w:rPr>
          <w:rFonts w:hint="eastAsia" w:asciiTheme="minorEastAsia" w:hAnsiTheme="minorEastAsia" w:eastAsiaTheme="minorEastAsia" w:cstheme="minorEastAsia"/>
        </w:rPr>
        <w:t>，分险类统计件数。</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（二）原保单保费</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1.保单登记平台计算方法：在保单标的责任信息表中，“起保日期”在统计月内，用“产品编号”和“条款编号”关联产品条款关系信息表和条款信息表，取具体条款对应险类，分险类计算 “保费（不含税）”之和。统计时剔除共保保单，不需剔除退保保单。</w:t>
      </w:r>
    </w:p>
    <w:p>
      <w:pPr>
        <w:spacing w:line="560" w:lineRule="exact"/>
        <w:rPr>
          <w:rFonts w:asciiTheme="minorEastAsia" w:hAnsiTheme="minorEastAsia" w:eastAsiaTheme="minorEastAsia" w:cstheme="minorEastAsia"/>
        </w:rPr>
      </w:pPr>
      <w:r>
        <w:rPr>
          <w:rFonts w:hint="eastAsia" w:asciiTheme="minorEastAsia" w:hAnsiTheme="minorEastAsia" w:eastAsiaTheme="minorEastAsia" w:cstheme="minorEastAsia"/>
        </w:rPr>
        <w:t>2.统信系统计算方法：“签单保费”的当月发生值减去“批增保费”的当月发生值加上“批减保费”的当月发生值，分险类统计。</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38. 数据报送完整性对比报告的提交要求及主题规范</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各保险公司应建立保单登记平台数据报送完整性指标自核管理机制。每月对上月报送至保单登记平台的数据进行统计，形成保单登记平台保单件数和保费统计表，并与银保监会统计信息系统（以下简称统信系统）获取的保单件数和保费指标进行比对分析。</w:t>
      </w:r>
    </w:p>
    <w:p>
      <w:pPr>
        <w:spacing w:line="560" w:lineRule="exact"/>
        <w:ind w:firstLine="480" w:firstLineChars="200"/>
      </w:pPr>
      <w:r>
        <w:rPr>
          <w:rFonts w:hint="eastAsia" w:asciiTheme="minorEastAsia" w:hAnsiTheme="minorEastAsia" w:eastAsiaTheme="minorEastAsia" w:cstheme="minorEastAsia"/>
        </w:rPr>
        <w:t>各保险公司《保单登记平台数据报送完整性对比报告》填写完成，经本公司数据报送和质量管理负责人签字并加盖公章后，扫描成PDF后，连同原始Word和Excel文件，于每月30日前通过各保险公司保单登记平台专用邮箱将本月开展的上月报送数据自核情况发送至中国保信保单登记平台邮箱。邮件主题命名为：“年月-公司编码-公司简称-数据报送完整性对比报告”。</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39. 什么情况下需要提交对接联系人及联系方式的变更？</w:t>
      </w:r>
    </w:p>
    <w:p>
      <w:pPr>
        <w:spacing w:line="56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各保险公司的对接平台联系人，如有任何一人岗位或联系方式发生变更后，就应及时填写保单登记平台对接联系人信息表（详见附件），并通过邮件反馈至平台。</w:t>
      </w:r>
    </w:p>
    <w:p>
      <w:pPr>
        <w:spacing w:line="560" w:lineRule="exact"/>
        <w:ind w:firstLine="482" w:firstLineChars="200"/>
        <w:rPr>
          <w:rFonts w:asciiTheme="minorEastAsia" w:hAnsiTheme="minorEastAsia" w:eastAsiaTheme="minorEastAsia" w:cstheme="minorEastAsia"/>
          <w:b/>
          <w:color w:val="000000" w:themeColor="text1"/>
          <w14:textFill>
            <w14:solidFill>
              <w14:schemeClr w14:val="tx1"/>
            </w14:solidFill>
          </w14:textFill>
        </w:rPr>
      </w:pPr>
      <w:r>
        <w:rPr>
          <w:rFonts w:hint="eastAsia" w:asciiTheme="minorEastAsia" w:hAnsiTheme="minorEastAsia" w:eastAsiaTheme="minorEastAsia" w:cstheme="minorEastAsia"/>
          <w:b/>
          <w:color w:val="000000" w:themeColor="text1"/>
          <w14:textFill>
            <w14:solidFill>
              <w14:schemeClr w14:val="tx1"/>
            </w14:solidFill>
          </w14:textFill>
        </w:rPr>
        <w:t>邮件主题为【对接平台联系人】+000XXX+公司简称。</w:t>
      </w:r>
    </w:p>
    <w:p>
      <w:pPr>
        <w:pStyle w:val="4"/>
        <w:numPr>
          <w:ilvl w:val="255"/>
          <w:numId w:val="0"/>
        </w:numPr>
        <w:spacing w:before="0" w:after="0" w:line="560" w:lineRule="exact"/>
        <w:rPr>
          <w:rFonts w:ascii="仿宋" w:hAnsi="仿宋" w:eastAsia="仿宋" w:cs="仿宋"/>
          <w:sz w:val="28"/>
          <w:szCs w:val="28"/>
        </w:rPr>
      </w:pPr>
      <w:r>
        <w:rPr>
          <w:rFonts w:hint="eastAsia" w:ascii="仿宋" w:hAnsi="仿宋" w:eastAsia="仿宋" w:cs="仿宋"/>
          <w:sz w:val="28"/>
          <w:szCs w:val="28"/>
        </w:rPr>
        <w:t>40. 数据报送完整性对比报告可以复用上月盖章报告吗？</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各保险公司《保单登记平台数据报送完整性对比报告》填写完成后，经本经本公司数据报送和质量管理负责人签字并加盖公章后，扫描成DPF后，连同原始Word和Excel文件，于每月30日前通过各保险公司保单登记平台专用邮箱将本月开展的上月报送数据自核情况发送至中国保信保单登记平台邮箱。</w:t>
      </w:r>
    </w:p>
    <w:p>
      <w:pPr>
        <w:spacing w:line="56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综上所述，《报告》完成后，须由保险公司数据报送和质量管理负责人签字确认并加盖公章。不可复用上月《报告》内容，还应注意填写日期。</w:t>
      </w:r>
    </w:p>
    <w:p>
      <w:pPr>
        <w:pStyle w:val="4"/>
        <w:spacing w:before="0" w:after="0" w:line="560" w:lineRule="exact"/>
        <w:rPr>
          <w:rFonts w:ascii="仿宋" w:hAnsi="仿宋" w:eastAsia="仿宋" w:cs="仿宋"/>
          <w:sz w:val="28"/>
          <w:szCs w:val="28"/>
        </w:rPr>
      </w:pPr>
      <w:r>
        <w:rPr>
          <w:rFonts w:hint="eastAsia" w:ascii="仿宋" w:hAnsi="仿宋" w:eastAsia="仿宋" w:cs="仿宋"/>
          <w:sz w:val="28"/>
          <w:szCs w:val="28"/>
        </w:rPr>
        <w:t>41. 出现“数据校验处理，数据交易条数与报文交易条数不一致”问题的补充说明</w:t>
      </w:r>
    </w:p>
    <w:p>
      <w:pPr>
        <w:spacing w:line="560" w:lineRule="exact"/>
        <w:ind w:firstLine="480" w:firstLineChars="200"/>
        <w:rPr>
          <w:rFonts w:ascii="宋体" w:hAnsi="宋体" w:cs="宋体"/>
          <w:b/>
          <w:bCs/>
        </w:rPr>
      </w:pPr>
      <w:r>
        <w:rPr>
          <w:rFonts w:hint="eastAsia" w:ascii="宋体" w:hAnsi="宋体" w:cs="宋体"/>
        </w:rPr>
        <w:t>数据装载后，如果收到返回报文提示为“数据校验处理，数据交易条数与报文交易条数不一致”，请按FAQ/第四篇/常见运营问题篇第21、24条进行核对，如核对后还未能查到问题，请在运维服务平台提交工单，并耐心等待处理结果。</w:t>
      </w:r>
      <w:r>
        <w:rPr>
          <w:rFonts w:hint="eastAsia" w:ascii="宋体" w:hAnsi="宋体" w:cs="宋体"/>
          <w:b/>
          <w:bCs/>
        </w:rPr>
        <w:t>切勿在未自行查明原因或未经平台确认的情况下自行补报数据。</w:t>
      </w:r>
    </w:p>
    <w:p>
      <w:pPr>
        <w:pStyle w:val="4"/>
        <w:spacing w:before="0" w:after="0" w:line="560" w:lineRule="exact"/>
        <w:rPr>
          <w:rFonts w:ascii="仿宋" w:hAnsi="仿宋" w:eastAsia="仿宋" w:cs="仿宋"/>
          <w:sz w:val="28"/>
          <w:szCs w:val="28"/>
        </w:rPr>
      </w:pPr>
      <w:r>
        <w:rPr>
          <w:rFonts w:hint="eastAsia" w:ascii="仿宋" w:hAnsi="仿宋" w:eastAsia="仿宋" w:cs="仿宋"/>
          <w:sz w:val="28"/>
          <w:szCs w:val="28"/>
        </w:rPr>
        <w:t>42．应如何根据数据装载返回的错误文件内容进行重补报数据？</w:t>
      </w:r>
    </w:p>
    <w:p>
      <w:pPr>
        <w:widowControl/>
        <w:spacing w:line="560" w:lineRule="exact"/>
        <w:ind w:firstLine="480" w:firstLineChars="200"/>
        <w:jc w:val="left"/>
        <w:rPr>
          <w:rFonts w:ascii="宋体" w:hAnsi="宋体" w:cs="宋体"/>
        </w:rPr>
      </w:pPr>
      <w:r>
        <w:rPr>
          <w:rFonts w:hint="eastAsia" w:ascii="宋体" w:hAnsi="宋体" w:cs="宋体"/>
        </w:rPr>
        <w:t>下载错误文件后，应根据表名、错误类型、交易编码，逐条进行错误排查，确认问题存在后，再进行数据补报。</w:t>
      </w:r>
    </w:p>
    <w:p>
      <w:pPr>
        <w:widowControl/>
        <w:spacing w:line="560" w:lineRule="exact"/>
        <w:ind w:firstLine="480" w:firstLineChars="200"/>
        <w:jc w:val="left"/>
        <w:rPr>
          <w:rFonts w:ascii="宋体" w:hAnsi="宋体" w:cs="宋体"/>
        </w:rPr>
      </w:pPr>
      <w:r>
        <w:rPr>
          <w:rFonts w:hint="eastAsia" w:ascii="宋体" w:hAnsi="宋体" w:cs="宋体"/>
        </w:rPr>
        <w:t>注意：错误文件中只标示各交易编码中存在错误的业务表，但交易编码相关联的其它业务表数据都不会被装载。所以，补报数据时，不能只补报错误文件中标示的业务表数据，应补报交易编码相关联的所有数据。</w:t>
      </w:r>
    </w:p>
    <w:p>
      <w:pPr>
        <w:pStyle w:val="4"/>
        <w:spacing w:before="0" w:after="0" w:line="560" w:lineRule="exact"/>
        <w:rPr>
          <w:rFonts w:ascii="仿宋" w:hAnsi="仿宋" w:eastAsia="仿宋" w:cs="仿宋"/>
          <w:sz w:val="28"/>
          <w:szCs w:val="28"/>
        </w:rPr>
      </w:pPr>
      <w:r>
        <w:rPr>
          <w:rFonts w:hint="eastAsia" w:ascii="仿宋" w:hAnsi="仿宋" w:eastAsia="仿宋" w:cs="仿宋"/>
          <w:sz w:val="28"/>
          <w:szCs w:val="28"/>
        </w:rPr>
        <w:t>43．在运维平台提交“非修正类”问题工单时,应注意什么?</w:t>
      </w:r>
    </w:p>
    <w:p>
      <w:pPr>
        <w:widowControl/>
        <w:spacing w:line="560" w:lineRule="exact"/>
        <w:jc w:val="left"/>
        <w:rPr>
          <w:rFonts w:ascii="宋体" w:hAnsi="宋体" w:cs="宋体"/>
        </w:rPr>
      </w:pPr>
      <w:r>
        <w:rPr>
          <w:rFonts w:hint="eastAsia" w:ascii="宋体" w:hAnsi="宋体" w:cs="宋体"/>
        </w:rPr>
        <w:t>答复：在运维平台提交“非修正类”问题工单时(非业务问题)，应注意：</w:t>
      </w:r>
    </w:p>
    <w:p>
      <w:pPr>
        <w:widowControl/>
        <w:spacing w:line="560" w:lineRule="exact"/>
        <w:ind w:firstLine="480" w:firstLineChars="200"/>
        <w:jc w:val="left"/>
        <w:rPr>
          <w:rFonts w:ascii="宋体" w:hAnsi="宋体" w:cs="宋体"/>
        </w:rPr>
      </w:pPr>
      <w:r>
        <w:rPr>
          <w:rFonts w:hint="eastAsia" w:ascii="宋体" w:hAnsi="宋体" w:cs="宋体"/>
        </w:rPr>
        <w:t>a.详细、准确的描述问题原因以及期望结果。</w:t>
      </w:r>
    </w:p>
    <w:p>
      <w:pPr>
        <w:widowControl/>
        <w:spacing w:line="560" w:lineRule="exact"/>
        <w:ind w:firstLine="480" w:firstLineChars="200"/>
        <w:jc w:val="left"/>
        <w:rPr>
          <w:rFonts w:ascii="宋体" w:hAnsi="宋体" w:cs="宋体"/>
        </w:rPr>
      </w:pPr>
      <w:r>
        <w:rPr>
          <w:rFonts w:hint="eastAsia" w:ascii="宋体" w:hAnsi="宋体" w:cs="宋体"/>
        </w:rPr>
        <w:t>b.同时应附带该批次的批次号、请求报文、半小时内的最新查询的结果返回报文,如有返回错误文件，也请附带，以便运维人员准确定位问题。</w:t>
      </w:r>
    </w:p>
    <w:p>
      <w:pPr>
        <w:widowControl/>
        <w:spacing w:line="560" w:lineRule="exact"/>
        <w:ind w:firstLine="480" w:firstLineChars="200"/>
        <w:jc w:val="left"/>
        <w:rPr>
          <w:rFonts w:ascii="宋体" w:hAnsi="宋体" w:cs="宋体"/>
        </w:rPr>
      </w:pPr>
      <w:r>
        <w:rPr>
          <w:rFonts w:hint="eastAsia" w:ascii="宋体" w:hAnsi="宋体" w:cs="宋体"/>
        </w:rPr>
        <w:t>c.提交附件格式应为XML或TXT。</w:t>
      </w:r>
    </w:p>
    <w:p>
      <w:pPr>
        <w:widowControl/>
        <w:spacing w:line="560" w:lineRule="exact"/>
        <w:ind w:firstLine="480" w:firstLineChars="200"/>
        <w:jc w:val="left"/>
        <w:rPr>
          <w:rFonts w:ascii="宋体" w:hAnsi="宋体" w:cs="宋体"/>
        </w:rPr>
      </w:pPr>
      <w:r>
        <w:rPr>
          <w:rFonts w:hint="eastAsia" w:ascii="宋体" w:hAnsi="宋体" w:cs="宋体"/>
        </w:rPr>
        <w:t>d.为提高工单转工单派效率，请在工单提交同时在微信群通知运营人员即可，提交后，如超24小时无转派/无进展，可在微信群催工单。</w:t>
      </w:r>
    </w:p>
    <w:p>
      <w:pPr>
        <w:widowControl/>
        <w:spacing w:line="560" w:lineRule="exact"/>
        <w:ind w:firstLine="480" w:firstLineChars="200"/>
        <w:jc w:val="left"/>
        <w:rPr>
          <w:rFonts w:ascii="宋体" w:hAnsi="宋体" w:cs="宋体"/>
        </w:rPr>
      </w:pPr>
      <w:r>
        <w:rPr>
          <w:rFonts w:hint="eastAsia" w:ascii="宋体" w:hAnsi="宋体" w:cs="宋体"/>
        </w:rPr>
        <w:t>e.格式为“000XXX-0000-20190731-01,超过24小时无转派/无进展，需协助处理”。</w:t>
      </w:r>
    </w:p>
    <w:p>
      <w:pPr>
        <w:pStyle w:val="4"/>
        <w:spacing w:before="0" w:after="0" w:line="560" w:lineRule="exact"/>
        <w:rPr>
          <w:rFonts w:ascii="仿宋" w:hAnsi="仿宋" w:eastAsia="仿宋" w:cs="仿宋"/>
          <w:sz w:val="28"/>
          <w:szCs w:val="28"/>
        </w:rPr>
      </w:pPr>
      <w:r>
        <w:rPr>
          <w:rFonts w:hint="eastAsia" w:ascii="仿宋" w:hAnsi="仿宋" w:eastAsia="仿宋" w:cs="仿宋"/>
          <w:sz w:val="28"/>
          <w:szCs w:val="28"/>
        </w:rPr>
        <w:t>44．数据汇总对账流程说明及共性问题解决方案</w:t>
      </w:r>
    </w:p>
    <w:p>
      <w:pPr>
        <w:widowControl/>
        <w:spacing w:line="560" w:lineRule="exact"/>
        <w:ind w:firstLine="480" w:firstLineChars="200"/>
        <w:jc w:val="left"/>
        <w:rPr>
          <w:rFonts w:ascii="宋体" w:hAnsi="宋体" w:cs="宋体"/>
        </w:rPr>
      </w:pPr>
      <w:r>
        <w:rPr>
          <w:rFonts w:hint="eastAsia" w:ascii="宋体" w:hAnsi="宋体" w:cs="宋体"/>
        </w:rPr>
        <w:t xml:space="preserve">1)汇总对账是针对完成报送的数据进行汇总对账，汇总对账首先要确保要对账的批次数据装载成功入库，然后通过保单交易表“交易日期”按日或月进行KPI对账。 </w:t>
      </w:r>
    </w:p>
    <w:p>
      <w:pPr>
        <w:widowControl/>
        <w:spacing w:line="560" w:lineRule="exact"/>
        <w:ind w:firstLine="480" w:firstLineChars="200"/>
        <w:jc w:val="left"/>
        <w:rPr>
          <w:rFonts w:ascii="宋体" w:hAnsi="宋体" w:cs="宋体"/>
        </w:rPr>
      </w:pPr>
      <w:r>
        <w:rPr>
          <w:rFonts w:hint="eastAsia" w:ascii="宋体" w:hAnsi="宋体" w:cs="宋体"/>
        </w:rPr>
        <w:t>2)汇总对账成功后,流程完成,无须再进行明细对账，如汇总对账失败需进行明细对账(明细对账详见2-4 中国保险业保单登记管理信息平台（第三期）-数据抽取技术方案说明及接口规范（财）/2.3对账方案)。</w:t>
      </w:r>
    </w:p>
    <w:p>
      <w:pPr>
        <w:widowControl/>
        <w:spacing w:line="560" w:lineRule="exact"/>
        <w:ind w:firstLine="480" w:firstLineChars="200"/>
        <w:jc w:val="left"/>
        <w:rPr>
          <w:rFonts w:ascii="宋体" w:hAnsi="宋体" w:cs="宋体"/>
        </w:rPr>
      </w:pPr>
      <w:r>
        <w:rPr>
          <w:rFonts w:hint="eastAsia" w:ascii="宋体" w:hAnsi="宋体" w:cs="宋体"/>
        </w:rPr>
        <w:t>3)汇总对账时间窗口为每天00:00至06:00。</w:t>
      </w:r>
    </w:p>
    <w:p>
      <w:pPr>
        <w:widowControl/>
        <w:spacing w:line="560" w:lineRule="exact"/>
        <w:ind w:firstLine="480" w:firstLineChars="200"/>
        <w:jc w:val="left"/>
        <w:rPr>
          <w:rFonts w:ascii="宋体" w:hAnsi="宋体" w:cs="宋体"/>
        </w:rPr>
      </w:pPr>
      <w:r>
        <w:rPr>
          <w:rFonts w:hint="eastAsia" w:ascii="宋体" w:hAnsi="宋体" w:cs="宋体"/>
        </w:rPr>
        <w:t>4)汇总对账应于T+2发起，直至对账结果成功无差异，整个此次数据报送流程才算完成。注：T为实际交易日期，T+1为增量上报日期，T+2为对账日期。</w:t>
      </w:r>
    </w:p>
    <w:p>
      <w:pPr>
        <w:widowControl/>
        <w:spacing w:line="560" w:lineRule="exact"/>
        <w:ind w:firstLine="480" w:firstLineChars="200"/>
        <w:jc w:val="left"/>
        <w:rPr>
          <w:rFonts w:ascii="宋体" w:hAnsi="宋体" w:cs="宋体"/>
        </w:rPr>
      </w:pPr>
      <w:r>
        <w:rPr>
          <w:rFonts w:hint="eastAsia" w:ascii="宋体" w:hAnsi="宋体" w:cs="宋体"/>
        </w:rPr>
        <w:t>5)同一天内如果需要报送多个交易日的数据，不同交易日的数据需要分不同批次进行报送，汇总对账是按照交易日进行对账的，而不是按照报送的批次对账的。所以只要区分开报送，不会对对账有影响。</w:t>
      </w:r>
    </w:p>
    <w:p>
      <w:pPr>
        <w:widowControl/>
        <w:spacing w:line="560" w:lineRule="exact"/>
        <w:ind w:firstLine="480" w:firstLineChars="200"/>
        <w:jc w:val="left"/>
        <w:rPr>
          <w:rFonts w:ascii="宋体" w:hAnsi="宋体" w:cs="宋体"/>
        </w:rPr>
      </w:pPr>
      <w:r>
        <w:rPr>
          <w:rFonts w:hint="eastAsia" w:ascii="宋体" w:hAnsi="宋体" w:cs="宋体"/>
        </w:rPr>
        <w:t>6)当前交易日共成功报送多少条就对账多少条，每个交易日的数据是独立的，不能和其他交易日期的数据混合。</w:t>
      </w:r>
    </w:p>
    <w:p>
      <w:pPr>
        <w:widowControl/>
        <w:spacing w:line="560" w:lineRule="exact"/>
        <w:ind w:firstLine="480" w:firstLineChars="200"/>
        <w:jc w:val="left"/>
        <w:rPr>
          <w:rFonts w:ascii="宋体" w:hAnsi="宋体" w:cs="宋体"/>
        </w:rPr>
      </w:pPr>
      <w:r>
        <w:rPr>
          <w:rFonts w:hint="eastAsia" w:ascii="宋体" w:hAnsi="宋体" w:cs="宋体"/>
        </w:rPr>
        <w:t>7）如报送数据非全部成功入库，无需进行汇总对账，待全部成功后再进行汇总对账。注：汇总对账应对当前交易日全部数据进行对账。</w:t>
      </w:r>
    </w:p>
    <w:p>
      <w:pPr>
        <w:widowControl/>
        <w:spacing w:line="560" w:lineRule="exact"/>
        <w:ind w:firstLine="480" w:firstLineChars="200"/>
        <w:jc w:val="left"/>
        <w:rPr>
          <w:rFonts w:ascii="宋体" w:hAnsi="宋体" w:cs="宋体"/>
        </w:rPr>
      </w:pPr>
      <w:bookmarkStart w:id="12" w:name="_Toc438461468"/>
      <w:r>
        <w:rPr>
          <w:rFonts w:hint="eastAsia" w:ascii="宋体" w:hAnsi="宋体" w:cs="宋体"/>
        </w:rPr>
        <w:t>8）汇总对账的交互报文，返回结果中很多为零</w:t>
      </w:r>
      <w:bookmarkEnd w:id="12"/>
      <w:r>
        <w:rPr>
          <w:rFonts w:hint="eastAsia" w:ascii="宋体" w:hAnsi="宋体" w:cs="宋体"/>
        </w:rPr>
        <w:t>的应注意汇总对账发起时，如果对账KPI类型为COUNT类型，报文FiledName标签处不能为空，请统一填写为您需要对账表的该表的“交易编码”字段，且报文中日期格式中间不要使用横线“-”。</w:t>
      </w:r>
    </w:p>
    <w:p>
      <w:pPr>
        <w:widowControl/>
        <w:spacing w:line="560" w:lineRule="exact"/>
        <w:ind w:firstLine="480" w:firstLineChars="200"/>
        <w:jc w:val="left"/>
        <w:rPr>
          <w:rFonts w:ascii="宋体" w:hAnsi="宋体" w:cs="宋体"/>
        </w:rPr>
      </w:pPr>
      <w:r>
        <w:rPr>
          <w:rFonts w:hint="eastAsia" w:ascii="宋体" w:hAnsi="宋体" w:cs="宋体"/>
        </w:rPr>
        <w:t>9）汇总对账的交互报文，返回结果中全部为零的参考1）点确保数据全部入库再重新发起汇总对账。</w:t>
      </w:r>
    </w:p>
    <w:p>
      <w:pPr>
        <w:widowControl/>
        <w:spacing w:line="560" w:lineRule="exact"/>
        <w:ind w:firstLine="480" w:firstLineChars="200"/>
        <w:jc w:val="left"/>
        <w:rPr>
          <w:rFonts w:ascii="宋体" w:hAnsi="宋体" w:cs="宋体"/>
        </w:rPr>
      </w:pPr>
      <w:r>
        <w:rPr>
          <w:rFonts w:hint="eastAsia" w:ascii="宋体" w:hAnsi="宋体" w:cs="宋体"/>
        </w:rPr>
        <w:t>10）汇总对账的交互报文，几种返回结果提示错误的解决方法如下：</w:t>
      </w:r>
    </w:p>
    <w:p>
      <w:pPr>
        <w:widowControl/>
        <w:spacing w:line="560" w:lineRule="exact"/>
        <w:ind w:firstLine="480" w:firstLineChars="200"/>
        <w:jc w:val="left"/>
        <w:rPr>
          <w:rFonts w:ascii="宋体" w:hAnsi="宋体" w:cs="宋体"/>
        </w:rPr>
      </w:pPr>
      <w:r>
        <w:rPr>
          <w:rFonts w:hint="eastAsia" w:ascii="宋体" w:hAnsi="宋体" w:cs="宋体"/>
        </w:rPr>
        <w:t>a.“汇总对账通知报文处理,高峰延迟请等待10分钟后重新请求”</w:t>
      </w:r>
    </w:p>
    <w:p>
      <w:pPr>
        <w:widowControl/>
        <w:spacing w:line="560" w:lineRule="exact"/>
        <w:ind w:firstLine="480" w:firstLineChars="200"/>
        <w:jc w:val="left"/>
        <w:rPr>
          <w:rFonts w:ascii="宋体" w:hAnsi="宋体" w:cs="宋体"/>
        </w:rPr>
      </w:pPr>
      <w:r>
        <w:rPr>
          <w:rFonts w:hint="eastAsia" w:ascii="宋体" w:hAnsi="宋体" w:cs="宋体"/>
        </w:rPr>
        <w:t>高峰期间，请等待10分钟或更长时间发起通知服文。</w:t>
      </w:r>
    </w:p>
    <w:p>
      <w:pPr>
        <w:widowControl/>
        <w:spacing w:line="560" w:lineRule="exact"/>
        <w:ind w:firstLine="480" w:firstLineChars="200"/>
        <w:jc w:val="left"/>
        <w:rPr>
          <w:rFonts w:ascii="宋体" w:hAnsi="宋体" w:cs="宋体"/>
        </w:rPr>
      </w:pPr>
      <w:r>
        <w:rPr>
          <w:rFonts w:hint="eastAsia" w:ascii="宋体" w:hAnsi="宋体" w:cs="宋体"/>
        </w:rPr>
        <w:t>b.“汇总对账处理完成，KPI 指标不符”</w:t>
      </w:r>
    </w:p>
    <w:p>
      <w:pPr>
        <w:widowControl/>
        <w:spacing w:line="560" w:lineRule="exact"/>
        <w:ind w:firstLine="480" w:firstLineChars="200"/>
        <w:jc w:val="left"/>
        <w:rPr>
          <w:rFonts w:ascii="宋体" w:hAnsi="宋体" w:cs="宋体"/>
        </w:rPr>
      </w:pPr>
      <w:r>
        <w:rPr>
          <w:rFonts w:hint="eastAsia" w:ascii="宋体" w:hAnsi="宋体" w:cs="宋体"/>
        </w:rPr>
        <w:t>处理完成，请求报文中KPI指标缺少，请核查KPI数量后重新发起汇总对账。财产险KPI指标共635个。</w:t>
      </w:r>
    </w:p>
    <w:p>
      <w:pPr>
        <w:widowControl/>
        <w:spacing w:line="560" w:lineRule="exact"/>
        <w:ind w:firstLine="480" w:firstLineChars="200"/>
        <w:jc w:val="left"/>
        <w:rPr>
          <w:rFonts w:ascii="宋体" w:hAnsi="宋体" w:cs="宋体"/>
        </w:rPr>
      </w:pPr>
      <w:r>
        <w:rPr>
          <w:rFonts w:hint="eastAsia" w:ascii="宋体" w:hAnsi="宋体" w:cs="宋体"/>
        </w:rPr>
        <w:t>c.“汇总对账处理完成，存在差异数据”</w:t>
      </w:r>
    </w:p>
    <w:p>
      <w:pPr>
        <w:widowControl/>
        <w:spacing w:line="560" w:lineRule="exact"/>
        <w:ind w:firstLine="480" w:firstLineChars="200"/>
        <w:jc w:val="left"/>
        <w:rPr>
          <w:rFonts w:ascii="宋体" w:hAnsi="宋体" w:cs="宋体"/>
        </w:rPr>
      </w:pPr>
      <w:r>
        <w:rPr>
          <w:rFonts w:hint="eastAsia" w:ascii="宋体" w:hAnsi="宋体" w:cs="宋体"/>
        </w:rPr>
        <w:t>处理完成，请求报文中KPI指标数据与入库数据不符，请核查总记录数、最小交易编码、最大交易编码、金额等数值范围。确定后重新发起汇总对账。</w:t>
      </w:r>
    </w:p>
    <w:p>
      <w:pPr>
        <w:widowControl/>
        <w:spacing w:line="560" w:lineRule="exact"/>
        <w:ind w:firstLine="480" w:firstLineChars="200"/>
        <w:jc w:val="left"/>
        <w:rPr>
          <w:rFonts w:ascii="宋体" w:hAnsi="宋体" w:cs="宋体"/>
        </w:rPr>
      </w:pPr>
      <w:r>
        <w:rPr>
          <w:rFonts w:hint="eastAsia" w:ascii="宋体" w:hAnsi="宋体" w:cs="宋体"/>
        </w:rPr>
        <w:t>d.“汇总对账通知报文处理,对账时间区间重复”</w:t>
      </w:r>
    </w:p>
    <w:p>
      <w:pPr>
        <w:widowControl/>
        <w:spacing w:line="560" w:lineRule="exact"/>
        <w:ind w:firstLine="480" w:firstLineChars="200"/>
        <w:jc w:val="left"/>
        <w:rPr>
          <w:rFonts w:ascii="宋体" w:hAnsi="宋体" w:cs="宋体"/>
        </w:rPr>
      </w:pPr>
      <w:r>
        <w:rPr>
          <w:rFonts w:hint="eastAsia" w:ascii="宋体" w:hAnsi="宋体" w:cs="宋体"/>
        </w:rPr>
        <w:t>当前交易日已成功进行汇总对账且无数据变化的。无需再重新发起。</w:t>
      </w:r>
    </w:p>
    <w:p>
      <w:pPr>
        <w:widowControl/>
        <w:spacing w:line="560" w:lineRule="exact"/>
        <w:ind w:firstLine="480" w:firstLineChars="200"/>
        <w:jc w:val="left"/>
        <w:rPr>
          <w:rFonts w:ascii="宋体" w:hAnsi="宋体" w:cs="宋体"/>
        </w:rPr>
      </w:pPr>
      <w:r>
        <w:rPr>
          <w:rFonts w:hint="eastAsia" w:ascii="宋体" w:hAnsi="宋体" w:cs="宋体"/>
        </w:rPr>
        <w:t>e.“汇总对账查询报文处理,高峰延迟请等待 10 分钟后重新请求”</w:t>
      </w:r>
    </w:p>
    <w:p>
      <w:pPr>
        <w:widowControl/>
        <w:spacing w:line="560" w:lineRule="exact"/>
        <w:ind w:firstLine="480" w:firstLineChars="200"/>
        <w:jc w:val="left"/>
        <w:rPr>
          <w:rFonts w:ascii="宋体" w:hAnsi="宋体" w:cs="宋体"/>
        </w:rPr>
      </w:pPr>
      <w:r>
        <w:rPr>
          <w:rFonts w:hint="eastAsia" w:ascii="宋体" w:hAnsi="宋体" w:cs="宋体"/>
        </w:rPr>
        <w:t>高峰期间，请等待10分钟或更长时间发起结果查询。</w:t>
      </w:r>
    </w:p>
    <w:p>
      <w:pPr>
        <w:widowControl/>
        <w:spacing w:line="560" w:lineRule="exact"/>
        <w:ind w:firstLine="480" w:firstLineChars="200"/>
        <w:jc w:val="left"/>
        <w:rPr>
          <w:rFonts w:ascii="宋体" w:hAnsi="宋体" w:cs="宋体"/>
        </w:rPr>
      </w:pPr>
      <w:r>
        <w:rPr>
          <w:rFonts w:hint="eastAsia" w:ascii="宋体" w:hAnsi="宋体" w:cs="宋体"/>
        </w:rPr>
        <w:t>11）按日对账时，StartDate、EndDate、PeriodValue都应该相同，是指上报数据的交易日期，即保单交易表的交易日期。</w:t>
      </w:r>
    </w:p>
    <w:p>
      <w:pPr>
        <w:pStyle w:val="4"/>
        <w:spacing w:before="0" w:after="0" w:line="560" w:lineRule="exact"/>
        <w:rPr>
          <w:rFonts w:ascii="仿宋" w:hAnsi="仿宋" w:eastAsia="仿宋" w:cs="仿宋"/>
          <w:sz w:val="28"/>
          <w:szCs w:val="28"/>
        </w:rPr>
      </w:pPr>
      <w:bookmarkStart w:id="13" w:name="_Toc438461410"/>
      <w:r>
        <w:rPr>
          <w:rFonts w:hint="eastAsia" w:ascii="仿宋" w:hAnsi="仿宋" w:eastAsia="仿宋" w:cs="仿宋"/>
          <w:sz w:val="28"/>
          <w:szCs w:val="28"/>
        </w:rPr>
        <w:t>45．数据明细对账流程说明及共性问题解决方案</w:t>
      </w:r>
      <w:bookmarkEnd w:id="13"/>
    </w:p>
    <w:p>
      <w:pPr>
        <w:widowControl/>
        <w:spacing w:line="560" w:lineRule="exact"/>
        <w:ind w:firstLine="480" w:firstLineChars="200"/>
        <w:jc w:val="left"/>
        <w:rPr>
          <w:rFonts w:ascii="宋体" w:hAnsi="宋体" w:cs="宋体"/>
        </w:rPr>
      </w:pPr>
      <w:r>
        <w:rPr>
          <w:rFonts w:hint="eastAsia" w:ascii="宋体" w:hAnsi="宋体" w:cs="宋体"/>
        </w:rPr>
        <w:t>1)汇总对账出现差异后,保险公司通过SFTP将对账明细文件上传到中国保险业保单登记管理信息平台前置机。明细对账文件中的数据需要与之前上报成功的数据完全一致（包括交易编码与批次号）。</w:t>
      </w:r>
    </w:p>
    <w:p>
      <w:pPr>
        <w:widowControl/>
        <w:spacing w:line="560" w:lineRule="exact"/>
        <w:ind w:firstLine="480" w:firstLineChars="200"/>
        <w:jc w:val="left"/>
        <w:rPr>
          <w:rFonts w:ascii="宋体" w:hAnsi="宋体" w:cs="宋体"/>
        </w:rPr>
      </w:pPr>
      <w:r>
        <w:rPr>
          <w:rFonts w:hint="eastAsia" w:ascii="宋体" w:hAnsi="宋体" w:cs="宋体"/>
        </w:rPr>
        <w:t>2)保险公司通过webservice调用中国保险业保单登记管理信息平台“明细对账数据上传成功通知”接口（详见2-4 中国保险业保单登记管理信息平台（第三期）-数据抽取技术方案说明及接口规范（财）/2.3对账方案）通知对账文件已上传。</w:t>
      </w:r>
    </w:p>
    <w:p>
      <w:pPr>
        <w:widowControl/>
        <w:spacing w:line="560" w:lineRule="exact"/>
        <w:ind w:firstLine="480" w:firstLineChars="200"/>
        <w:jc w:val="left"/>
        <w:rPr>
          <w:rFonts w:ascii="宋体" w:hAnsi="宋体" w:cs="宋体"/>
        </w:rPr>
      </w:pPr>
      <w:r>
        <w:rPr>
          <w:rFonts w:hint="eastAsia" w:ascii="宋体" w:hAnsi="宋体" w:cs="宋体"/>
        </w:rPr>
        <w:t>3)保险公司通过webservice调用中国保险业保单登记管理信息平台“明细对账处理结果查询”接口（见2-4 中国保险业保单登记管理信息平台（第三期）-数据抽取技术方案说明及接口规范（财）/3.接口规范）查询处理结果，获取差异数据文件。</w:t>
      </w:r>
    </w:p>
    <w:p>
      <w:pPr>
        <w:widowControl/>
        <w:spacing w:line="560" w:lineRule="exact"/>
        <w:ind w:firstLine="480" w:firstLineChars="200"/>
        <w:jc w:val="left"/>
        <w:rPr>
          <w:rFonts w:ascii="宋体" w:hAnsi="宋体" w:cs="宋体"/>
        </w:rPr>
      </w:pPr>
      <w:r>
        <w:rPr>
          <w:rFonts w:hint="eastAsia" w:ascii="宋体" w:hAnsi="宋体" w:cs="宋体"/>
        </w:rPr>
        <w:t>4)保险公司分析明细对账差异数据后根据需要进行数据补报和修正重报工作（见本文数据补报与修正要求和规范）。</w:t>
      </w:r>
    </w:p>
    <w:p>
      <w:pPr>
        <w:widowControl/>
        <w:spacing w:line="560" w:lineRule="exact"/>
        <w:ind w:firstLine="480" w:firstLineChars="200"/>
        <w:jc w:val="left"/>
        <w:rPr>
          <w:rFonts w:ascii="宋体" w:hAnsi="宋体" w:cs="宋体"/>
        </w:rPr>
      </w:pPr>
      <w:r>
        <w:rPr>
          <w:rFonts w:hint="eastAsia" w:ascii="宋体" w:hAnsi="宋体" w:cs="宋体"/>
        </w:rPr>
        <w:t>5)通过线下方式联系中国保信进行数据修正处理（修正说明文件需要保险公司盖章）。</w:t>
      </w:r>
    </w:p>
    <w:p>
      <w:pPr>
        <w:widowControl/>
        <w:spacing w:line="560" w:lineRule="exact"/>
        <w:ind w:firstLine="480" w:firstLineChars="200"/>
        <w:jc w:val="left"/>
        <w:rPr>
          <w:rFonts w:ascii="宋体" w:hAnsi="宋体" w:cs="宋体"/>
        </w:rPr>
      </w:pPr>
      <w:r>
        <w:rPr>
          <w:rFonts w:hint="eastAsia" w:ascii="宋体" w:hAnsi="宋体" w:cs="宋体"/>
        </w:rPr>
        <w:t>6)问题数据经补报或修正重报后，保险公司应再次发起汇总对账流程，直至成功无差异，数据报送流程完成。</w:t>
      </w:r>
    </w:p>
    <w:p>
      <w:pPr>
        <w:widowControl/>
        <w:spacing w:line="560" w:lineRule="exact"/>
        <w:ind w:firstLine="480" w:firstLineChars="200"/>
        <w:jc w:val="left"/>
        <w:rPr>
          <w:rFonts w:ascii="宋体" w:hAnsi="宋体" w:cs="宋体"/>
        </w:rPr>
      </w:pPr>
      <w:r>
        <w:rPr>
          <w:rFonts w:hint="eastAsia" w:ascii="宋体" w:hAnsi="宋体" w:cs="宋体"/>
        </w:rPr>
        <w:t>7)需进行明细对账的批次，只需将批次号及文件名按照模型要求重新命名（即包含DET），批次内数据信息（包括批次号与交易编码）无需改动。</w:t>
      </w:r>
    </w:p>
    <w:p>
      <w:pPr>
        <w:widowControl/>
        <w:spacing w:line="560" w:lineRule="exact"/>
        <w:ind w:firstLine="480" w:firstLineChars="200"/>
        <w:jc w:val="left"/>
        <w:rPr>
          <w:rFonts w:ascii="宋体" w:hAnsi="宋体" w:cs="宋体"/>
        </w:rPr>
      </w:pPr>
      <w:r>
        <w:rPr>
          <w:rFonts w:hint="eastAsia" w:ascii="宋体" w:hAnsi="宋体" w:cs="宋体"/>
        </w:rPr>
        <w:t>8) 明细对账接口调用时间窗口：06:00-16:00。</w:t>
      </w:r>
    </w:p>
    <w:p>
      <w:pPr>
        <w:widowControl/>
        <w:spacing w:line="560" w:lineRule="exact"/>
        <w:ind w:firstLine="480" w:firstLineChars="200"/>
        <w:jc w:val="left"/>
        <w:rPr>
          <w:rFonts w:ascii="宋体" w:hAnsi="宋体" w:cs="宋体"/>
        </w:rPr>
      </w:pPr>
      <w:r>
        <w:rPr>
          <w:rFonts w:hint="eastAsia" w:ascii="宋体" w:hAnsi="宋体" w:cs="宋体"/>
        </w:rPr>
        <w:t>9）datastatus=‘0000’代表对账成功但有差异数据；datastatus=‘0001’代表对账成功但无差异数据。</w:t>
      </w:r>
    </w:p>
    <w:p>
      <w:pPr>
        <w:pStyle w:val="4"/>
        <w:spacing w:line="560" w:lineRule="exact"/>
        <w:rPr>
          <w:rFonts w:ascii="仿宋" w:hAnsi="仿宋" w:eastAsia="仿宋" w:cs="仿宋"/>
          <w:sz w:val="28"/>
          <w:szCs w:val="28"/>
        </w:rPr>
      </w:pPr>
      <w:r>
        <w:rPr>
          <w:rFonts w:hint="eastAsia" w:ascii="仿宋" w:hAnsi="仿宋" w:eastAsia="仿宋" w:cs="仿宋"/>
          <w:sz w:val="28"/>
          <w:szCs w:val="28"/>
        </w:rPr>
        <w:t>46. 报文提示“此类型已到达今日上传次数”怎么处理？</w:t>
      </w:r>
    </w:p>
    <w:p>
      <w:pPr>
        <w:spacing w:line="560" w:lineRule="exact"/>
        <w:rPr>
          <w:rFonts w:ascii="宋体" w:hAnsi="宋体" w:cs="宋体"/>
        </w:rPr>
      </w:pPr>
      <w:r>
        <w:rPr>
          <w:rFonts w:hint="eastAsia" w:ascii="宋体" w:hAnsi="宋体" w:cs="宋体"/>
        </w:rPr>
        <w:t>答复：</w:t>
      </w:r>
      <w:bookmarkStart w:id="14" w:name="_Toc430184672"/>
      <w:bookmarkStart w:id="15" w:name="_Toc280743961"/>
      <w:bookmarkStart w:id="16" w:name="_Toc240190818"/>
      <w:bookmarkStart w:id="17" w:name="_Toc501031556"/>
      <w:r>
        <w:rPr>
          <w:rFonts w:hint="eastAsia" w:ascii="宋体" w:hAnsi="宋体" w:cs="宋体"/>
        </w:rPr>
        <w:t>文档《中国保险业保单登记管理信息平台（第三期）-数据抽取技术方案说明及接口规范》中3.1.1接口列表</w:t>
      </w:r>
      <w:bookmarkEnd w:id="14"/>
      <w:bookmarkEnd w:id="15"/>
      <w:bookmarkEnd w:id="16"/>
      <w:bookmarkEnd w:id="17"/>
      <w:r>
        <w:rPr>
          <w:rFonts w:hint="eastAsia" w:ascii="宋体" w:hAnsi="宋体" w:cs="宋体"/>
        </w:rPr>
        <w:t>一章，对访问进行了约束（详见文档）。存量、增量、补报、重报、汇总对账、明细对账接口的通知前置机文件上传成功和查询文件处理时，无论是否调用成功，调用次数都会计算在内，如超过访问约束限制，就会出现“此类型已到达今日上传次数”，请各保险公司做好配置工作，防止无效调用。同时，此类问题无需提交工单，应在出现“此类型已到达今日上传次数”问题时即刻发送邮件至平台说明情况并于</w:t>
      </w:r>
      <w:r>
        <w:rPr>
          <w:rFonts w:ascii="宋体" w:hAnsi="宋体" w:cs="宋体"/>
        </w:rPr>
        <w:t>次日</w:t>
      </w:r>
      <w:r>
        <w:rPr>
          <w:rFonts w:hint="eastAsia" w:ascii="宋体" w:hAnsi="宋体" w:cs="宋体"/>
        </w:rPr>
        <w:t>完</w:t>
      </w:r>
      <w:r>
        <w:rPr>
          <w:rFonts w:ascii="宋体" w:hAnsi="宋体" w:cs="宋体"/>
        </w:rPr>
        <w:t>成</w:t>
      </w:r>
      <w:r>
        <w:rPr>
          <w:rFonts w:hint="eastAsia" w:ascii="宋体" w:hAnsi="宋体" w:cs="宋体"/>
        </w:rPr>
        <w:t>数</w:t>
      </w:r>
      <w:r>
        <w:rPr>
          <w:rFonts w:ascii="宋体" w:hAnsi="宋体" w:cs="宋体"/>
        </w:rPr>
        <w:t>据</w:t>
      </w:r>
      <w:r>
        <w:rPr>
          <w:rFonts w:hint="eastAsia" w:ascii="宋体" w:hAnsi="宋体" w:cs="宋体"/>
        </w:rPr>
        <w:t>补报工作。</w:t>
      </w:r>
    </w:p>
    <w:p>
      <w:pPr>
        <w:pStyle w:val="202"/>
        <w:ind w:firstLine="0" w:firstLineChars="0"/>
        <w:jc w:val="both"/>
        <w:outlineLvl w:val="2"/>
        <w:rPr>
          <w:rFonts w:ascii="仿宋" w:hAnsi="仿宋" w:eastAsia="仿宋" w:cs="仿宋"/>
          <w:b/>
          <w:bCs w:val="0"/>
          <w:sz w:val="28"/>
          <w:szCs w:val="28"/>
        </w:rPr>
      </w:pPr>
      <w:r>
        <w:rPr>
          <w:rFonts w:hint="eastAsia" w:ascii="仿宋" w:hAnsi="仿宋" w:eastAsia="仿宋" w:cs="仿宋"/>
          <w:b/>
          <w:bCs w:val="0"/>
          <w:sz w:val="28"/>
          <w:szCs w:val="28"/>
        </w:rPr>
        <w:t>47</w:t>
      </w:r>
      <w:r>
        <w:rPr>
          <w:rFonts w:hint="eastAsia" w:ascii="仿宋" w:hAnsi="仿宋" w:eastAsia="仿宋" w:cs="仿宋"/>
          <w:b/>
          <w:bCs w:val="0"/>
          <w:color w:val="000000" w:themeColor="text1"/>
          <w:sz w:val="28"/>
          <w:szCs w:val="28"/>
          <w14:textFill>
            <w14:solidFill>
              <w14:schemeClr w14:val="tx1"/>
            </w14:solidFill>
          </w14:textFill>
        </w:rPr>
        <w:t>．</w:t>
      </w:r>
      <w:r>
        <w:rPr>
          <w:rFonts w:hint="eastAsia" w:ascii="仿宋" w:hAnsi="仿宋" w:eastAsia="仿宋" w:cs="仿宋"/>
          <w:b/>
          <w:bCs w:val="0"/>
          <w:sz w:val="28"/>
          <w:szCs w:val="28"/>
        </w:rPr>
        <w:t>上传报文已交互，发现数据有问题应如何处理</w:t>
      </w:r>
    </w:p>
    <w:p>
      <w:pPr>
        <w:spacing w:line="560" w:lineRule="atLeast"/>
        <w:rPr>
          <w:rFonts w:ascii="宋体" w:hAnsi="宋体" w:cs="宋体"/>
        </w:rPr>
      </w:pPr>
      <w:r>
        <w:rPr>
          <w:rFonts w:hint="eastAsia" w:ascii="宋体" w:hAnsi="宋体" w:cs="宋体"/>
        </w:rPr>
        <w:t>答复：数据传送至上传服务器，报文已交互，说明数据已处于报送流程中，如保险公司发现上报数据有检核校验、缺失、遗漏等问题，不得自行删除上传服务器中的数据包，不得在未确认装载结果前组织相同数据打包进行上传。须等待平台装载结果，根据查询到的装载结果决定补报方式。</w:t>
      </w:r>
    </w:p>
    <w:p>
      <w:pPr>
        <w:pStyle w:val="202"/>
        <w:ind w:firstLine="0" w:firstLineChars="0"/>
        <w:jc w:val="both"/>
        <w:outlineLvl w:val="2"/>
        <w:rPr>
          <w:rFonts w:eastAsia="仿宋"/>
        </w:rPr>
      </w:pPr>
      <w:r>
        <w:rPr>
          <w:rFonts w:hint="eastAsia" w:ascii="仿宋" w:hAnsi="仿宋" w:eastAsia="仿宋" w:cs="仿宋"/>
          <w:b/>
          <w:bCs w:val="0"/>
          <w:color w:val="000000" w:themeColor="text1"/>
          <w:sz w:val="28"/>
          <w:szCs w:val="28"/>
          <w14:textFill>
            <w14:solidFill>
              <w14:schemeClr w14:val="tx1"/>
            </w14:solidFill>
          </w14:textFill>
        </w:rPr>
        <w:t>48．如何正确理解平台返回报文的装载信息</w:t>
      </w:r>
    </w:p>
    <w:p>
      <w:pPr>
        <w:spacing w:line="560" w:lineRule="atLeast"/>
        <w:rPr>
          <w:rFonts w:ascii="宋体" w:hAnsi="宋体" w:cs="宋体"/>
        </w:rPr>
      </w:pPr>
      <w:r>
        <w:rPr>
          <w:rFonts w:hint="eastAsia" w:ascii="宋体" w:hAnsi="宋体" w:cs="宋体"/>
        </w:rPr>
        <w:t>答复：如下图48-1中，返回报文的</w:t>
      </w:r>
    </w:p>
    <w:p>
      <w:pPr>
        <w:numPr>
          <w:ilvl w:val="0"/>
          <w:numId w:val="4"/>
        </w:numPr>
        <w:spacing w:line="560" w:lineRule="atLeast"/>
        <w:rPr>
          <w:rFonts w:ascii="宋体" w:hAnsi="宋体" w:cs="宋体"/>
        </w:rPr>
      </w:pPr>
      <w:r>
        <w:rPr>
          <w:rFonts w:hint="eastAsia" w:ascii="宋体" w:hAnsi="宋体" w:cs="宋体"/>
        </w:rPr>
        <w:t>“datastatus”标签为批次处理状态，其含义为批次装载的结果，标</w:t>
      </w:r>
      <w:r>
        <w:rPr>
          <w:rFonts w:ascii="宋体" w:hAnsi="宋体" w:cs="宋体"/>
        </w:rPr>
        <w:t>签内显示</w:t>
      </w:r>
      <w:r>
        <w:rPr>
          <w:rFonts w:hint="eastAsia" w:ascii="宋体" w:hAnsi="宋体" w:cs="宋体"/>
        </w:rPr>
        <w:t>代码为批次装载结果相对应的代码，保险公司查询批</w:t>
      </w:r>
      <w:r>
        <w:rPr>
          <w:rFonts w:ascii="宋体" w:hAnsi="宋体" w:cs="宋体"/>
        </w:rPr>
        <w:t>次处理</w:t>
      </w:r>
      <w:r>
        <w:rPr>
          <w:rFonts w:hint="eastAsia" w:ascii="宋体" w:hAnsi="宋体" w:cs="宋体"/>
        </w:rPr>
        <w:t>结果应以“datastatus”标签的状态代码为准。</w:t>
      </w:r>
    </w:p>
    <w:p>
      <w:pPr>
        <w:numPr>
          <w:ilvl w:val="0"/>
          <w:numId w:val="4"/>
        </w:numPr>
        <w:spacing w:line="560" w:lineRule="atLeast"/>
      </w:pPr>
      <w:r>
        <w:rPr>
          <w:rFonts w:hint="eastAsia" w:ascii="宋体" w:hAnsi="宋体" w:cs="宋体"/>
        </w:rPr>
        <w:t>“msg”标签为状态代码的中文说明。</w:t>
      </w:r>
    </w:p>
    <w:p>
      <w:pPr>
        <w:spacing w:line="560" w:lineRule="atLeast"/>
        <w:jc w:val="center"/>
        <w:rPr>
          <w:rFonts w:ascii="宋体" w:hAnsi="宋体" w:cs="宋体"/>
          <w:szCs w:val="21"/>
        </w:rPr>
      </w:pPr>
      <w:r>
        <w:rPr>
          <w:rFonts w:hint="eastAsia" w:ascii="宋体" w:hAnsi="宋体" w:cs="宋体"/>
          <w:szCs w:val="21"/>
        </w:rPr>
        <w:drawing>
          <wp:inline distT="0" distB="0" distL="114300" distR="114300">
            <wp:extent cx="5267960" cy="2491740"/>
            <wp:effectExtent l="0" t="0" r="8890" b="3810"/>
            <wp:docPr id="9"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2"/>
                    <pic:cNvPicPr>
                      <a:picLocks noChangeAspect="1"/>
                    </pic:cNvPicPr>
                  </pic:nvPicPr>
                  <pic:blipFill>
                    <a:blip r:embed="rId25"/>
                    <a:stretch>
                      <a:fillRect/>
                    </a:stretch>
                  </pic:blipFill>
                  <pic:spPr>
                    <a:xfrm>
                      <a:off x="0" y="0"/>
                      <a:ext cx="5267960" cy="2491740"/>
                    </a:xfrm>
                    <a:prstGeom prst="rect">
                      <a:avLst/>
                    </a:prstGeom>
                  </pic:spPr>
                </pic:pic>
              </a:graphicData>
            </a:graphic>
          </wp:inline>
        </w:drawing>
      </w:r>
      <w:r>
        <w:rPr>
          <w:rFonts w:hint="eastAsia" w:ascii="宋体" w:hAnsi="宋体" w:cs="宋体"/>
          <w:szCs w:val="21"/>
        </w:rPr>
        <w:t>图48-1</w:t>
      </w:r>
    </w:p>
    <w:p>
      <w:pPr>
        <w:spacing w:line="560" w:lineRule="atLeast"/>
        <w:ind w:firstLine="480" w:firstLineChars="200"/>
      </w:pPr>
      <w:r>
        <w:rPr>
          <w:rFonts w:hint="eastAsia" w:ascii="宋体" w:hAnsi="宋体" w:cs="宋体"/>
        </w:rPr>
        <w:t>如下图48-2中，部分程序显示的结果（状态码和状态码中文描述），均非平台返回的真实状态，请务必再次触发平台结果查询接口，以平台返回报文所载内容为准，确认批次装载的最终结果。</w:t>
      </w:r>
    </w:p>
    <w:p>
      <w:pPr>
        <w:spacing w:line="560" w:lineRule="atLeast"/>
      </w:pPr>
      <w:r>
        <w:rPr>
          <w:rFonts w:hint="eastAsia"/>
        </w:rPr>
        <w:drawing>
          <wp:inline distT="0" distB="0" distL="114300" distR="114300">
            <wp:extent cx="5314950" cy="643255"/>
            <wp:effectExtent l="0" t="0" r="0" b="4445"/>
            <wp:docPr id="7" name="图片 7" descr="6b77f26c29a3ea8ac161c1e326eba2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b77f26c29a3ea8ac161c1e326eba27_副本"/>
                    <pic:cNvPicPr>
                      <a:picLocks noChangeAspect="1"/>
                    </pic:cNvPicPr>
                  </pic:nvPicPr>
                  <pic:blipFill>
                    <a:blip r:embed="rId26"/>
                    <a:srcRect l="442" t="73888"/>
                    <a:stretch>
                      <a:fillRect/>
                    </a:stretch>
                  </pic:blipFill>
                  <pic:spPr>
                    <a:xfrm>
                      <a:off x="0" y="0"/>
                      <a:ext cx="5314950" cy="643255"/>
                    </a:xfrm>
                    <a:prstGeom prst="rect">
                      <a:avLst/>
                    </a:prstGeom>
                  </pic:spPr>
                </pic:pic>
              </a:graphicData>
            </a:graphic>
          </wp:inline>
        </w:drawing>
      </w:r>
    </w:p>
    <w:p>
      <w:pPr>
        <w:spacing w:line="560" w:lineRule="atLeast"/>
        <w:jc w:val="center"/>
        <w:rPr>
          <w:rFonts w:ascii="宋体" w:hAnsi="宋体" w:cs="宋体"/>
          <w:szCs w:val="21"/>
        </w:rPr>
      </w:pPr>
      <w:r>
        <w:rPr>
          <w:rFonts w:hint="eastAsia" w:ascii="宋体" w:hAnsi="宋体" w:cs="宋体"/>
          <w:szCs w:val="21"/>
        </w:rPr>
        <w:t>图48-2</w:t>
      </w:r>
    </w:p>
    <w:p>
      <w:pPr>
        <w:pStyle w:val="202"/>
        <w:ind w:firstLine="0" w:firstLineChars="0"/>
        <w:jc w:val="both"/>
        <w:outlineLvl w:val="2"/>
        <w:rPr>
          <w:rFonts w:ascii="仿宋" w:hAnsi="仿宋" w:eastAsia="仿宋" w:cs="仿宋"/>
          <w:b/>
          <w:bCs w:val="0"/>
          <w:sz w:val="28"/>
          <w:szCs w:val="28"/>
        </w:rPr>
      </w:pPr>
      <w:r>
        <w:rPr>
          <w:rFonts w:hint="eastAsia" w:ascii="仿宋" w:hAnsi="仿宋" w:eastAsia="仿宋" w:cs="仿宋"/>
          <w:b/>
          <w:bCs w:val="0"/>
          <w:sz w:val="28"/>
          <w:szCs w:val="28"/>
        </w:rPr>
        <w:t>49</w:t>
      </w:r>
      <w:r>
        <w:rPr>
          <w:rFonts w:hint="eastAsia" w:ascii="仿宋" w:hAnsi="仿宋" w:eastAsia="仿宋" w:cs="仿宋"/>
          <w:b/>
          <w:bCs w:val="0"/>
          <w:color w:val="000000" w:themeColor="text1"/>
          <w:sz w:val="28"/>
          <w:szCs w:val="28"/>
          <w14:textFill>
            <w14:solidFill>
              <w14:schemeClr w14:val="tx1"/>
            </w14:solidFill>
          </w14:textFill>
        </w:rPr>
        <w:t>．</w:t>
      </w:r>
      <w:r>
        <w:rPr>
          <w:rFonts w:hint="eastAsia" w:ascii="仿宋" w:hAnsi="仿宋" w:eastAsia="仿宋" w:cs="仿宋"/>
          <w:b/>
          <w:bCs w:val="0"/>
          <w:sz w:val="28"/>
          <w:szCs w:val="28"/>
        </w:rPr>
        <w:t>数据在装载中，发现数据有问题应如何处理</w:t>
      </w:r>
    </w:p>
    <w:p>
      <w:pPr>
        <w:spacing w:line="560" w:lineRule="atLeast"/>
        <w:rPr>
          <w:rFonts w:ascii="宋体" w:hAnsi="宋体" w:cs="宋体"/>
        </w:rPr>
      </w:pPr>
      <w:r>
        <w:rPr>
          <w:rFonts w:hint="eastAsia" w:ascii="宋体" w:hAnsi="宋体" w:cs="宋体"/>
        </w:rPr>
        <w:t>答复：数据开始装载，说明数据已处于入库流程中，如保险公司发现上报数据有检核校验、缺失、遗漏等问题：</w:t>
      </w:r>
    </w:p>
    <w:p>
      <w:pPr>
        <w:numPr>
          <w:ilvl w:val="0"/>
          <w:numId w:val="5"/>
        </w:numPr>
        <w:spacing w:line="560" w:lineRule="atLeast"/>
        <w:rPr>
          <w:rFonts w:ascii="宋体" w:hAnsi="宋体" w:cs="宋体"/>
        </w:rPr>
      </w:pPr>
      <w:r>
        <w:rPr>
          <w:rFonts w:hint="eastAsia" w:ascii="宋体" w:hAnsi="宋体" w:cs="宋体"/>
        </w:rPr>
        <w:t>在未确认平台返回装载结果前，</w:t>
      </w:r>
      <w:r>
        <w:rPr>
          <w:rFonts w:hint="eastAsia" w:ascii="宋体" w:hAnsi="宋体" w:cs="宋体"/>
          <w:b/>
          <w:bCs/>
        </w:rPr>
        <w:t>请勿自行修改交易编码</w:t>
      </w:r>
      <w:r>
        <w:rPr>
          <w:rFonts w:hint="eastAsia" w:ascii="宋体" w:hAnsi="宋体" w:cs="宋体"/>
        </w:rPr>
        <w:t>和</w:t>
      </w:r>
      <w:r>
        <w:rPr>
          <w:rFonts w:hint="eastAsia" w:ascii="宋体" w:hAnsi="宋体" w:cs="宋体"/>
          <w:b/>
          <w:bCs/>
        </w:rPr>
        <w:t>数据交易日期</w:t>
      </w:r>
      <w:r>
        <w:rPr>
          <w:rFonts w:hint="eastAsia" w:ascii="宋体" w:hAnsi="宋体" w:cs="宋体"/>
        </w:rPr>
        <w:t>等信息。</w:t>
      </w:r>
    </w:p>
    <w:p>
      <w:pPr>
        <w:numPr>
          <w:ilvl w:val="0"/>
          <w:numId w:val="5"/>
        </w:numPr>
        <w:spacing w:line="560" w:lineRule="atLeast"/>
        <w:rPr>
          <w:rFonts w:ascii="宋体" w:hAnsi="宋体" w:cs="宋体"/>
        </w:rPr>
      </w:pPr>
      <w:r>
        <w:rPr>
          <w:rFonts w:hint="eastAsia" w:ascii="宋体" w:hAnsi="宋体" w:cs="宋体"/>
        </w:rPr>
        <w:t>在未确认平台返回装载结果前，</w:t>
      </w:r>
      <w:r>
        <w:rPr>
          <w:rFonts w:hint="eastAsia" w:ascii="宋体" w:hAnsi="宋体" w:cs="宋体"/>
          <w:b/>
          <w:bCs/>
        </w:rPr>
        <w:t>请勿直接再次组织数据，调用存量、增量、补报、重报接口来报送数据</w:t>
      </w:r>
      <w:r>
        <w:rPr>
          <w:rFonts w:hint="eastAsia" w:ascii="宋体" w:hAnsi="宋体" w:cs="宋体"/>
        </w:rPr>
        <w:t>。</w:t>
      </w:r>
    </w:p>
    <w:p>
      <w:pPr>
        <w:numPr>
          <w:ilvl w:val="0"/>
          <w:numId w:val="5"/>
        </w:numPr>
        <w:spacing w:line="560" w:lineRule="atLeast"/>
        <w:rPr>
          <w:rFonts w:ascii="宋体" w:hAnsi="宋体" w:cs="宋体"/>
          <w:color w:val="FF0000"/>
        </w:rPr>
      </w:pPr>
      <w:r>
        <w:rPr>
          <w:rFonts w:hint="eastAsia" w:ascii="宋体" w:hAnsi="宋体" w:cs="宋体"/>
          <w:color w:val="FF0000"/>
        </w:rPr>
        <w:t>如需调用存量接口补报之前的错误数据，应先与运营人员沟通，确认后方可调用。</w:t>
      </w:r>
    </w:p>
    <w:p>
      <w:pPr>
        <w:numPr>
          <w:ilvl w:val="0"/>
          <w:numId w:val="5"/>
        </w:numPr>
        <w:spacing w:line="560" w:lineRule="atLeast"/>
        <w:rPr>
          <w:rFonts w:ascii="宋体" w:hAnsi="宋体" w:cs="宋体"/>
        </w:rPr>
      </w:pPr>
      <w:r>
        <w:rPr>
          <w:rFonts w:hint="eastAsia" w:ascii="宋体" w:hAnsi="宋体" w:cs="宋体"/>
        </w:rPr>
        <w:t>须等待平台装载完成，确认装载结果后，再决定补报方式。</w:t>
      </w:r>
    </w:p>
    <w:p>
      <w:pPr>
        <w:numPr>
          <w:ilvl w:val="0"/>
          <w:numId w:val="5"/>
        </w:numPr>
        <w:spacing w:line="560" w:lineRule="atLeast"/>
        <w:rPr>
          <w:rFonts w:ascii="宋体" w:hAnsi="宋体" w:cs="宋体"/>
        </w:rPr>
      </w:pPr>
      <w:r>
        <w:rPr>
          <w:rFonts w:hint="eastAsia" w:ascii="宋体" w:hAnsi="宋体" w:cs="宋体"/>
          <w:color w:val="000000" w:themeColor="text1"/>
          <w14:textFill>
            <w14:solidFill>
              <w14:schemeClr w14:val="tx1"/>
            </w14:solidFill>
          </w14:textFill>
        </w:rPr>
        <w:t>此问题适用数据</w:t>
      </w:r>
      <w:r>
        <w:rPr>
          <w:rFonts w:hint="eastAsia" w:ascii="宋体" w:hAnsi="宋体" w:cs="宋体"/>
        </w:rPr>
        <w:t>在装载中、数据结果状态与中文描述不一致、数据装载结果非05050100的所有情况。</w:t>
      </w:r>
    </w:p>
    <w:p>
      <w:pPr>
        <w:pStyle w:val="202"/>
        <w:ind w:firstLine="0" w:firstLineChars="0"/>
        <w:outlineLvl w:val="2"/>
        <w:rPr>
          <w:rFonts w:hint="eastAsia" w:ascii="仿宋" w:hAnsi="仿宋" w:eastAsia="仿宋" w:cs="仿宋"/>
          <w:b/>
          <w:bCs w:val="0"/>
          <w:sz w:val="28"/>
          <w:szCs w:val="28"/>
          <w:lang w:val="en-US" w:eastAsia="zh-CN"/>
        </w:rPr>
      </w:pPr>
      <w:r>
        <w:rPr>
          <w:rFonts w:hint="eastAsia" w:ascii="仿宋" w:hAnsi="仿宋" w:eastAsia="仿宋" w:cs="仿宋"/>
          <w:b/>
          <w:bCs w:val="0"/>
          <w:sz w:val="28"/>
          <w:szCs w:val="28"/>
          <w:lang w:val="en-US" w:eastAsia="zh-CN"/>
        </w:rPr>
        <w:t>50</w:t>
      </w:r>
      <w:r>
        <w:rPr>
          <w:rFonts w:hint="eastAsia" w:ascii="仿宋" w:hAnsi="仿宋" w:eastAsia="仿宋" w:cs="仿宋"/>
          <w:b/>
          <w:bCs w:val="0"/>
          <w:sz w:val="28"/>
          <w:szCs w:val="28"/>
        </w:rPr>
        <w:t>．</w:t>
      </w:r>
      <w:r>
        <w:rPr>
          <w:rFonts w:hint="eastAsia" w:ascii="仿宋" w:hAnsi="仿宋" w:eastAsia="仿宋" w:cs="仿宋"/>
          <w:b/>
          <w:bCs w:val="0"/>
          <w:sz w:val="28"/>
          <w:szCs w:val="28"/>
          <w:lang w:eastAsia="zh-CN"/>
        </w:rPr>
        <w:t>保单登记平台邮箱变更通知</w:t>
      </w:r>
    </w:p>
    <w:p>
      <w:pPr>
        <w:numPr>
          <w:ilvl w:val="-1"/>
          <w:numId w:val="0"/>
        </w:numPr>
        <w:spacing w:line="560" w:lineRule="atLeast"/>
        <w:ind w:left="0" w:firstLine="480" w:firstLineChars="200"/>
        <w:rPr>
          <w:rFonts w:hint="eastAsia" w:ascii="宋体" w:hAnsi="宋体" w:cs="宋体"/>
        </w:rPr>
      </w:pPr>
      <w:r>
        <w:rPr>
          <w:rFonts w:hint="eastAsia" w:ascii="宋体" w:hAnsi="宋体" w:cs="宋体"/>
        </w:rPr>
        <w:t>保单登记平台邮箱自即日起变更为bddj@cbit.com.cn。请各保险公司发邮件或回复平台过往邮件时，将收件人变更为上述邮箱。</w:t>
      </w:r>
    </w:p>
    <w:p>
      <w:pPr>
        <w:pStyle w:val="202"/>
        <w:ind w:firstLine="0" w:firstLineChars="0"/>
        <w:outlineLvl w:val="2"/>
        <w:rPr>
          <w:rFonts w:hint="eastAsia" w:ascii="仿宋" w:hAnsi="仿宋" w:eastAsia="仿宋" w:cs="仿宋"/>
          <w:b/>
          <w:bCs w:val="0"/>
          <w:sz w:val="28"/>
          <w:szCs w:val="28"/>
          <w:lang w:eastAsia="zh-CN"/>
        </w:rPr>
      </w:pPr>
      <w:r>
        <w:rPr>
          <w:rFonts w:hint="eastAsia" w:ascii="仿宋" w:hAnsi="仿宋" w:eastAsia="仿宋" w:cs="仿宋"/>
          <w:b/>
          <w:bCs w:val="0"/>
          <w:sz w:val="28"/>
          <w:szCs w:val="28"/>
          <w:lang w:val="en-US" w:eastAsia="zh-CN"/>
        </w:rPr>
        <w:t>51</w:t>
      </w:r>
      <w:r>
        <w:rPr>
          <w:rFonts w:hint="eastAsia" w:ascii="仿宋" w:hAnsi="仿宋" w:eastAsia="仿宋" w:cs="仿宋"/>
          <w:b/>
          <w:bCs w:val="0"/>
          <w:sz w:val="28"/>
          <w:szCs w:val="28"/>
        </w:rPr>
        <w:t>．</w:t>
      </w:r>
      <w:r>
        <w:rPr>
          <w:rFonts w:hint="eastAsia" w:ascii="仿宋" w:hAnsi="仿宋" w:eastAsia="仿宋" w:cs="仿宋"/>
          <w:b/>
          <w:bCs w:val="0"/>
          <w:sz w:val="28"/>
          <w:szCs w:val="28"/>
          <w:lang w:eastAsia="zh-CN"/>
        </w:rPr>
        <w:t>保单登记领导小组信息表初次填写及变更时的补充说明</w:t>
      </w:r>
    </w:p>
    <w:p>
      <w:pPr>
        <w:numPr>
          <w:ilvl w:val="0"/>
          <w:numId w:val="5"/>
        </w:numPr>
        <w:spacing w:line="560" w:lineRule="atLeast"/>
        <w:rPr>
          <w:rFonts w:hint="eastAsia" w:ascii="宋体" w:hAnsi="宋体" w:cs="宋体"/>
          <w:sz w:val="24"/>
        </w:rPr>
      </w:pPr>
      <w:r>
        <w:rPr>
          <w:rFonts w:hint="eastAsia" w:ascii="宋体" w:hAnsi="宋体" w:cs="宋体"/>
          <w:sz w:val="24"/>
          <w:lang w:val="en-US" w:eastAsia="zh-CN"/>
        </w:rPr>
        <w:t>组长、副组长及联系人需按照《中国保监会关于建设中国保险业保单登记管理信息平台的通知》（保监厅发〔</w:t>
      </w:r>
      <w:r>
        <w:rPr>
          <w:rFonts w:hint="default" w:ascii="宋体" w:hAnsi="宋体" w:cs="宋体"/>
          <w:sz w:val="24"/>
          <w:lang w:val="en-US" w:eastAsia="zh-CN"/>
        </w:rPr>
        <w:t>2015</w:t>
      </w:r>
      <w:r>
        <w:rPr>
          <w:rFonts w:hint="eastAsia" w:ascii="宋体" w:hAnsi="宋体" w:cs="宋体"/>
          <w:sz w:val="24"/>
          <w:lang w:val="en-US" w:eastAsia="zh-CN"/>
        </w:rPr>
        <w:t>〕</w:t>
      </w:r>
      <w:r>
        <w:rPr>
          <w:rFonts w:hint="default" w:ascii="宋体" w:hAnsi="宋体" w:cs="宋体"/>
          <w:sz w:val="24"/>
          <w:lang w:val="en-US" w:eastAsia="zh-CN"/>
        </w:rPr>
        <w:t>102</w:t>
      </w:r>
      <w:r>
        <w:rPr>
          <w:rFonts w:hint="eastAsia" w:ascii="宋体" w:hAnsi="宋体" w:cs="宋体"/>
          <w:sz w:val="24"/>
          <w:lang w:val="en-US" w:eastAsia="zh-CN"/>
        </w:rPr>
        <w:t>号）要求填写，其中，组长应由公司董事长或总经理担任组长。</w:t>
      </w:r>
    </w:p>
    <w:p>
      <w:pPr>
        <w:numPr>
          <w:ilvl w:val="0"/>
          <w:numId w:val="5"/>
        </w:numPr>
        <w:spacing w:line="560" w:lineRule="atLeast"/>
        <w:rPr>
          <w:rFonts w:hint="eastAsia" w:ascii="宋体" w:hAnsi="宋体" w:cs="宋体"/>
          <w:sz w:val="24"/>
        </w:rPr>
      </w:pPr>
      <w:r>
        <w:rPr>
          <w:rFonts w:hint="eastAsia" w:ascii="宋体" w:hAnsi="宋体" w:cs="宋体"/>
          <w:sz w:val="24"/>
          <w:lang w:val="en-US" w:eastAsia="zh-CN"/>
        </w:rPr>
        <w:t>数据报送和质量负责人需按照《中国保监会办公厅关于加强中国保险业保单登记管理信息平台数据报送和质量管理工作的通知》（保监厅发〔</w:t>
      </w:r>
      <w:r>
        <w:rPr>
          <w:rFonts w:hint="default" w:ascii="宋体" w:hAnsi="宋体" w:cs="宋体"/>
          <w:sz w:val="24"/>
          <w:lang w:val="en-US" w:eastAsia="zh-CN"/>
        </w:rPr>
        <w:t>2017</w:t>
      </w:r>
      <w:r>
        <w:rPr>
          <w:rFonts w:hint="eastAsia" w:ascii="宋体" w:hAnsi="宋体" w:cs="宋体"/>
          <w:sz w:val="24"/>
          <w:lang w:val="en-US" w:eastAsia="zh-CN"/>
        </w:rPr>
        <w:t>〕</w:t>
      </w:r>
      <w:r>
        <w:rPr>
          <w:rFonts w:hint="default" w:ascii="宋体" w:hAnsi="宋体" w:cs="宋体"/>
          <w:sz w:val="24"/>
          <w:lang w:val="en-US" w:eastAsia="zh-CN"/>
        </w:rPr>
        <w:t>24 </w:t>
      </w:r>
      <w:r>
        <w:rPr>
          <w:rFonts w:hint="eastAsia" w:ascii="宋体" w:hAnsi="宋体" w:cs="宋体"/>
          <w:sz w:val="24"/>
          <w:lang w:val="en-US" w:eastAsia="zh-CN"/>
        </w:rPr>
        <w:t>号）要求，由公司级领导担任。</w:t>
      </w:r>
    </w:p>
    <w:p>
      <w:pPr>
        <w:numPr>
          <w:ilvl w:val="0"/>
          <w:numId w:val="5"/>
        </w:numPr>
        <w:spacing w:line="560" w:lineRule="atLeast"/>
        <w:rPr>
          <w:rFonts w:hint="eastAsia" w:ascii="宋体" w:hAnsi="宋体" w:cs="宋体"/>
          <w:sz w:val="24"/>
          <w:lang w:val="en-US" w:eastAsia="zh-CN"/>
        </w:rPr>
      </w:pPr>
      <w:r>
        <w:rPr>
          <w:rFonts w:hint="eastAsia" w:ascii="宋体" w:hAnsi="宋体" w:cs="宋体"/>
          <w:sz w:val="24"/>
          <w:lang w:val="en-US" w:eastAsia="zh-CN"/>
        </w:rPr>
        <w:t>如反馈至平台的领导小组名单与前期报送至监管的名单存在差异，还请按照《中国保监会办公厅关于启动中国保险业保单登记管理信息平台第三期建设的通知》（保监人身险〔</w:t>
      </w:r>
      <w:r>
        <w:rPr>
          <w:rFonts w:hint="default" w:ascii="宋体" w:hAnsi="宋体" w:cs="宋体"/>
          <w:sz w:val="24"/>
          <w:lang w:val="en-US" w:eastAsia="zh-CN"/>
        </w:rPr>
        <w:t>2017</w:t>
      </w:r>
      <w:r>
        <w:rPr>
          <w:rFonts w:hint="eastAsia" w:ascii="宋体" w:hAnsi="宋体" w:cs="宋体"/>
          <w:sz w:val="24"/>
          <w:lang w:val="en-US" w:eastAsia="zh-CN"/>
        </w:rPr>
        <w:t>〕</w:t>
      </w:r>
      <w:r>
        <w:rPr>
          <w:rFonts w:hint="default" w:ascii="宋体" w:hAnsi="宋体" w:cs="宋体"/>
          <w:sz w:val="24"/>
          <w:lang w:val="en-US" w:eastAsia="zh-CN"/>
        </w:rPr>
        <w:t>209</w:t>
      </w:r>
      <w:r>
        <w:rPr>
          <w:rFonts w:hint="eastAsia" w:ascii="宋体" w:hAnsi="宋体" w:cs="宋体"/>
          <w:sz w:val="24"/>
          <w:lang w:val="en-US" w:eastAsia="zh-CN"/>
        </w:rPr>
        <w:t>号）要求，向银保监会重新报备。同时，应将签字盖章的电子版发送至平台邮箱：bddj@cbit.com.cn。</w:t>
      </w:r>
    </w:p>
    <w:p>
      <w:pPr>
        <w:pStyle w:val="202"/>
        <w:ind w:firstLine="0" w:firstLineChars="0"/>
        <w:outlineLvl w:val="2"/>
        <w:rPr>
          <w:rFonts w:hint="eastAsia" w:ascii="仿宋" w:hAnsi="仿宋" w:eastAsia="仿宋" w:cs="仿宋"/>
          <w:b/>
          <w:bCs w:val="0"/>
          <w:sz w:val="28"/>
          <w:szCs w:val="28"/>
        </w:rPr>
      </w:pPr>
      <w:r>
        <w:rPr>
          <w:rFonts w:hint="eastAsia" w:ascii="仿宋" w:hAnsi="仿宋" w:eastAsia="仿宋" w:cs="仿宋"/>
          <w:b/>
          <w:bCs w:val="0"/>
          <w:sz w:val="28"/>
          <w:szCs w:val="28"/>
          <w:lang w:val="en-US" w:eastAsia="zh-CN"/>
        </w:rPr>
        <w:t>52</w:t>
      </w:r>
      <w:r>
        <w:rPr>
          <w:rFonts w:hint="eastAsia" w:ascii="仿宋" w:hAnsi="仿宋" w:eastAsia="仿宋" w:cs="仿宋"/>
          <w:b/>
          <w:bCs w:val="0"/>
          <w:sz w:val="28"/>
          <w:szCs w:val="28"/>
        </w:rPr>
        <w:t>．保单登记平台数据报送情况反馈模板</w:t>
      </w:r>
    </w:p>
    <w:p>
      <w:pPr>
        <w:spacing w:line="560" w:lineRule="exact"/>
        <w:ind w:firstLine="480" w:firstLineChars="200"/>
        <w:rPr>
          <w:rFonts w:hint="eastAsia" w:ascii="宋体" w:hAnsi="宋体" w:cs="宋体"/>
          <w:sz w:val="24"/>
        </w:rPr>
      </w:pPr>
      <w:r>
        <w:rPr>
          <w:rFonts w:hint="eastAsia" w:ascii="宋体" w:hAnsi="宋体" w:cs="宋体"/>
          <w:sz w:val="24"/>
          <w:lang w:val="en-US" w:eastAsia="zh-CN"/>
        </w:rPr>
        <w:t>a</w:t>
      </w:r>
      <w:r>
        <w:rPr>
          <w:rFonts w:hint="eastAsia" w:ascii="宋体" w:hAnsi="宋体" w:cs="宋体"/>
          <w:sz w:val="24"/>
        </w:rPr>
        <w:t>.无业务发生</w:t>
      </w:r>
    </w:p>
    <w:p>
      <w:pPr>
        <w:spacing w:line="560" w:lineRule="exact"/>
        <w:ind w:firstLine="480" w:firstLineChars="200"/>
        <w:rPr>
          <w:rFonts w:hint="eastAsia" w:ascii="宋体" w:hAnsi="宋体" w:cs="宋体"/>
          <w:sz w:val="24"/>
        </w:rPr>
      </w:pPr>
      <w:r>
        <w:rPr>
          <w:rFonts w:hint="eastAsia" w:ascii="宋体" w:hAnsi="宋体" w:cs="宋体"/>
          <w:sz w:val="24"/>
        </w:rPr>
        <w:t>确认我司X年X月X日（交易日期）没有相关业务发生，无需要报送的数据。</w:t>
      </w:r>
    </w:p>
    <w:p>
      <w:pPr>
        <w:spacing w:line="560" w:lineRule="exact"/>
        <w:ind w:firstLine="480" w:firstLineChars="200"/>
        <w:rPr>
          <w:rFonts w:hint="eastAsia" w:ascii="宋体" w:hAnsi="宋体" w:cs="宋体"/>
          <w:sz w:val="24"/>
        </w:rPr>
      </w:pPr>
      <w:r>
        <w:rPr>
          <w:rFonts w:hint="eastAsia" w:ascii="宋体" w:hAnsi="宋体" w:cs="宋体"/>
          <w:sz w:val="24"/>
          <w:lang w:val="en-US" w:eastAsia="zh-CN"/>
        </w:rPr>
        <w:t>b</w:t>
      </w:r>
      <w:r>
        <w:rPr>
          <w:rFonts w:hint="eastAsia" w:ascii="宋体" w:hAnsi="宋体" w:cs="宋体"/>
          <w:sz w:val="24"/>
        </w:rPr>
        <w:t>.数据未按时报送</w:t>
      </w:r>
    </w:p>
    <w:p>
      <w:pPr>
        <w:spacing w:line="560" w:lineRule="exact"/>
        <w:ind w:firstLine="480" w:firstLineChars="200"/>
        <w:rPr>
          <w:rFonts w:hint="eastAsia" w:ascii="宋体" w:hAnsi="宋体" w:cs="宋体"/>
          <w:sz w:val="24"/>
        </w:rPr>
      </w:pPr>
      <w:r>
        <w:rPr>
          <w:rFonts w:hint="eastAsia" w:ascii="宋体" w:hAnsi="宋体" w:cs="宋体"/>
          <w:sz w:val="24"/>
        </w:rPr>
        <w:t>原因：</w:t>
      </w:r>
    </w:p>
    <w:p>
      <w:pPr>
        <w:spacing w:line="560" w:lineRule="exact"/>
        <w:ind w:firstLine="480" w:firstLineChars="200"/>
        <w:rPr>
          <w:rFonts w:hint="eastAsia" w:ascii="宋体" w:hAnsi="宋体" w:cs="宋体"/>
          <w:sz w:val="24"/>
        </w:rPr>
      </w:pPr>
      <w:r>
        <w:rPr>
          <w:rFonts w:hint="eastAsia" w:ascii="宋体" w:hAnsi="宋体" w:cs="宋体"/>
          <w:sz w:val="24"/>
        </w:rPr>
        <w:t>影响天数、对应交易日期及上传日期：</w:t>
      </w:r>
    </w:p>
    <w:p>
      <w:pPr>
        <w:spacing w:line="560" w:lineRule="exact"/>
        <w:ind w:firstLine="480" w:firstLineChars="200"/>
        <w:rPr>
          <w:rFonts w:hint="eastAsia" w:ascii="宋体" w:hAnsi="宋体" w:cs="宋体"/>
          <w:sz w:val="24"/>
        </w:rPr>
      </w:pPr>
      <w:r>
        <w:rPr>
          <w:rFonts w:hint="eastAsia" w:ascii="宋体" w:hAnsi="宋体" w:cs="宋体"/>
          <w:sz w:val="24"/>
        </w:rPr>
        <w:t>解决方案：</w:t>
      </w:r>
    </w:p>
    <w:p>
      <w:pPr>
        <w:spacing w:line="560" w:lineRule="exact"/>
        <w:ind w:firstLine="480" w:firstLineChars="200"/>
        <w:rPr>
          <w:rFonts w:hint="eastAsia" w:ascii="宋体" w:hAnsi="宋体" w:cs="宋体"/>
          <w:sz w:val="24"/>
        </w:rPr>
      </w:pPr>
      <w:r>
        <w:rPr>
          <w:rFonts w:hint="eastAsia" w:ascii="宋体" w:hAnsi="宋体" w:cs="宋体"/>
          <w:sz w:val="24"/>
        </w:rPr>
        <w:t>是否进行补报：</w:t>
      </w:r>
    </w:p>
    <w:p>
      <w:pPr>
        <w:spacing w:line="560" w:lineRule="exact"/>
        <w:ind w:firstLine="480" w:firstLineChars="200"/>
        <w:rPr>
          <w:rFonts w:hint="eastAsia" w:ascii="宋体" w:hAnsi="宋体" w:cs="宋体"/>
          <w:sz w:val="24"/>
        </w:rPr>
      </w:pPr>
      <w:r>
        <w:rPr>
          <w:rFonts w:hint="eastAsia" w:ascii="宋体" w:hAnsi="宋体" w:cs="宋体"/>
          <w:sz w:val="24"/>
        </w:rPr>
        <w:t>补报/计划补报时间、装载成功的补报批次号：</w:t>
      </w:r>
    </w:p>
    <w:p>
      <w:pPr>
        <w:spacing w:line="560" w:lineRule="exact"/>
        <w:ind w:firstLine="480" w:firstLineChars="200"/>
        <w:rPr>
          <w:rFonts w:hint="eastAsia" w:ascii="宋体" w:hAnsi="宋体" w:cs="宋体"/>
          <w:sz w:val="24"/>
        </w:rPr>
      </w:pPr>
      <w:r>
        <w:rPr>
          <w:rFonts w:hint="eastAsia" w:ascii="宋体" w:hAnsi="宋体" w:cs="宋体"/>
          <w:sz w:val="24"/>
          <w:lang w:val="en-US" w:eastAsia="zh-CN"/>
        </w:rPr>
        <w:t>c</w:t>
      </w:r>
      <w:r>
        <w:rPr>
          <w:rFonts w:hint="eastAsia" w:ascii="宋体" w:hAnsi="宋体" w:cs="宋体"/>
          <w:sz w:val="24"/>
        </w:rPr>
        <w:t>.数据未全部成功装载</w:t>
      </w:r>
    </w:p>
    <w:p>
      <w:pPr>
        <w:spacing w:line="560" w:lineRule="exact"/>
        <w:ind w:firstLine="480" w:firstLineChars="200"/>
        <w:rPr>
          <w:rFonts w:hint="eastAsia" w:ascii="宋体" w:hAnsi="宋体" w:cs="宋体"/>
          <w:sz w:val="24"/>
        </w:rPr>
      </w:pPr>
      <w:r>
        <w:rPr>
          <w:rFonts w:hint="eastAsia" w:ascii="宋体" w:hAnsi="宋体" w:cs="宋体"/>
          <w:sz w:val="24"/>
        </w:rPr>
        <w:t>原因：（逐批次说明、含错误状态码）</w:t>
      </w:r>
    </w:p>
    <w:p>
      <w:pPr>
        <w:spacing w:line="560" w:lineRule="exact"/>
        <w:ind w:firstLine="480" w:firstLineChars="200"/>
        <w:rPr>
          <w:rFonts w:hint="eastAsia" w:ascii="宋体" w:hAnsi="宋体" w:cs="宋体"/>
          <w:sz w:val="24"/>
        </w:rPr>
      </w:pPr>
      <w:r>
        <w:rPr>
          <w:rFonts w:hint="eastAsia" w:ascii="宋体" w:hAnsi="宋体" w:cs="宋体"/>
          <w:sz w:val="24"/>
        </w:rPr>
        <w:t>影响天数、对应交易日期及上传日期：</w:t>
      </w:r>
    </w:p>
    <w:p>
      <w:pPr>
        <w:spacing w:line="560" w:lineRule="exact"/>
        <w:ind w:firstLine="480" w:firstLineChars="200"/>
        <w:rPr>
          <w:rFonts w:hint="eastAsia" w:ascii="宋体" w:hAnsi="宋体" w:cs="宋体"/>
          <w:sz w:val="24"/>
        </w:rPr>
      </w:pPr>
      <w:r>
        <w:rPr>
          <w:rFonts w:hint="eastAsia" w:ascii="宋体" w:hAnsi="宋体" w:cs="宋体"/>
          <w:sz w:val="24"/>
        </w:rPr>
        <w:t>解决方案：</w:t>
      </w:r>
    </w:p>
    <w:p>
      <w:pPr>
        <w:spacing w:line="560" w:lineRule="exact"/>
        <w:ind w:firstLine="480" w:firstLineChars="200"/>
        <w:rPr>
          <w:rFonts w:hint="eastAsia" w:ascii="宋体" w:hAnsi="宋体" w:cs="宋体"/>
          <w:sz w:val="24"/>
        </w:rPr>
      </w:pPr>
      <w:r>
        <w:rPr>
          <w:rFonts w:hint="eastAsia" w:ascii="宋体" w:hAnsi="宋体" w:cs="宋体"/>
          <w:sz w:val="24"/>
        </w:rPr>
        <w:t>是否进行补报：</w:t>
      </w:r>
    </w:p>
    <w:p>
      <w:pPr>
        <w:spacing w:line="560" w:lineRule="exact"/>
        <w:ind w:firstLine="480" w:firstLineChars="200"/>
        <w:rPr>
          <w:rFonts w:hint="eastAsia" w:ascii="宋体" w:hAnsi="宋体" w:cs="宋体"/>
          <w:sz w:val="24"/>
        </w:rPr>
      </w:pPr>
      <w:r>
        <w:rPr>
          <w:rFonts w:hint="eastAsia" w:ascii="宋体" w:hAnsi="宋体" w:cs="宋体"/>
          <w:sz w:val="24"/>
        </w:rPr>
        <w:t>补报/计划补报时间、装载成功的补报批次号：</w:t>
      </w:r>
    </w:p>
    <w:p>
      <w:pPr>
        <w:spacing w:line="560" w:lineRule="exact"/>
        <w:ind w:firstLine="480" w:firstLineChars="200"/>
        <w:rPr>
          <w:rFonts w:hint="eastAsia" w:ascii="宋体" w:hAnsi="宋体" w:cs="宋体"/>
          <w:sz w:val="24"/>
        </w:rPr>
      </w:pPr>
      <w:r>
        <w:rPr>
          <w:rFonts w:hint="eastAsia" w:ascii="宋体" w:hAnsi="宋体" w:cs="宋体"/>
          <w:sz w:val="24"/>
          <w:lang w:val="en-US" w:eastAsia="zh-CN"/>
        </w:rPr>
        <w:t>d</w:t>
      </w:r>
      <w:r>
        <w:rPr>
          <w:rFonts w:hint="eastAsia" w:ascii="宋体" w:hAnsi="宋体" w:cs="宋体"/>
          <w:sz w:val="24"/>
        </w:rPr>
        <w:t>.未及时补报</w:t>
      </w:r>
    </w:p>
    <w:p>
      <w:pPr>
        <w:spacing w:line="560" w:lineRule="exact"/>
        <w:ind w:firstLine="480" w:firstLineChars="200"/>
        <w:rPr>
          <w:rFonts w:hint="eastAsia" w:ascii="宋体" w:hAnsi="宋体" w:cs="宋体"/>
          <w:sz w:val="24"/>
        </w:rPr>
      </w:pPr>
      <w:r>
        <w:rPr>
          <w:rFonts w:hint="eastAsia" w:ascii="宋体" w:hAnsi="宋体" w:cs="宋体"/>
          <w:sz w:val="24"/>
        </w:rPr>
        <w:t>原因：（逐批次说明）</w:t>
      </w:r>
    </w:p>
    <w:p>
      <w:pPr>
        <w:spacing w:line="560" w:lineRule="exact"/>
        <w:ind w:firstLine="480" w:firstLineChars="200"/>
        <w:rPr>
          <w:rFonts w:hint="eastAsia" w:ascii="宋体" w:hAnsi="宋体" w:cs="宋体"/>
          <w:sz w:val="24"/>
        </w:rPr>
      </w:pPr>
      <w:r>
        <w:rPr>
          <w:rFonts w:hint="eastAsia" w:ascii="宋体" w:hAnsi="宋体" w:cs="宋体"/>
          <w:sz w:val="24"/>
        </w:rPr>
        <w:t>影响天数、对应交易日期及上传日期：</w:t>
      </w:r>
    </w:p>
    <w:p>
      <w:pPr>
        <w:spacing w:line="560" w:lineRule="exact"/>
        <w:ind w:firstLine="480" w:firstLineChars="200"/>
        <w:rPr>
          <w:rFonts w:hint="eastAsia" w:ascii="宋体" w:hAnsi="宋体" w:cs="宋体"/>
          <w:sz w:val="24"/>
        </w:rPr>
      </w:pPr>
      <w:r>
        <w:rPr>
          <w:rFonts w:hint="eastAsia" w:ascii="宋体" w:hAnsi="宋体" w:cs="宋体"/>
          <w:sz w:val="24"/>
        </w:rPr>
        <w:t>解决方案：</w:t>
      </w:r>
    </w:p>
    <w:p>
      <w:pPr>
        <w:spacing w:line="560" w:lineRule="exact"/>
        <w:ind w:firstLine="480" w:firstLineChars="200"/>
        <w:rPr>
          <w:rFonts w:hint="eastAsia" w:ascii="宋体" w:hAnsi="宋体" w:cs="宋体"/>
          <w:sz w:val="24"/>
        </w:rPr>
      </w:pPr>
      <w:r>
        <w:rPr>
          <w:rFonts w:hint="eastAsia" w:ascii="宋体" w:hAnsi="宋体" w:cs="宋体"/>
          <w:sz w:val="24"/>
        </w:rPr>
        <w:t>涉及批次号：</w:t>
      </w:r>
    </w:p>
    <w:p>
      <w:pPr>
        <w:spacing w:line="560" w:lineRule="exact"/>
        <w:ind w:firstLine="480" w:firstLineChars="200"/>
        <w:rPr>
          <w:rFonts w:hint="eastAsia" w:ascii="宋体" w:hAnsi="宋体" w:cs="宋体"/>
          <w:sz w:val="24"/>
        </w:rPr>
      </w:pPr>
      <w:r>
        <w:rPr>
          <w:rFonts w:hint="eastAsia" w:ascii="宋体" w:hAnsi="宋体" w:cs="宋体"/>
          <w:sz w:val="24"/>
        </w:rPr>
        <w:t>补报/计划补报时间、装载成功的补报批次号：</w:t>
      </w:r>
    </w:p>
    <w:p>
      <w:pPr>
        <w:spacing w:line="560" w:lineRule="exact"/>
        <w:ind w:firstLine="480" w:firstLineChars="200"/>
        <w:rPr>
          <w:rFonts w:hint="eastAsia" w:ascii="宋体" w:hAnsi="宋体" w:cs="宋体"/>
          <w:sz w:val="24"/>
        </w:rPr>
      </w:pPr>
      <w:r>
        <w:rPr>
          <w:rFonts w:hint="eastAsia" w:ascii="宋体" w:hAnsi="宋体" w:cs="宋体"/>
          <w:sz w:val="24"/>
          <w:lang w:val="en-US" w:eastAsia="zh-CN"/>
        </w:rPr>
        <w:t>e</w:t>
      </w:r>
      <w:r>
        <w:rPr>
          <w:rFonts w:hint="eastAsia" w:ascii="宋体" w:hAnsi="宋体" w:cs="宋体"/>
          <w:sz w:val="24"/>
        </w:rPr>
        <w:t>.数据完成补报</w:t>
      </w:r>
    </w:p>
    <w:tbl>
      <w:tblPr>
        <w:tblStyle w:val="40"/>
        <w:tblW w:w="82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8"/>
        <w:gridCol w:w="1200"/>
        <w:gridCol w:w="1215"/>
        <w:gridCol w:w="990"/>
        <w:gridCol w:w="1245"/>
        <w:gridCol w:w="1230"/>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vAlign w:val="center"/>
          </w:tcPr>
          <w:p>
            <w:pPr>
              <w:spacing w:line="560" w:lineRule="exact"/>
              <w:rPr>
                <w:rFonts w:hint="eastAsia" w:ascii="宋体" w:hAnsi="宋体" w:cs="宋体"/>
                <w:sz w:val="24"/>
              </w:rPr>
            </w:pPr>
            <w:r>
              <w:rPr>
                <w:rFonts w:hint="eastAsia" w:ascii="宋体" w:hAnsi="宋体" w:cs="宋体"/>
                <w:sz w:val="24"/>
              </w:rPr>
              <w:t>原批次号</w:t>
            </w:r>
          </w:p>
        </w:tc>
        <w:tc>
          <w:tcPr>
            <w:tcW w:w="1200" w:type="dxa"/>
            <w:vAlign w:val="center"/>
          </w:tcPr>
          <w:p>
            <w:pPr>
              <w:spacing w:line="560" w:lineRule="exact"/>
              <w:rPr>
                <w:rFonts w:hint="eastAsia" w:ascii="宋体" w:hAnsi="宋体" w:cs="宋体"/>
                <w:sz w:val="24"/>
              </w:rPr>
            </w:pPr>
            <w:r>
              <w:rPr>
                <w:rFonts w:hint="eastAsia" w:ascii="宋体" w:hAnsi="宋体" w:cs="宋体"/>
                <w:sz w:val="24"/>
              </w:rPr>
              <w:t>交易日期</w:t>
            </w:r>
          </w:p>
        </w:tc>
        <w:tc>
          <w:tcPr>
            <w:tcW w:w="1215" w:type="dxa"/>
            <w:vAlign w:val="center"/>
          </w:tcPr>
          <w:p>
            <w:pPr>
              <w:spacing w:line="560" w:lineRule="exact"/>
              <w:rPr>
                <w:rFonts w:hint="eastAsia" w:ascii="宋体" w:hAnsi="宋体" w:cs="宋体"/>
                <w:sz w:val="24"/>
              </w:rPr>
            </w:pPr>
            <w:r>
              <w:rPr>
                <w:rFonts w:hint="eastAsia" w:ascii="宋体" w:hAnsi="宋体" w:cs="宋体"/>
                <w:sz w:val="24"/>
              </w:rPr>
              <w:t>原批次</w:t>
            </w:r>
          </w:p>
          <w:p>
            <w:pPr>
              <w:spacing w:line="560" w:lineRule="exact"/>
              <w:rPr>
                <w:rFonts w:hint="eastAsia" w:ascii="宋体" w:hAnsi="宋体" w:cs="宋体"/>
                <w:sz w:val="24"/>
              </w:rPr>
            </w:pPr>
            <w:r>
              <w:rPr>
                <w:rFonts w:hint="eastAsia" w:ascii="宋体" w:hAnsi="宋体" w:cs="宋体"/>
                <w:sz w:val="24"/>
              </w:rPr>
              <w:t>上传日期</w:t>
            </w:r>
          </w:p>
        </w:tc>
        <w:tc>
          <w:tcPr>
            <w:tcW w:w="990" w:type="dxa"/>
            <w:vAlign w:val="center"/>
          </w:tcPr>
          <w:p>
            <w:pPr>
              <w:spacing w:line="560" w:lineRule="exact"/>
              <w:rPr>
                <w:rFonts w:hint="eastAsia" w:ascii="宋体" w:hAnsi="宋体" w:cs="宋体"/>
                <w:sz w:val="24"/>
              </w:rPr>
            </w:pPr>
            <w:r>
              <w:rPr>
                <w:rFonts w:hint="eastAsia" w:ascii="宋体" w:hAnsi="宋体" w:cs="宋体"/>
                <w:sz w:val="24"/>
              </w:rPr>
              <w:t>补报</w:t>
            </w:r>
          </w:p>
          <w:p>
            <w:pPr>
              <w:spacing w:line="560" w:lineRule="exact"/>
              <w:rPr>
                <w:rFonts w:hint="eastAsia" w:ascii="宋体" w:hAnsi="宋体" w:cs="宋体"/>
                <w:sz w:val="24"/>
              </w:rPr>
            </w:pPr>
            <w:r>
              <w:rPr>
                <w:rFonts w:hint="eastAsia" w:ascii="宋体" w:hAnsi="宋体" w:cs="宋体"/>
                <w:sz w:val="24"/>
              </w:rPr>
              <w:t>批次号</w:t>
            </w:r>
          </w:p>
        </w:tc>
        <w:tc>
          <w:tcPr>
            <w:tcW w:w="1245" w:type="dxa"/>
            <w:vAlign w:val="center"/>
          </w:tcPr>
          <w:p>
            <w:pPr>
              <w:spacing w:line="560" w:lineRule="exact"/>
              <w:rPr>
                <w:rFonts w:hint="eastAsia" w:ascii="宋体" w:hAnsi="宋体" w:cs="宋体"/>
                <w:sz w:val="24"/>
              </w:rPr>
            </w:pPr>
            <w:r>
              <w:rPr>
                <w:rFonts w:hint="eastAsia" w:ascii="宋体" w:hAnsi="宋体" w:cs="宋体"/>
                <w:sz w:val="24"/>
              </w:rPr>
              <w:t>补报批次</w:t>
            </w:r>
          </w:p>
          <w:p>
            <w:pPr>
              <w:spacing w:line="560" w:lineRule="exact"/>
              <w:rPr>
                <w:rFonts w:hint="eastAsia" w:ascii="宋体" w:hAnsi="宋体" w:cs="宋体"/>
                <w:sz w:val="24"/>
              </w:rPr>
            </w:pPr>
            <w:r>
              <w:rPr>
                <w:rFonts w:hint="eastAsia" w:ascii="宋体" w:hAnsi="宋体" w:cs="宋体"/>
                <w:sz w:val="24"/>
              </w:rPr>
              <w:t>装载结果</w:t>
            </w:r>
          </w:p>
        </w:tc>
        <w:tc>
          <w:tcPr>
            <w:tcW w:w="1230" w:type="dxa"/>
            <w:vAlign w:val="center"/>
          </w:tcPr>
          <w:p>
            <w:pPr>
              <w:spacing w:line="560" w:lineRule="exact"/>
              <w:rPr>
                <w:rFonts w:hint="eastAsia" w:ascii="宋体" w:hAnsi="宋体" w:cs="宋体"/>
                <w:sz w:val="24"/>
              </w:rPr>
            </w:pPr>
            <w:r>
              <w:rPr>
                <w:rFonts w:hint="eastAsia" w:ascii="宋体" w:hAnsi="宋体" w:cs="宋体"/>
                <w:sz w:val="24"/>
              </w:rPr>
              <w:t>补报批次</w:t>
            </w:r>
          </w:p>
          <w:p>
            <w:pPr>
              <w:spacing w:line="560" w:lineRule="exact"/>
              <w:rPr>
                <w:rFonts w:hint="eastAsia" w:ascii="宋体" w:hAnsi="宋体" w:cs="宋体"/>
                <w:sz w:val="24"/>
              </w:rPr>
            </w:pPr>
            <w:r>
              <w:rPr>
                <w:rFonts w:hint="eastAsia" w:ascii="宋体" w:hAnsi="宋体" w:cs="宋体"/>
                <w:sz w:val="24"/>
              </w:rPr>
              <w:t>保单量</w:t>
            </w:r>
          </w:p>
        </w:tc>
        <w:tc>
          <w:tcPr>
            <w:tcW w:w="1215" w:type="dxa"/>
            <w:vAlign w:val="center"/>
          </w:tcPr>
          <w:p>
            <w:pPr>
              <w:spacing w:line="560" w:lineRule="exact"/>
              <w:rPr>
                <w:rFonts w:hint="eastAsia" w:ascii="宋体" w:hAnsi="宋体" w:cs="宋体"/>
                <w:sz w:val="24"/>
              </w:rPr>
            </w:pPr>
            <w:r>
              <w:rPr>
                <w:rFonts w:hint="eastAsia" w:ascii="宋体" w:hAnsi="宋体" w:cs="宋体"/>
                <w:sz w:val="24"/>
              </w:rPr>
              <w:t>补报批次</w:t>
            </w:r>
          </w:p>
          <w:p>
            <w:pPr>
              <w:spacing w:line="560" w:lineRule="exact"/>
              <w:rPr>
                <w:rFonts w:hint="eastAsia" w:ascii="宋体" w:hAnsi="宋体" w:cs="宋体"/>
                <w:sz w:val="24"/>
              </w:rPr>
            </w:pPr>
            <w:r>
              <w:rPr>
                <w:rFonts w:hint="eastAsia" w:ascii="宋体" w:hAnsi="宋体" w:cs="宋体"/>
                <w:sz w:val="24"/>
              </w:rPr>
              <w:t>交易量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1198" w:type="dxa"/>
          </w:tcPr>
          <w:p>
            <w:pPr>
              <w:spacing w:line="560" w:lineRule="exact"/>
              <w:rPr>
                <w:rFonts w:hint="eastAsia" w:ascii="宋体" w:hAnsi="宋体" w:cs="宋体"/>
                <w:sz w:val="24"/>
              </w:rPr>
            </w:pPr>
          </w:p>
        </w:tc>
        <w:tc>
          <w:tcPr>
            <w:tcW w:w="1200" w:type="dxa"/>
          </w:tcPr>
          <w:p>
            <w:pPr>
              <w:spacing w:line="560" w:lineRule="exact"/>
              <w:rPr>
                <w:rFonts w:hint="eastAsia" w:ascii="宋体" w:hAnsi="宋体" w:cs="宋体"/>
                <w:sz w:val="24"/>
              </w:rPr>
            </w:pPr>
          </w:p>
        </w:tc>
        <w:tc>
          <w:tcPr>
            <w:tcW w:w="1215" w:type="dxa"/>
          </w:tcPr>
          <w:p>
            <w:pPr>
              <w:spacing w:line="560" w:lineRule="exact"/>
              <w:rPr>
                <w:rFonts w:hint="eastAsia" w:ascii="宋体" w:hAnsi="宋体" w:cs="宋体"/>
                <w:sz w:val="24"/>
              </w:rPr>
            </w:pPr>
          </w:p>
        </w:tc>
        <w:tc>
          <w:tcPr>
            <w:tcW w:w="990" w:type="dxa"/>
          </w:tcPr>
          <w:p>
            <w:pPr>
              <w:spacing w:line="560" w:lineRule="exact"/>
              <w:rPr>
                <w:rFonts w:hint="eastAsia" w:ascii="宋体" w:hAnsi="宋体" w:cs="宋体"/>
                <w:sz w:val="24"/>
              </w:rPr>
            </w:pPr>
          </w:p>
        </w:tc>
        <w:tc>
          <w:tcPr>
            <w:tcW w:w="1245" w:type="dxa"/>
          </w:tcPr>
          <w:p>
            <w:pPr>
              <w:spacing w:line="560" w:lineRule="exact"/>
              <w:rPr>
                <w:rFonts w:hint="eastAsia" w:ascii="宋体" w:hAnsi="宋体" w:cs="宋体"/>
                <w:sz w:val="24"/>
              </w:rPr>
            </w:pPr>
          </w:p>
        </w:tc>
        <w:tc>
          <w:tcPr>
            <w:tcW w:w="1230" w:type="dxa"/>
          </w:tcPr>
          <w:p>
            <w:pPr>
              <w:spacing w:line="560" w:lineRule="exact"/>
              <w:rPr>
                <w:rFonts w:hint="eastAsia" w:ascii="宋体" w:hAnsi="宋体" w:cs="宋体"/>
                <w:sz w:val="24"/>
              </w:rPr>
            </w:pPr>
          </w:p>
        </w:tc>
        <w:tc>
          <w:tcPr>
            <w:tcW w:w="1215" w:type="dxa"/>
          </w:tcPr>
          <w:p>
            <w:pPr>
              <w:spacing w:line="560" w:lineRule="exact"/>
              <w:rPr>
                <w:rFonts w:hint="eastAsia" w:ascii="宋体" w:hAns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jc w:val="center"/>
        </w:trPr>
        <w:tc>
          <w:tcPr>
            <w:tcW w:w="1198" w:type="dxa"/>
          </w:tcPr>
          <w:p>
            <w:pPr>
              <w:spacing w:line="560" w:lineRule="exact"/>
              <w:rPr>
                <w:rFonts w:hint="eastAsia" w:ascii="宋体" w:hAnsi="宋体" w:cs="宋体"/>
                <w:sz w:val="24"/>
              </w:rPr>
            </w:pPr>
          </w:p>
        </w:tc>
        <w:tc>
          <w:tcPr>
            <w:tcW w:w="1200" w:type="dxa"/>
          </w:tcPr>
          <w:p>
            <w:pPr>
              <w:spacing w:line="560" w:lineRule="exact"/>
              <w:rPr>
                <w:rFonts w:hint="eastAsia" w:ascii="宋体" w:hAnsi="宋体" w:cs="宋体"/>
                <w:sz w:val="24"/>
              </w:rPr>
            </w:pPr>
          </w:p>
        </w:tc>
        <w:tc>
          <w:tcPr>
            <w:tcW w:w="1215" w:type="dxa"/>
          </w:tcPr>
          <w:p>
            <w:pPr>
              <w:spacing w:line="560" w:lineRule="exact"/>
              <w:rPr>
                <w:rFonts w:hint="eastAsia" w:ascii="宋体" w:hAnsi="宋体" w:cs="宋体"/>
                <w:sz w:val="24"/>
              </w:rPr>
            </w:pPr>
          </w:p>
        </w:tc>
        <w:tc>
          <w:tcPr>
            <w:tcW w:w="990" w:type="dxa"/>
          </w:tcPr>
          <w:p>
            <w:pPr>
              <w:spacing w:line="560" w:lineRule="exact"/>
              <w:rPr>
                <w:rFonts w:hint="eastAsia" w:ascii="宋体" w:hAnsi="宋体" w:cs="宋体"/>
                <w:sz w:val="24"/>
              </w:rPr>
            </w:pPr>
          </w:p>
        </w:tc>
        <w:tc>
          <w:tcPr>
            <w:tcW w:w="1245" w:type="dxa"/>
          </w:tcPr>
          <w:p>
            <w:pPr>
              <w:spacing w:line="560" w:lineRule="exact"/>
              <w:rPr>
                <w:rFonts w:hint="eastAsia" w:ascii="宋体" w:hAnsi="宋体" w:cs="宋体"/>
                <w:sz w:val="24"/>
              </w:rPr>
            </w:pPr>
          </w:p>
        </w:tc>
        <w:tc>
          <w:tcPr>
            <w:tcW w:w="1230" w:type="dxa"/>
          </w:tcPr>
          <w:p>
            <w:pPr>
              <w:spacing w:line="560" w:lineRule="exact"/>
              <w:rPr>
                <w:rFonts w:hint="eastAsia" w:ascii="宋体" w:hAnsi="宋体" w:cs="宋体"/>
                <w:sz w:val="24"/>
              </w:rPr>
            </w:pPr>
          </w:p>
        </w:tc>
        <w:tc>
          <w:tcPr>
            <w:tcW w:w="1215" w:type="dxa"/>
          </w:tcPr>
          <w:p>
            <w:pPr>
              <w:spacing w:line="560" w:lineRule="exact"/>
              <w:rPr>
                <w:rFonts w:hint="eastAsia" w:ascii="宋体" w:hAnsi="宋体" w:cs="宋体"/>
                <w:sz w:val="24"/>
              </w:rPr>
            </w:pPr>
          </w:p>
        </w:tc>
      </w:tr>
    </w:tbl>
    <w:p>
      <w:pPr>
        <w:spacing w:line="560" w:lineRule="exact"/>
        <w:ind w:firstLine="480" w:firstLineChars="200"/>
        <w:rPr>
          <w:rFonts w:hint="eastAsia" w:ascii="宋体" w:hAnsi="宋体" w:cs="宋体"/>
          <w:sz w:val="24"/>
        </w:rPr>
      </w:pPr>
      <w:r>
        <w:rPr>
          <w:rFonts w:hint="eastAsia" w:ascii="宋体" w:hAnsi="宋体" w:cs="宋体"/>
          <w:sz w:val="24"/>
          <w:lang w:val="en-US" w:eastAsia="zh-CN"/>
        </w:rPr>
        <w:t>f</w:t>
      </w:r>
      <w:r>
        <w:rPr>
          <w:rFonts w:hint="eastAsia" w:ascii="宋体" w:hAnsi="宋体" w:cs="宋体"/>
          <w:sz w:val="24"/>
        </w:rPr>
        <w:t>.对账不成功</w:t>
      </w:r>
    </w:p>
    <w:p>
      <w:pPr>
        <w:spacing w:line="560" w:lineRule="exact"/>
        <w:ind w:firstLine="480" w:firstLineChars="200"/>
        <w:rPr>
          <w:rFonts w:hint="eastAsia" w:ascii="宋体" w:hAnsi="宋体" w:cs="宋体"/>
          <w:sz w:val="24"/>
        </w:rPr>
      </w:pPr>
      <w:r>
        <w:rPr>
          <w:rFonts w:hint="eastAsia" w:ascii="宋体" w:hAnsi="宋体" w:cs="宋体"/>
          <w:sz w:val="24"/>
        </w:rPr>
        <w:t>原因：</w:t>
      </w:r>
    </w:p>
    <w:p>
      <w:pPr>
        <w:spacing w:line="560" w:lineRule="exact"/>
        <w:ind w:firstLine="480" w:firstLineChars="200"/>
        <w:rPr>
          <w:rFonts w:hint="eastAsia" w:ascii="宋体" w:hAnsi="宋体" w:cs="宋体"/>
          <w:sz w:val="24"/>
        </w:rPr>
      </w:pPr>
      <w:r>
        <w:rPr>
          <w:rFonts w:hint="eastAsia" w:ascii="宋体" w:hAnsi="宋体" w:cs="宋体"/>
          <w:sz w:val="24"/>
        </w:rPr>
        <w:t>影响天数、对应交易日期及对账日期：</w:t>
      </w:r>
    </w:p>
    <w:p>
      <w:pPr>
        <w:spacing w:line="560" w:lineRule="exact"/>
        <w:ind w:firstLine="480" w:firstLineChars="200"/>
        <w:rPr>
          <w:rFonts w:hint="eastAsia" w:ascii="宋体" w:hAnsi="宋体" w:cs="宋体"/>
          <w:sz w:val="24"/>
        </w:rPr>
      </w:pPr>
      <w:r>
        <w:rPr>
          <w:rFonts w:hint="eastAsia" w:ascii="宋体" w:hAnsi="宋体" w:cs="宋体"/>
          <w:sz w:val="24"/>
        </w:rPr>
        <w:t>解决方案：</w:t>
      </w:r>
    </w:p>
    <w:p>
      <w:pPr>
        <w:spacing w:line="560" w:lineRule="exact"/>
        <w:ind w:firstLine="480" w:firstLineChars="200"/>
        <w:rPr>
          <w:rFonts w:hint="eastAsia" w:ascii="宋体" w:hAnsi="宋体" w:cs="宋体"/>
          <w:sz w:val="24"/>
        </w:rPr>
      </w:pPr>
      <w:r>
        <w:rPr>
          <w:rFonts w:hint="eastAsia" w:ascii="宋体" w:hAnsi="宋体" w:cs="宋体"/>
          <w:sz w:val="24"/>
        </w:rPr>
        <w:t>重新对账/计划重新对账时间：</w:t>
      </w:r>
    </w:p>
    <w:p>
      <w:pPr>
        <w:pStyle w:val="202"/>
        <w:ind w:firstLine="0" w:firstLineChars="0"/>
        <w:outlineLvl w:val="2"/>
        <w:rPr>
          <w:rFonts w:hint="eastAsia" w:ascii="仿宋" w:hAnsi="仿宋" w:eastAsia="仿宋" w:cs="仿宋"/>
          <w:b/>
          <w:bCs w:val="0"/>
          <w:i w:val="0"/>
          <w:caps w:val="0"/>
          <w:color w:val="auto"/>
          <w:spacing w:val="0"/>
          <w:sz w:val="28"/>
          <w:szCs w:val="28"/>
        </w:rPr>
      </w:pPr>
      <w:r>
        <w:rPr>
          <w:rFonts w:hint="eastAsia" w:ascii="仿宋" w:hAnsi="仿宋" w:eastAsia="仿宋" w:cs="仿宋"/>
          <w:b/>
          <w:bCs w:val="0"/>
          <w:i w:val="0"/>
          <w:caps w:val="0"/>
          <w:color w:val="auto"/>
          <w:spacing w:val="0"/>
          <w:kern w:val="2"/>
          <w:sz w:val="28"/>
          <w:szCs w:val="28"/>
          <w:shd w:val="clear"/>
          <w:lang w:val="en-US" w:eastAsia="zh-CN" w:bidi="ar"/>
        </w:rPr>
        <w:t>53. 保单登记平台数据报送情况反馈模板的补充说明</w:t>
      </w:r>
    </w:p>
    <w:p>
      <w:pPr>
        <w:keepNext w:val="0"/>
        <w:keepLines w:val="0"/>
        <w:widowControl/>
        <w:suppressLineNumbers w:val="0"/>
        <w:shd w:val="clear"/>
        <w:spacing w:before="0" w:beforeAutospacing="0" w:after="0" w:afterAutospacing="0" w:line="560" w:lineRule="exact"/>
        <w:ind w:left="0" w:right="0" w:firstLine="480" w:firstLineChars="200"/>
        <w:jc w:val="left"/>
        <w:rPr>
          <w:rFonts w:hint="eastAsia" w:ascii="宋体" w:hAnsi="宋体" w:eastAsia="宋体" w:cs="宋体"/>
          <w:b w:val="0"/>
          <w:i w:val="0"/>
          <w:caps w:val="0"/>
          <w:color w:val="auto"/>
          <w:spacing w:val="0"/>
          <w:kern w:val="2"/>
          <w:sz w:val="24"/>
          <w:szCs w:val="22"/>
          <w:shd w:val="clear"/>
          <w:lang w:val="en-US" w:eastAsia="zh-CN" w:bidi="ar"/>
        </w:rPr>
      </w:pPr>
      <w:r>
        <w:rPr>
          <w:rFonts w:hint="eastAsia" w:ascii="宋体" w:hAnsi="宋体" w:cs="宋体"/>
          <w:sz w:val="24"/>
          <w:lang w:val="en-US" w:eastAsia="zh-CN"/>
        </w:rPr>
        <w:t>a.反馈数据报送情况时，直接在邮件正文中描述即可，</w:t>
      </w:r>
      <w:r>
        <w:rPr>
          <w:rFonts w:hint="eastAsia" w:ascii="宋体" w:hAnsi="宋体" w:cs="宋体"/>
          <w:b/>
          <w:bCs/>
          <w:sz w:val="24"/>
          <w:lang w:val="en-US" w:eastAsia="zh-CN"/>
        </w:rPr>
        <w:t>请勿以附件形式发送</w:t>
      </w:r>
      <w:r>
        <w:rPr>
          <w:rFonts w:hint="eastAsia" w:ascii="宋体" w:hAnsi="宋体" w:cs="宋体"/>
          <w:sz w:val="24"/>
          <w:lang w:val="en-US" w:eastAsia="zh-CN"/>
        </w:rPr>
        <w:t>。</w:t>
      </w:r>
    </w:p>
    <w:p>
      <w:pPr>
        <w:keepNext w:val="0"/>
        <w:keepLines w:val="0"/>
        <w:widowControl/>
        <w:suppressLineNumbers w:val="0"/>
        <w:shd w:val="clear"/>
        <w:spacing w:before="0" w:beforeAutospacing="0" w:after="0" w:afterAutospacing="0" w:line="560" w:lineRule="atLeast"/>
        <w:ind w:left="0" w:right="0" w:firstLine="480" w:firstLineChars="200"/>
        <w:jc w:val="left"/>
        <w:rPr>
          <w:rFonts w:hint="eastAsia" w:ascii="宋体" w:hAnsi="宋体" w:eastAsia="宋体" w:cs="宋体"/>
          <w:b w:val="0"/>
          <w:i w:val="0"/>
          <w:caps w:val="0"/>
          <w:color w:val="auto"/>
          <w:spacing w:val="0"/>
          <w:sz w:val="24"/>
          <w:szCs w:val="22"/>
        </w:rPr>
      </w:pPr>
      <w:r>
        <w:rPr>
          <w:rFonts w:hint="eastAsia" w:ascii="宋体" w:hAnsi="宋体" w:cs="宋体"/>
          <w:b w:val="0"/>
          <w:i w:val="0"/>
          <w:color w:val="auto"/>
          <w:spacing w:val="0"/>
          <w:kern w:val="2"/>
          <w:sz w:val="24"/>
          <w:szCs w:val="22"/>
          <w:shd w:val="clear"/>
          <w:lang w:val="en-US" w:eastAsia="zh-CN" w:bidi="ar"/>
        </w:rPr>
        <w:t>b</w:t>
      </w:r>
      <w:r>
        <w:rPr>
          <w:rFonts w:hint="eastAsia" w:ascii="宋体" w:hAnsi="宋体" w:cs="宋体"/>
          <w:b w:val="0"/>
          <w:i w:val="0"/>
          <w:caps w:val="0"/>
          <w:color w:val="auto"/>
          <w:spacing w:val="0"/>
          <w:kern w:val="2"/>
          <w:sz w:val="24"/>
          <w:szCs w:val="22"/>
          <w:shd w:val="clear"/>
          <w:lang w:val="en-US" w:eastAsia="zh-CN" w:bidi="ar"/>
        </w:rPr>
        <w:t>.</w:t>
      </w:r>
      <w:r>
        <w:rPr>
          <w:rFonts w:hint="eastAsia" w:ascii="宋体" w:hAnsi="宋体" w:eastAsia="宋体" w:cs="宋体"/>
          <w:b w:val="0"/>
          <w:i w:val="0"/>
          <w:caps w:val="0"/>
          <w:color w:val="auto"/>
          <w:spacing w:val="0"/>
          <w:kern w:val="2"/>
          <w:sz w:val="24"/>
          <w:szCs w:val="22"/>
          <w:shd w:val="clear"/>
          <w:lang w:val="en-US" w:eastAsia="zh-CN" w:bidi="ar"/>
        </w:rPr>
        <w:t>若查询结果为“汇总对账核对处理中”或因数据未装载完成不能发起汇总对账，可以暂不反馈“汇总对账不成功”项。待汇总对账处理完成后再按模板要求对“发起对账错误”或“汇总对账不成功”向平台反馈原因及其他相关信息（具体参照“保单登记平台数据报送情况反馈模板”）。</w:t>
      </w:r>
    </w:p>
    <w:p>
      <w:pPr>
        <w:spacing w:line="560" w:lineRule="exact"/>
        <w:ind w:firstLine="0" w:firstLineChars="0"/>
        <w:rPr>
          <w:rFonts w:hint="eastAsia" w:ascii="宋体" w:hAnsi="宋体" w:cs="宋体"/>
          <w:b/>
          <w:bCs/>
          <w:color w:val="FF0000"/>
          <w:sz w:val="24"/>
          <w:lang w:val="en-US" w:eastAsia="zh-CN"/>
        </w:rPr>
      </w:pPr>
    </w:p>
    <w:p>
      <w:pPr>
        <w:numPr>
          <w:ilvl w:val="-1"/>
          <w:numId w:val="0"/>
        </w:numPr>
        <w:spacing w:line="560" w:lineRule="atLeast"/>
        <w:ind w:left="0" w:firstLine="0"/>
        <w:rPr>
          <w:rFonts w:ascii="宋体" w:hAnsi="宋体" w:cs="宋体"/>
        </w:rPr>
      </w:pPr>
    </w:p>
    <w:p>
      <w:pPr>
        <w:spacing w:line="560" w:lineRule="exact"/>
      </w:pPr>
      <w:r>
        <w:br w:type="page"/>
      </w:r>
    </w:p>
    <w:p>
      <w:pPr>
        <w:pStyle w:val="37"/>
        <w:spacing w:before="0" w:after="0" w:line="560" w:lineRule="exact"/>
        <w:jc w:val="both"/>
        <w:rPr>
          <w:rFonts w:ascii="黑体" w:hAnsi="黑体" w:eastAsia="黑体" w:cs="黑体"/>
          <w:b w:val="0"/>
          <w:bCs w:val="0"/>
        </w:rPr>
      </w:pPr>
      <w:r>
        <w:rPr>
          <w:rFonts w:hint="eastAsia" w:ascii="黑体" w:hAnsi="黑体" w:eastAsia="黑体" w:cs="黑体"/>
          <w:b w:val="0"/>
          <w:bCs w:val="0"/>
        </w:rPr>
        <w:t>第五篇：附件篇</w:t>
      </w:r>
    </w:p>
    <w:p>
      <w:pPr>
        <w:pStyle w:val="4"/>
        <w:adjustRightInd w:val="0"/>
        <w:snapToGrid w:val="0"/>
        <w:spacing w:before="0" w:after="0" w:line="560" w:lineRule="exact"/>
        <w:rPr>
          <w:rFonts w:ascii="仿宋" w:hAnsi="仿宋" w:eastAsia="仿宋" w:cs="仿宋"/>
          <w:kern w:val="0"/>
          <w:sz w:val="28"/>
          <w:szCs w:val="28"/>
        </w:rPr>
      </w:pPr>
      <w:r>
        <w:rPr>
          <w:rFonts w:hint="eastAsia" w:ascii="仿宋" w:hAnsi="仿宋" w:eastAsia="仿宋" w:cs="仿宋"/>
          <w:sz w:val="28"/>
          <w:szCs w:val="28"/>
        </w:rPr>
        <w:t xml:space="preserve">1. </w:t>
      </w:r>
      <w:r>
        <w:rPr>
          <w:rFonts w:hint="eastAsia" w:ascii="仿宋" w:hAnsi="仿宋" w:eastAsia="仿宋" w:cs="仿宋"/>
          <w:kern w:val="0"/>
          <w:sz w:val="28"/>
          <w:szCs w:val="28"/>
        </w:rPr>
        <w:t>保单登记平台领导小组信息表</w:t>
      </w:r>
    </w:p>
    <w:tbl>
      <w:tblPr>
        <w:tblStyle w:val="39"/>
        <w:tblW w:w="86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134"/>
        <w:gridCol w:w="1134"/>
        <w:gridCol w:w="1417"/>
        <w:gridCol w:w="1560"/>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8647" w:type="dxa"/>
            <w:gridSpan w:val="6"/>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保险机构全称：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8647" w:type="dxa"/>
            <w:gridSpan w:val="6"/>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保险机构代码：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8647"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公司类别：</w:t>
            </w:r>
            <w:r>
              <w:rPr>
                <w:rFonts w:ascii="仿宋_GB2312" w:hAnsi="等线" w:eastAsia="仿宋_GB2312" w:cs="宋体"/>
                <w:color w:val="000000"/>
                <w:kern w:val="0"/>
                <w:sz w:val="28"/>
                <w:szCs w:val="32"/>
              </w:rPr>
              <w:object>
                <v:shape id="_x0000_i1028" o:spt="201" alt="" type="#_x0000_t201" style="height:19.5pt;width:113.25pt;" o:ole="t" filled="f" o:preferrelative="t" stroked="f" coordsize="21600,21600">
                  <v:path/>
                  <v:fill on="f" focussize="0,0"/>
                  <v:stroke on="f"/>
                  <v:imagedata r:id="rId28" o:title=""/>
                  <o:lock v:ext="edit" aspectratio="t"/>
                  <w10:wrap type="none"/>
                  <w10:anchorlock/>
                </v:shape>
                <w:control r:id="rId27" w:name="OptionButton1" w:shapeid="_x0000_i1028"/>
              </w:object>
            </w:r>
            <w:r>
              <w:rPr>
                <w:rFonts w:hint="eastAsia" w:ascii="仿宋_GB2312" w:hAnsi="等线" w:eastAsia="仿宋_GB2312" w:cs="宋体"/>
                <w:color w:val="000000"/>
                <w:kern w:val="0"/>
                <w:sz w:val="28"/>
                <w:szCs w:val="32"/>
              </w:rPr>
              <w:t xml:space="preserve"> </w:t>
            </w:r>
            <w:r>
              <w:rPr>
                <w:rFonts w:ascii="仿宋_GB2312" w:hAnsi="等线" w:eastAsia="仿宋_GB2312" w:cs="宋体"/>
                <w:color w:val="000000"/>
                <w:kern w:val="0"/>
                <w:sz w:val="28"/>
                <w:szCs w:val="32"/>
              </w:rPr>
              <w:object>
                <v:shape id="_x0000_i1029" o:spt="201" alt="" type="#_x0000_t201" style="height:19.5pt;width:108pt;" o:ole="t" filled="f" o:preferrelative="t" stroked="f" coordsize="21600,21600">
                  <v:path/>
                  <v:fill on="f" focussize="0,0"/>
                  <v:stroke on="f"/>
                  <v:imagedata r:id="rId30" o:title=""/>
                  <o:lock v:ext="edit" aspectratio="t"/>
                  <w10:wrap type="none"/>
                  <w10:anchorlock/>
                </v:shape>
                <w:control r:id="rId29" w:name="OptionButton2" w:shapeid="_x0000_i1029"/>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8647"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spacing w:line="560" w:lineRule="exact"/>
              <w:ind w:firstLine="640" w:firstLineChars="200"/>
              <w:rPr>
                <w:rFonts w:ascii="仿宋_GB2312" w:hAnsi="仿宋_GB2312" w:eastAsia="仿宋_GB2312" w:cs="仿宋_GB2312"/>
                <w:sz w:val="32"/>
                <w:szCs w:val="32"/>
              </w:rPr>
            </w:pPr>
            <w:r>
              <w:rPr>
                <w:rFonts w:hint="eastAsia" w:ascii="仿宋_GB2312" w:hAnsi="仿宋_GB2312" w:eastAsia="仿宋_GB2312" w:cs="仿宋_GB2312"/>
                <w:sz w:val="32"/>
                <w:szCs w:val="32"/>
              </w:rPr>
              <w:t>（总公司公章）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1843"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角色</w:t>
            </w:r>
          </w:p>
        </w:tc>
        <w:tc>
          <w:tcPr>
            <w:tcW w:w="1134"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姓名</w:t>
            </w:r>
          </w:p>
        </w:tc>
        <w:tc>
          <w:tcPr>
            <w:tcW w:w="1134"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职务</w:t>
            </w:r>
          </w:p>
        </w:tc>
        <w:tc>
          <w:tcPr>
            <w:tcW w:w="1417"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办公电话</w:t>
            </w:r>
          </w:p>
        </w:tc>
        <w:tc>
          <w:tcPr>
            <w:tcW w:w="1560"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手机号码</w:t>
            </w:r>
          </w:p>
        </w:tc>
        <w:tc>
          <w:tcPr>
            <w:tcW w:w="1559"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843" w:type="dxa"/>
          </w:tcPr>
          <w:p>
            <w:pPr>
              <w:widowControl/>
              <w:spacing w:line="560" w:lineRule="exact"/>
              <w:rPr>
                <w:rFonts w:ascii="仿宋_GB2312" w:hAnsi="等线" w:eastAsia="仿宋_GB2312" w:cs="宋体"/>
                <w:color w:val="000000"/>
                <w:kern w:val="0"/>
                <w:sz w:val="28"/>
                <w:szCs w:val="32"/>
                <w:vertAlign w:val="superscript"/>
              </w:rPr>
            </w:pPr>
            <w:r>
              <w:rPr>
                <w:rFonts w:hint="eastAsia" w:ascii="仿宋_GB2312" w:hAnsi="等线" w:eastAsia="仿宋_GB2312" w:cs="宋体"/>
                <w:color w:val="000000"/>
                <w:kern w:val="0"/>
                <w:sz w:val="28"/>
                <w:szCs w:val="32"/>
              </w:rPr>
              <w:t>组长</w:t>
            </w:r>
          </w:p>
        </w:tc>
        <w:tc>
          <w:tcPr>
            <w:tcW w:w="1134" w:type="dxa"/>
          </w:tcPr>
          <w:p>
            <w:pPr>
              <w:widowControl/>
              <w:spacing w:line="560" w:lineRule="exact"/>
              <w:rPr>
                <w:rFonts w:ascii="仿宋_GB2312" w:hAnsi="等线" w:eastAsia="仿宋_GB2312" w:cs="宋体"/>
                <w:color w:val="000000"/>
                <w:kern w:val="0"/>
                <w:sz w:val="28"/>
                <w:szCs w:val="32"/>
              </w:rPr>
            </w:pPr>
          </w:p>
        </w:tc>
        <w:tc>
          <w:tcPr>
            <w:tcW w:w="1134" w:type="dxa"/>
          </w:tcPr>
          <w:p>
            <w:pPr>
              <w:widowControl/>
              <w:spacing w:line="560" w:lineRule="exact"/>
              <w:rPr>
                <w:rFonts w:ascii="仿宋_GB2312" w:hAnsi="等线" w:eastAsia="仿宋_GB2312" w:cs="宋体"/>
                <w:color w:val="000000"/>
                <w:kern w:val="0"/>
                <w:sz w:val="28"/>
                <w:szCs w:val="32"/>
              </w:rPr>
            </w:pPr>
          </w:p>
        </w:tc>
        <w:tc>
          <w:tcPr>
            <w:tcW w:w="1417" w:type="dxa"/>
          </w:tcPr>
          <w:p>
            <w:pPr>
              <w:widowControl/>
              <w:spacing w:line="560" w:lineRule="exact"/>
              <w:rPr>
                <w:rFonts w:ascii="仿宋_GB2312" w:hAnsi="等线" w:eastAsia="仿宋_GB2312" w:cs="宋体"/>
                <w:color w:val="000000"/>
                <w:kern w:val="0"/>
                <w:sz w:val="28"/>
                <w:szCs w:val="32"/>
              </w:rPr>
            </w:pPr>
          </w:p>
        </w:tc>
        <w:tc>
          <w:tcPr>
            <w:tcW w:w="1560"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843" w:type="dxa"/>
          </w:tcPr>
          <w:p>
            <w:pPr>
              <w:widowControl/>
              <w:spacing w:line="560" w:lineRule="exact"/>
              <w:rPr>
                <w:rFonts w:ascii="仿宋_GB2312" w:hAnsi="等线" w:eastAsia="仿宋_GB2312" w:cs="宋体"/>
                <w:color w:val="000000"/>
                <w:kern w:val="0"/>
                <w:sz w:val="28"/>
                <w:szCs w:val="32"/>
                <w:vertAlign w:val="superscript"/>
              </w:rPr>
            </w:pPr>
            <w:r>
              <w:rPr>
                <w:rFonts w:hint="eastAsia" w:ascii="仿宋_GB2312" w:hAnsi="等线" w:eastAsia="仿宋_GB2312" w:cs="宋体"/>
                <w:color w:val="000000"/>
                <w:kern w:val="0"/>
                <w:sz w:val="28"/>
                <w:szCs w:val="32"/>
              </w:rPr>
              <w:t>副组长</w:t>
            </w:r>
          </w:p>
        </w:tc>
        <w:tc>
          <w:tcPr>
            <w:tcW w:w="1134" w:type="dxa"/>
          </w:tcPr>
          <w:p>
            <w:pPr>
              <w:widowControl/>
              <w:spacing w:line="560" w:lineRule="exact"/>
              <w:rPr>
                <w:rFonts w:ascii="仿宋_GB2312" w:hAnsi="等线" w:eastAsia="仿宋_GB2312" w:cs="宋体"/>
                <w:color w:val="000000"/>
                <w:kern w:val="0"/>
                <w:sz w:val="28"/>
                <w:szCs w:val="32"/>
              </w:rPr>
            </w:pPr>
          </w:p>
        </w:tc>
        <w:tc>
          <w:tcPr>
            <w:tcW w:w="1134" w:type="dxa"/>
          </w:tcPr>
          <w:p>
            <w:pPr>
              <w:widowControl/>
              <w:spacing w:line="560" w:lineRule="exact"/>
              <w:rPr>
                <w:rFonts w:ascii="仿宋_GB2312" w:hAnsi="等线" w:eastAsia="仿宋_GB2312" w:cs="宋体"/>
                <w:color w:val="000000"/>
                <w:kern w:val="0"/>
                <w:sz w:val="28"/>
                <w:szCs w:val="32"/>
              </w:rPr>
            </w:pPr>
          </w:p>
        </w:tc>
        <w:tc>
          <w:tcPr>
            <w:tcW w:w="1417" w:type="dxa"/>
          </w:tcPr>
          <w:p>
            <w:pPr>
              <w:widowControl/>
              <w:spacing w:line="560" w:lineRule="exact"/>
              <w:rPr>
                <w:rFonts w:ascii="仿宋_GB2312" w:hAnsi="等线" w:eastAsia="仿宋_GB2312" w:cs="宋体"/>
                <w:color w:val="000000"/>
                <w:kern w:val="0"/>
                <w:sz w:val="28"/>
                <w:szCs w:val="32"/>
              </w:rPr>
            </w:pPr>
          </w:p>
        </w:tc>
        <w:tc>
          <w:tcPr>
            <w:tcW w:w="1560"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843"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联系人</w:t>
            </w:r>
          </w:p>
        </w:tc>
        <w:tc>
          <w:tcPr>
            <w:tcW w:w="1134" w:type="dxa"/>
          </w:tcPr>
          <w:p>
            <w:pPr>
              <w:widowControl/>
              <w:spacing w:line="560" w:lineRule="exact"/>
              <w:rPr>
                <w:rFonts w:ascii="仿宋_GB2312" w:hAnsi="等线" w:eastAsia="仿宋_GB2312" w:cs="宋体"/>
                <w:color w:val="000000"/>
                <w:kern w:val="0"/>
                <w:sz w:val="28"/>
                <w:szCs w:val="32"/>
              </w:rPr>
            </w:pPr>
          </w:p>
        </w:tc>
        <w:tc>
          <w:tcPr>
            <w:tcW w:w="1134" w:type="dxa"/>
          </w:tcPr>
          <w:p>
            <w:pPr>
              <w:widowControl/>
              <w:spacing w:line="560" w:lineRule="exact"/>
              <w:rPr>
                <w:rFonts w:ascii="仿宋_GB2312" w:hAnsi="等线" w:eastAsia="仿宋_GB2312" w:cs="宋体"/>
                <w:color w:val="000000"/>
                <w:kern w:val="0"/>
                <w:sz w:val="28"/>
                <w:szCs w:val="32"/>
              </w:rPr>
            </w:pPr>
          </w:p>
        </w:tc>
        <w:tc>
          <w:tcPr>
            <w:tcW w:w="1417" w:type="dxa"/>
          </w:tcPr>
          <w:p>
            <w:pPr>
              <w:widowControl/>
              <w:spacing w:line="560" w:lineRule="exact"/>
              <w:rPr>
                <w:rFonts w:ascii="仿宋_GB2312" w:hAnsi="等线" w:eastAsia="仿宋_GB2312" w:cs="宋体"/>
                <w:color w:val="000000"/>
                <w:kern w:val="0"/>
                <w:sz w:val="28"/>
                <w:szCs w:val="32"/>
              </w:rPr>
            </w:pPr>
          </w:p>
        </w:tc>
        <w:tc>
          <w:tcPr>
            <w:tcW w:w="1560"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843"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数据报送和质量负责人</w:t>
            </w:r>
          </w:p>
        </w:tc>
        <w:tc>
          <w:tcPr>
            <w:tcW w:w="1134" w:type="dxa"/>
          </w:tcPr>
          <w:p>
            <w:pPr>
              <w:widowControl/>
              <w:spacing w:line="560" w:lineRule="exact"/>
              <w:rPr>
                <w:rFonts w:ascii="仿宋_GB2312" w:hAnsi="等线" w:eastAsia="仿宋_GB2312" w:cs="宋体"/>
                <w:color w:val="000000"/>
                <w:kern w:val="0"/>
                <w:sz w:val="28"/>
                <w:szCs w:val="32"/>
              </w:rPr>
            </w:pPr>
          </w:p>
        </w:tc>
        <w:tc>
          <w:tcPr>
            <w:tcW w:w="1134" w:type="dxa"/>
          </w:tcPr>
          <w:p>
            <w:pPr>
              <w:widowControl/>
              <w:spacing w:line="560" w:lineRule="exact"/>
              <w:rPr>
                <w:rFonts w:ascii="仿宋_GB2312" w:hAnsi="等线" w:eastAsia="仿宋_GB2312" w:cs="宋体"/>
                <w:color w:val="000000"/>
                <w:kern w:val="0"/>
                <w:sz w:val="28"/>
                <w:szCs w:val="32"/>
              </w:rPr>
            </w:pPr>
          </w:p>
        </w:tc>
        <w:tc>
          <w:tcPr>
            <w:tcW w:w="1417" w:type="dxa"/>
          </w:tcPr>
          <w:p>
            <w:pPr>
              <w:widowControl/>
              <w:spacing w:line="560" w:lineRule="exact"/>
              <w:rPr>
                <w:rFonts w:ascii="仿宋_GB2312" w:hAnsi="等线" w:eastAsia="仿宋_GB2312" w:cs="宋体"/>
                <w:color w:val="000000"/>
                <w:kern w:val="0"/>
                <w:sz w:val="28"/>
                <w:szCs w:val="32"/>
              </w:rPr>
            </w:pPr>
          </w:p>
        </w:tc>
        <w:tc>
          <w:tcPr>
            <w:tcW w:w="1560"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r>
    </w:tbl>
    <w:p>
      <w:pPr>
        <w:pStyle w:val="52"/>
        <w:spacing w:line="560" w:lineRule="exact"/>
        <w:ind w:firstLine="0" w:firstLineChars="0"/>
        <w:rPr>
          <w:rFonts w:ascii="仿宋_GB2312" w:hAnsi="仿宋_GB2312" w:eastAsia="仿宋_GB2312" w:cs="仿宋_GB2312"/>
          <w:sz w:val="32"/>
          <w:szCs w:val="32"/>
        </w:rPr>
      </w:pPr>
      <w:r>
        <w:rPr>
          <w:rFonts w:hint="eastAsia" w:ascii="仿宋_GB2312" w:hAnsi="仿宋_GB2312" w:eastAsia="仿宋_GB2312" w:cs="仿宋_GB2312"/>
          <w:sz w:val="32"/>
          <w:szCs w:val="32"/>
        </w:rPr>
        <w:t>填写说明：</w:t>
      </w:r>
    </w:p>
    <w:p>
      <w:pPr>
        <w:widowControl/>
        <w:shd w:val="clear" w:color="auto" w:fill="FFFFFF"/>
        <w:spacing w:line="560" w:lineRule="exact"/>
        <w:ind w:firstLine="560"/>
        <w:rPr>
          <w:rFonts w:ascii="Calibri" w:hAnsi="Calibri" w:cs="Calibri"/>
          <w:color w:val="000000"/>
          <w:szCs w:val="21"/>
        </w:rPr>
      </w:pPr>
      <w:r>
        <w:rPr>
          <w:rFonts w:ascii="Calibri" w:hAnsi="Calibri" w:cs="Calibri"/>
          <w:color w:val="000000"/>
          <w:kern w:val="0"/>
          <w:sz w:val="28"/>
          <w:szCs w:val="28"/>
          <w:shd w:val="clear" w:color="auto" w:fill="FFFFFF"/>
          <w:lang w:bidi="ar"/>
        </w:rPr>
        <w:t>1.</w:t>
      </w:r>
      <w:r>
        <w:rPr>
          <w:rFonts w:hint="eastAsia" w:ascii="仿宋" w:hAnsi="仿宋" w:eastAsia="仿宋" w:cs="仿宋"/>
          <w:color w:val="000000"/>
          <w:kern w:val="0"/>
          <w:sz w:val="28"/>
          <w:szCs w:val="28"/>
          <w:shd w:val="clear" w:color="auto" w:fill="FFFFFF"/>
          <w:lang w:bidi="ar"/>
        </w:rPr>
        <w:t>组长、副组长及联系人需按照《中国保监会关于建设中国保险业保单登记管理信息平台的通知》（保监厅发〔</w:t>
      </w:r>
      <w:r>
        <w:rPr>
          <w:rFonts w:ascii="Calibri" w:hAnsi="Calibri" w:cs="Calibri"/>
          <w:color w:val="000000"/>
          <w:kern w:val="0"/>
          <w:sz w:val="28"/>
          <w:szCs w:val="28"/>
          <w:shd w:val="clear" w:color="auto" w:fill="FFFFFF"/>
          <w:lang w:bidi="ar"/>
        </w:rPr>
        <w:t>2015</w:t>
      </w:r>
      <w:r>
        <w:rPr>
          <w:rFonts w:hint="eastAsia" w:ascii="仿宋" w:hAnsi="仿宋" w:eastAsia="仿宋" w:cs="仿宋"/>
          <w:color w:val="000000"/>
          <w:kern w:val="0"/>
          <w:sz w:val="28"/>
          <w:szCs w:val="28"/>
          <w:shd w:val="clear" w:color="auto" w:fill="FFFFFF"/>
          <w:lang w:bidi="ar"/>
        </w:rPr>
        <w:t>〕</w:t>
      </w:r>
      <w:r>
        <w:rPr>
          <w:rFonts w:ascii="Calibri" w:hAnsi="Calibri" w:cs="Calibri"/>
          <w:color w:val="000000"/>
          <w:kern w:val="0"/>
          <w:sz w:val="28"/>
          <w:szCs w:val="28"/>
          <w:shd w:val="clear" w:color="auto" w:fill="FFFFFF"/>
          <w:lang w:bidi="ar"/>
        </w:rPr>
        <w:t>102 </w:t>
      </w:r>
      <w:r>
        <w:rPr>
          <w:rFonts w:hint="eastAsia" w:ascii="仿宋" w:hAnsi="仿宋" w:eastAsia="仿宋" w:cs="仿宋"/>
          <w:color w:val="000000"/>
          <w:kern w:val="0"/>
          <w:sz w:val="28"/>
          <w:szCs w:val="28"/>
          <w:shd w:val="clear" w:color="auto" w:fill="FFFFFF"/>
          <w:lang w:bidi="ar"/>
        </w:rPr>
        <w:t>号）要求填写，其中应由公司董事长或总经理担任组长；</w:t>
      </w:r>
    </w:p>
    <w:p>
      <w:pPr>
        <w:widowControl/>
        <w:shd w:val="clear" w:color="auto" w:fill="FFFFFF"/>
        <w:spacing w:line="560" w:lineRule="exact"/>
        <w:ind w:firstLine="560"/>
        <w:rPr>
          <w:rFonts w:ascii="仿宋" w:hAnsi="仿宋" w:eastAsia="仿宋" w:cs="仿宋"/>
          <w:color w:val="000000"/>
          <w:kern w:val="0"/>
          <w:sz w:val="28"/>
          <w:szCs w:val="28"/>
          <w:shd w:val="clear" w:color="auto" w:fill="FFFFFF"/>
          <w:lang w:bidi="ar"/>
        </w:rPr>
      </w:pPr>
      <w:r>
        <w:rPr>
          <w:rFonts w:ascii="Calibri" w:hAnsi="Calibri" w:cs="Calibri"/>
          <w:color w:val="000000"/>
          <w:kern w:val="0"/>
          <w:sz w:val="28"/>
          <w:szCs w:val="28"/>
          <w:shd w:val="clear" w:color="auto" w:fill="FFFFFF"/>
          <w:lang w:bidi="ar"/>
        </w:rPr>
        <w:t>2.</w:t>
      </w:r>
      <w:r>
        <w:rPr>
          <w:rFonts w:hint="eastAsia" w:ascii="仿宋" w:hAnsi="仿宋" w:eastAsia="仿宋" w:cs="仿宋"/>
          <w:b/>
          <w:color w:val="000000"/>
          <w:kern w:val="0"/>
          <w:sz w:val="28"/>
          <w:szCs w:val="28"/>
          <w:shd w:val="clear" w:color="auto" w:fill="FFFFFF"/>
          <w:lang w:bidi="ar"/>
        </w:rPr>
        <w:t>数据报送和质量负责人</w:t>
      </w:r>
      <w:r>
        <w:rPr>
          <w:rFonts w:hint="eastAsia" w:ascii="仿宋" w:hAnsi="仿宋" w:eastAsia="仿宋" w:cs="仿宋"/>
          <w:color w:val="000000"/>
          <w:kern w:val="0"/>
          <w:sz w:val="28"/>
          <w:szCs w:val="28"/>
          <w:shd w:val="clear" w:color="auto" w:fill="FFFFFF"/>
          <w:lang w:bidi="ar"/>
        </w:rPr>
        <w:t>需按照《中国保监会办公厅关于加强中国保险业保单登记管理信息平台数据报送和质量管理工作的通知》（保监厅发〔</w:t>
      </w:r>
      <w:r>
        <w:rPr>
          <w:rFonts w:ascii="Calibri" w:hAnsi="Calibri" w:cs="Calibri"/>
          <w:color w:val="000000"/>
          <w:kern w:val="0"/>
          <w:sz w:val="28"/>
          <w:szCs w:val="28"/>
          <w:shd w:val="clear" w:color="auto" w:fill="FFFFFF"/>
          <w:lang w:bidi="ar"/>
        </w:rPr>
        <w:t>2017</w:t>
      </w:r>
      <w:r>
        <w:rPr>
          <w:rFonts w:hint="eastAsia" w:ascii="仿宋" w:hAnsi="仿宋" w:eastAsia="仿宋" w:cs="仿宋"/>
          <w:color w:val="000000"/>
          <w:kern w:val="0"/>
          <w:sz w:val="28"/>
          <w:szCs w:val="28"/>
          <w:shd w:val="clear" w:color="auto" w:fill="FFFFFF"/>
          <w:lang w:bidi="ar"/>
        </w:rPr>
        <w:t>〕</w:t>
      </w:r>
      <w:r>
        <w:rPr>
          <w:rFonts w:ascii="Calibri" w:hAnsi="Calibri" w:cs="Calibri"/>
          <w:color w:val="000000"/>
          <w:kern w:val="0"/>
          <w:sz w:val="28"/>
          <w:szCs w:val="28"/>
          <w:shd w:val="clear" w:color="auto" w:fill="FFFFFF"/>
          <w:lang w:bidi="ar"/>
        </w:rPr>
        <w:t>24 </w:t>
      </w:r>
      <w:r>
        <w:rPr>
          <w:rFonts w:hint="eastAsia" w:ascii="仿宋" w:hAnsi="仿宋" w:eastAsia="仿宋" w:cs="仿宋"/>
          <w:color w:val="000000"/>
          <w:kern w:val="0"/>
          <w:sz w:val="28"/>
          <w:szCs w:val="28"/>
          <w:shd w:val="clear" w:color="auto" w:fill="FFFFFF"/>
          <w:lang w:bidi="ar"/>
        </w:rPr>
        <w:t>号）要求，由</w:t>
      </w:r>
      <w:r>
        <w:rPr>
          <w:rFonts w:hint="eastAsia" w:ascii="仿宋" w:hAnsi="仿宋" w:eastAsia="仿宋" w:cs="仿宋"/>
          <w:b/>
          <w:color w:val="000000"/>
          <w:kern w:val="0"/>
          <w:sz w:val="28"/>
          <w:szCs w:val="28"/>
          <w:shd w:val="clear" w:color="auto" w:fill="FFFFFF"/>
          <w:lang w:bidi="ar"/>
        </w:rPr>
        <w:t>公司级领导</w:t>
      </w:r>
      <w:r>
        <w:rPr>
          <w:rFonts w:hint="eastAsia" w:ascii="仿宋" w:hAnsi="仿宋" w:eastAsia="仿宋" w:cs="仿宋"/>
          <w:color w:val="000000"/>
          <w:kern w:val="0"/>
          <w:sz w:val="28"/>
          <w:szCs w:val="28"/>
          <w:shd w:val="clear" w:color="auto" w:fill="FFFFFF"/>
          <w:lang w:bidi="ar"/>
        </w:rPr>
        <w:t>担任。</w:t>
      </w:r>
      <w:r>
        <w:rPr>
          <w:rFonts w:ascii="仿宋" w:hAnsi="仿宋" w:eastAsia="仿宋" w:cs="仿宋"/>
          <w:color w:val="000000"/>
          <w:kern w:val="0"/>
          <w:sz w:val="28"/>
          <w:szCs w:val="28"/>
          <w:shd w:val="clear" w:color="auto" w:fill="FFFFFF"/>
          <w:lang w:bidi="ar"/>
        </w:rPr>
        <w:br w:type="page"/>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2. 中国保险业保单登记信息管理平台存量接口开放申请表</w:t>
      </w:r>
    </w:p>
    <w:tbl>
      <w:tblPr>
        <w:tblStyle w:val="39"/>
        <w:tblW w:w="854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56"/>
        <w:gridCol w:w="170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73" w:hRule="atLeast"/>
        </w:trPr>
        <w:tc>
          <w:tcPr>
            <w:tcW w:w="2335" w:type="dxa"/>
            <w:vAlign w:val="center"/>
          </w:tcPr>
          <w:p>
            <w:pPr>
              <w:spacing w:line="560" w:lineRule="exact"/>
              <w:rPr>
                <w:rFonts w:ascii="仿宋_GB2312" w:hAnsi="宋体" w:eastAsia="仿宋_GB2312"/>
                <w:bCs/>
                <w:sz w:val="28"/>
              </w:rPr>
            </w:pPr>
            <w:r>
              <w:rPr>
                <w:rFonts w:hint="eastAsia" w:ascii="仿宋_GB2312" w:hAnsi="宋体" w:eastAsia="仿宋_GB2312"/>
                <w:bCs/>
                <w:sz w:val="28"/>
              </w:rPr>
              <w:t>保险公司名称</w:t>
            </w:r>
          </w:p>
        </w:tc>
        <w:tc>
          <w:tcPr>
            <w:tcW w:w="6209" w:type="dxa"/>
            <w:gridSpan w:val="3"/>
            <w:vAlign w:val="center"/>
          </w:tcPr>
          <w:p>
            <w:pPr>
              <w:spacing w:line="560" w:lineRule="exact"/>
              <w:rPr>
                <w:rFonts w:ascii="仿宋_GB2312" w:hAnsi="宋体" w:eastAsia="仿宋_GB2312"/>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2335" w:type="dxa"/>
            <w:vAlign w:val="center"/>
          </w:tcPr>
          <w:p>
            <w:pPr>
              <w:spacing w:line="560" w:lineRule="exact"/>
              <w:rPr>
                <w:rFonts w:ascii="仿宋_GB2312" w:hAnsi="宋体" w:eastAsia="仿宋_GB2312"/>
                <w:bCs/>
                <w:sz w:val="28"/>
              </w:rPr>
            </w:pPr>
            <w:r>
              <w:rPr>
                <w:rFonts w:hint="eastAsia" w:ascii="仿宋_GB2312" w:hAnsi="宋体" w:eastAsia="仿宋_GB2312"/>
                <w:bCs/>
                <w:sz w:val="28"/>
              </w:rPr>
              <w:t>保险公司编码</w:t>
            </w:r>
          </w:p>
        </w:tc>
        <w:tc>
          <w:tcPr>
            <w:tcW w:w="6209" w:type="dxa"/>
            <w:gridSpan w:val="3"/>
            <w:vAlign w:val="center"/>
          </w:tcPr>
          <w:p>
            <w:pPr>
              <w:spacing w:line="560" w:lineRule="exact"/>
              <w:rPr>
                <w:rFonts w:ascii="仿宋_GB2312" w:hAnsi="宋体" w:eastAsia="仿宋_GB2312"/>
                <w:sz w:val="28"/>
              </w:rPr>
            </w:pPr>
            <w:r>
              <w:rPr>
                <w:rFonts w:ascii="仿宋_GB2312" w:hAnsi="宋体" w:eastAsia="仿宋_GB2312"/>
                <w:sz w:val="28"/>
              </w:rPr>
              <w:softHyphen/>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6" w:hRule="atLeast"/>
        </w:trPr>
        <w:tc>
          <w:tcPr>
            <w:tcW w:w="2335" w:type="dxa"/>
            <w:vAlign w:val="center"/>
          </w:tcPr>
          <w:p>
            <w:pPr>
              <w:spacing w:line="560" w:lineRule="exact"/>
              <w:rPr>
                <w:rFonts w:ascii="仿宋_GB2312" w:hAnsi="宋体" w:eastAsia="仿宋_GB2312"/>
                <w:bCs/>
                <w:sz w:val="28"/>
              </w:rPr>
            </w:pPr>
            <w:r>
              <w:rPr>
                <w:rFonts w:hint="eastAsia" w:ascii="仿宋_GB2312" w:hAnsi="宋体" w:eastAsia="仿宋_GB2312"/>
                <w:bCs/>
                <w:sz w:val="28"/>
              </w:rPr>
              <w:t>申请期限</w:t>
            </w:r>
          </w:p>
        </w:tc>
        <w:tc>
          <w:tcPr>
            <w:tcW w:w="6209" w:type="dxa"/>
            <w:gridSpan w:val="3"/>
            <w:vAlign w:val="center"/>
          </w:tcPr>
          <w:p>
            <w:pPr>
              <w:spacing w:line="560" w:lineRule="exact"/>
              <w:rPr>
                <w:rFonts w:ascii="仿宋_GB2312" w:eastAsia="仿宋_GB2312"/>
                <w:sz w:val="28"/>
                <w:szCs w:val="21"/>
              </w:rPr>
            </w:pPr>
            <w:r>
              <w:rPr>
                <w:rFonts w:hint="eastAsia" w:ascii="仿宋_GB2312" w:eastAsia="仿宋_GB2312"/>
                <w:sz w:val="28"/>
                <w:szCs w:val="21"/>
              </w:rPr>
              <w:t>□</w:t>
            </w:r>
            <w:r>
              <w:rPr>
                <w:rFonts w:ascii="仿宋_GB2312" w:eastAsia="仿宋_GB2312"/>
                <w:sz w:val="28"/>
                <w:szCs w:val="21"/>
              </w:rPr>
              <w:t>3</w:t>
            </w:r>
            <w:r>
              <w:rPr>
                <w:rFonts w:hint="eastAsia" w:ascii="仿宋_GB2312" w:eastAsia="仿宋_GB2312"/>
                <w:sz w:val="28"/>
                <w:szCs w:val="21"/>
              </w:rPr>
              <w:t>天   □</w:t>
            </w:r>
            <w:r>
              <w:rPr>
                <w:rFonts w:ascii="仿宋_GB2312" w:eastAsia="仿宋_GB2312"/>
                <w:sz w:val="28"/>
                <w:szCs w:val="21"/>
              </w:rPr>
              <w:t>5</w:t>
            </w:r>
            <w:r>
              <w:rPr>
                <w:rFonts w:hint="eastAsia" w:ascii="仿宋_GB2312" w:eastAsia="仿宋_GB2312"/>
                <w:sz w:val="28"/>
                <w:szCs w:val="21"/>
              </w:rPr>
              <w:t>天   □</w:t>
            </w:r>
            <w:r>
              <w:rPr>
                <w:rFonts w:ascii="仿宋_GB2312" w:eastAsia="仿宋_GB2312"/>
                <w:sz w:val="28"/>
                <w:szCs w:val="21"/>
              </w:rPr>
              <w:t>10</w:t>
            </w:r>
            <w:r>
              <w:rPr>
                <w:rFonts w:hint="eastAsia" w:ascii="仿宋_GB2312" w:eastAsia="仿宋_GB2312"/>
                <w:sz w:val="28"/>
                <w:szCs w:val="21"/>
              </w:rPr>
              <w:t>天   □</w:t>
            </w:r>
            <w:r>
              <w:rPr>
                <w:rFonts w:ascii="仿宋_GB2312" w:eastAsia="仿宋_GB2312"/>
                <w:sz w:val="28"/>
                <w:szCs w:val="21"/>
              </w:rPr>
              <w:t xml:space="preserve"> </w:t>
            </w:r>
            <w:r>
              <w:rPr>
                <w:rFonts w:hint="eastAsia" w:ascii="仿宋_GB2312" w:eastAsia="仿宋_GB2312"/>
                <w:sz w:val="28"/>
                <w:szCs w:val="21"/>
              </w:rPr>
              <w:t>其他</w:t>
            </w:r>
            <w:r>
              <w:rPr>
                <w:rFonts w:ascii="仿宋_GB2312" w:eastAsia="仿宋_GB2312"/>
                <w:sz w:val="28"/>
                <w:szCs w:val="21"/>
              </w:rPr>
              <w:softHyphen/>
            </w:r>
            <w:r>
              <w:rPr>
                <w:rFonts w:ascii="仿宋_GB2312" w:eastAsia="仿宋_GB2312"/>
                <w:sz w:val="28"/>
                <w:szCs w:val="21"/>
              </w:rPr>
              <w:t>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31" w:hRule="atLeast"/>
        </w:trPr>
        <w:tc>
          <w:tcPr>
            <w:tcW w:w="2335" w:type="dxa"/>
            <w:vAlign w:val="center"/>
          </w:tcPr>
          <w:p>
            <w:pPr>
              <w:spacing w:line="560" w:lineRule="exact"/>
              <w:rPr>
                <w:rFonts w:ascii="仿宋_GB2312" w:hAnsi="宋体" w:eastAsia="仿宋_GB2312"/>
                <w:bCs/>
                <w:sz w:val="28"/>
              </w:rPr>
            </w:pPr>
            <w:r>
              <w:rPr>
                <w:rFonts w:hint="eastAsia" w:ascii="仿宋_GB2312" w:hAnsi="宋体" w:eastAsia="仿宋_GB2312"/>
                <w:bCs/>
                <w:sz w:val="28"/>
              </w:rPr>
              <w:t>申请原因</w:t>
            </w:r>
          </w:p>
        </w:tc>
        <w:tc>
          <w:tcPr>
            <w:tcW w:w="6209" w:type="dxa"/>
            <w:gridSpan w:val="3"/>
            <w:vAlign w:val="center"/>
          </w:tcPr>
          <w:p>
            <w:pPr>
              <w:spacing w:line="560" w:lineRule="exact"/>
              <w:rPr>
                <w:rFonts w:ascii="仿宋_GB2312" w:eastAsia="仿宋_GB2312"/>
                <w:sz w:val="28"/>
                <w:szCs w:val="21"/>
              </w:rPr>
            </w:pPr>
            <w:r>
              <w:rPr>
                <w:rFonts w:hint="eastAsia" w:ascii="仿宋_GB2312" w:eastAsia="仿宋_GB2312"/>
                <w:sz w:val="28"/>
                <w:szCs w:val="21"/>
              </w:rPr>
              <w:t>（请详细填写申请存量接口开放的原因以及涉及的交易日期的数量。如因数据修正需要删除存量批次，请标明需要删除的批次号及对应交易日期数。）</w:t>
            </w:r>
          </w:p>
          <w:p>
            <w:pPr>
              <w:spacing w:line="560" w:lineRule="exact"/>
              <w:rPr>
                <w:rFonts w:ascii="仿宋_GB2312" w:eastAsia="仿宋_GB2312"/>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8" w:hRule="atLeast"/>
        </w:trPr>
        <w:tc>
          <w:tcPr>
            <w:tcW w:w="2335" w:type="dxa"/>
            <w:vAlign w:val="center"/>
          </w:tcPr>
          <w:p>
            <w:pPr>
              <w:spacing w:line="560" w:lineRule="exact"/>
              <w:rPr>
                <w:rFonts w:ascii="仿宋_GB2312" w:hAnsi="宋体" w:eastAsia="仿宋_GB2312"/>
                <w:sz w:val="28"/>
                <w:szCs w:val="21"/>
              </w:rPr>
            </w:pPr>
            <w:r>
              <w:rPr>
                <w:rFonts w:hint="eastAsia" w:ascii="仿宋_GB2312" w:hAnsi="宋体" w:eastAsia="仿宋_GB2312"/>
                <w:sz w:val="28"/>
                <w:szCs w:val="21"/>
              </w:rPr>
              <w:t>联系人姓名</w:t>
            </w:r>
          </w:p>
        </w:tc>
        <w:tc>
          <w:tcPr>
            <w:tcW w:w="1956" w:type="dxa"/>
            <w:vAlign w:val="center"/>
          </w:tcPr>
          <w:p>
            <w:pPr>
              <w:spacing w:line="560" w:lineRule="exact"/>
              <w:rPr>
                <w:rFonts w:ascii="仿宋_GB2312" w:eastAsia="仿宋_GB2312"/>
                <w:sz w:val="28"/>
                <w:szCs w:val="21"/>
              </w:rPr>
            </w:pPr>
          </w:p>
        </w:tc>
        <w:tc>
          <w:tcPr>
            <w:tcW w:w="1701" w:type="dxa"/>
            <w:vAlign w:val="center"/>
          </w:tcPr>
          <w:p>
            <w:pPr>
              <w:spacing w:line="560" w:lineRule="exact"/>
              <w:rPr>
                <w:rFonts w:ascii="仿宋_GB2312" w:eastAsia="仿宋_GB2312"/>
                <w:sz w:val="28"/>
                <w:szCs w:val="21"/>
              </w:rPr>
            </w:pPr>
            <w:r>
              <w:rPr>
                <w:rFonts w:hint="eastAsia" w:ascii="仿宋_GB2312" w:hAnsi="宋体" w:eastAsia="仿宋_GB2312"/>
                <w:bCs/>
                <w:sz w:val="28"/>
              </w:rPr>
              <w:t>联系</w:t>
            </w:r>
            <w:r>
              <w:rPr>
                <w:rFonts w:hint="eastAsia" w:ascii="仿宋_GB2312" w:hAnsi="宋体" w:eastAsia="仿宋_GB2312"/>
                <w:sz w:val="28"/>
                <w:szCs w:val="21"/>
              </w:rPr>
              <w:t>电话</w:t>
            </w:r>
          </w:p>
        </w:tc>
        <w:tc>
          <w:tcPr>
            <w:tcW w:w="2552" w:type="dxa"/>
            <w:vAlign w:val="center"/>
          </w:tcPr>
          <w:p>
            <w:pPr>
              <w:spacing w:line="560" w:lineRule="exact"/>
              <w:rPr>
                <w:rFonts w:ascii="仿宋_GB2312" w:eastAsia="仿宋_GB2312"/>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trPr>
        <w:tc>
          <w:tcPr>
            <w:tcW w:w="2335" w:type="dxa"/>
            <w:vAlign w:val="center"/>
          </w:tcPr>
          <w:p>
            <w:pPr>
              <w:spacing w:line="560" w:lineRule="exact"/>
              <w:rPr>
                <w:rFonts w:ascii="仿宋_GB2312" w:hAnsi="宋体" w:eastAsia="仿宋_GB2312"/>
                <w:sz w:val="28"/>
                <w:szCs w:val="21"/>
              </w:rPr>
            </w:pPr>
            <w:r>
              <w:rPr>
                <w:rFonts w:hint="eastAsia" w:ascii="仿宋_GB2312" w:hAnsi="宋体" w:eastAsia="仿宋_GB2312"/>
                <w:sz w:val="28"/>
                <w:szCs w:val="21"/>
              </w:rPr>
              <w:t>平台专用邮箱</w:t>
            </w:r>
          </w:p>
        </w:tc>
        <w:tc>
          <w:tcPr>
            <w:tcW w:w="6209" w:type="dxa"/>
            <w:gridSpan w:val="3"/>
            <w:vAlign w:val="center"/>
          </w:tcPr>
          <w:p>
            <w:pPr>
              <w:spacing w:line="560" w:lineRule="exact"/>
              <w:rPr>
                <w:rFonts w:ascii="仿宋_GB2312" w:hAnsi="宋体" w:eastAsia="仿宋_GB2312"/>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31" w:hRule="atLeast"/>
        </w:trPr>
        <w:tc>
          <w:tcPr>
            <w:tcW w:w="8544" w:type="dxa"/>
            <w:gridSpan w:val="4"/>
            <w:vAlign w:val="center"/>
          </w:tcPr>
          <w:p>
            <w:pPr>
              <w:spacing w:line="560" w:lineRule="exact"/>
              <w:rPr>
                <w:rFonts w:ascii="仿宋_GB2312" w:hAnsi="宋体" w:eastAsia="仿宋_GB2312"/>
                <w:bCs/>
                <w:sz w:val="28"/>
              </w:rPr>
            </w:pPr>
            <w:r>
              <w:rPr>
                <w:rFonts w:hint="eastAsia" w:ascii="仿宋_GB2312" w:hAnsi="宋体" w:eastAsia="仿宋_GB2312"/>
                <w:bCs/>
                <w:sz w:val="28"/>
              </w:rPr>
              <w:t xml:space="preserve">                                      </w:t>
            </w:r>
          </w:p>
          <w:p>
            <w:pPr>
              <w:spacing w:line="560" w:lineRule="exact"/>
              <w:rPr>
                <w:rFonts w:ascii="仿宋_GB2312" w:hAnsi="宋体" w:eastAsia="仿宋_GB2312"/>
                <w:b/>
                <w:bCs/>
                <w:sz w:val="28"/>
              </w:rPr>
            </w:pPr>
            <w:r>
              <w:rPr>
                <w:rFonts w:hint="eastAsia" w:ascii="仿宋_GB2312" w:hAnsi="宋体" w:eastAsia="仿宋_GB2312"/>
                <w:b/>
                <w:bCs/>
                <w:color w:val="FF0000"/>
                <w:sz w:val="28"/>
              </w:rPr>
              <w:t>本公司承诺：在规定时间完成数据上传。</w:t>
            </w:r>
            <w:r>
              <w:rPr>
                <w:rFonts w:hint="eastAsia" w:ascii="仿宋_GB2312" w:hAnsi="宋体" w:eastAsia="仿宋_GB2312"/>
                <w:b/>
                <w:bCs/>
                <w:sz w:val="28"/>
              </w:rPr>
              <w:t xml:space="preserve">         </w:t>
            </w:r>
          </w:p>
          <w:p>
            <w:pPr>
              <w:spacing w:line="560" w:lineRule="exact"/>
              <w:rPr>
                <w:rFonts w:ascii="仿宋_GB2312" w:hAnsi="宋体" w:eastAsia="仿宋_GB2312"/>
                <w:b/>
                <w:bCs/>
                <w:sz w:val="28"/>
              </w:rPr>
            </w:pPr>
            <w:r>
              <w:rPr>
                <w:rFonts w:hint="eastAsia" w:ascii="仿宋_GB2312" w:hAnsi="宋体" w:eastAsia="仿宋_GB2312"/>
                <w:b/>
                <w:bCs/>
                <w:sz w:val="28"/>
              </w:rPr>
              <w:t xml:space="preserve">               </w:t>
            </w:r>
          </w:p>
          <w:p>
            <w:pPr>
              <w:spacing w:line="560" w:lineRule="exact"/>
              <w:rPr>
                <w:rFonts w:ascii="仿宋_GB2312" w:hAnsi="宋体" w:eastAsia="仿宋_GB2312"/>
                <w:bCs/>
                <w:sz w:val="28"/>
              </w:rPr>
            </w:pPr>
            <w:r>
              <w:rPr>
                <w:rFonts w:hint="eastAsia" w:ascii="仿宋_GB2312" w:hAnsi="宋体" w:eastAsia="仿宋_GB2312"/>
                <w:bCs/>
                <w:sz w:val="28"/>
              </w:rPr>
              <w:t xml:space="preserve">        数据报送和质量管理负责人签字： </w:t>
            </w:r>
          </w:p>
          <w:p>
            <w:pPr>
              <w:spacing w:line="560" w:lineRule="exact"/>
              <w:ind w:right="1400"/>
              <w:rPr>
                <w:rFonts w:ascii="仿宋_GB2312" w:hAnsi="宋体" w:eastAsia="仿宋_GB2312"/>
                <w:bCs/>
                <w:sz w:val="28"/>
              </w:rPr>
            </w:pPr>
            <w:r>
              <w:rPr>
                <w:rFonts w:hint="eastAsia" w:ascii="仿宋_GB2312" w:hAnsi="宋体" w:eastAsia="仿宋_GB2312"/>
                <w:bCs/>
                <w:sz w:val="28"/>
              </w:rPr>
              <w:t xml:space="preserve">申请单位（签章）：    </w:t>
            </w:r>
          </w:p>
          <w:p>
            <w:pPr>
              <w:spacing w:line="560" w:lineRule="exact"/>
              <w:rPr>
                <w:rFonts w:ascii="仿宋_GB2312" w:hAnsi="宋体" w:eastAsia="仿宋_GB2312"/>
                <w:bCs/>
                <w:sz w:val="28"/>
              </w:rPr>
            </w:pPr>
            <w:r>
              <w:rPr>
                <w:rFonts w:hint="eastAsia" w:ascii="仿宋_GB2312" w:hAnsi="宋体" w:eastAsia="仿宋_GB2312"/>
                <w:bCs/>
                <w:sz w:val="28"/>
              </w:rPr>
              <w:t xml:space="preserve">                             年     月     日</w:t>
            </w:r>
          </w:p>
          <w:p>
            <w:pPr>
              <w:spacing w:line="560" w:lineRule="exact"/>
              <w:rPr>
                <w:rFonts w:ascii="仿宋_GB2312" w:hAnsi="宋体" w:eastAsia="仿宋_GB2312"/>
                <w:bCs/>
                <w:sz w:val="28"/>
              </w:rPr>
            </w:pPr>
          </w:p>
        </w:tc>
      </w:tr>
    </w:tbl>
    <w:p>
      <w:pPr>
        <w:spacing w:line="560" w:lineRule="exact"/>
      </w:pPr>
    </w:p>
    <w:p>
      <w:pPr>
        <w:spacing w:line="560" w:lineRule="exact"/>
      </w:pPr>
    </w:p>
    <w:p>
      <w:pPr>
        <w:spacing w:line="560" w:lineRule="exact"/>
      </w:pP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3. 中国保险业保单登记管理信息平台数据修正完成确认单</w:t>
      </w:r>
    </w:p>
    <w:tbl>
      <w:tblPr>
        <w:tblStyle w:val="39"/>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693"/>
        <w:gridCol w:w="289"/>
        <w:gridCol w:w="1696"/>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820" w:type="dxa"/>
            <w:gridSpan w:val="3"/>
            <w:shd w:val="clear" w:color="auto" w:fill="auto"/>
          </w:tcPr>
          <w:p>
            <w:pPr>
              <w:spacing w:line="560" w:lineRule="exact"/>
            </w:pPr>
            <w:r>
              <w:rPr>
                <w:rFonts w:hint="eastAsia"/>
                <w:b/>
              </w:rPr>
              <w:t>确认单号（公司编码+3位流水号）：</w:t>
            </w:r>
          </w:p>
        </w:tc>
        <w:tc>
          <w:tcPr>
            <w:tcW w:w="4247" w:type="dxa"/>
            <w:gridSpan w:val="2"/>
            <w:shd w:val="clear" w:color="auto" w:fill="auto"/>
          </w:tcPr>
          <w:p>
            <w:pPr>
              <w:spacing w:line="560" w:lineRule="exact"/>
            </w:pPr>
            <w:r>
              <w:rPr>
                <w:rFonts w:hint="eastAsia"/>
              </w:rPr>
              <w:t>000</w:t>
            </w:r>
            <w:r>
              <w:t>XXX</w:t>
            </w:r>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838" w:type="dxa"/>
            <w:shd w:val="clear" w:color="auto" w:fill="auto"/>
          </w:tcPr>
          <w:p>
            <w:pPr>
              <w:spacing w:line="560" w:lineRule="exact"/>
              <w:rPr>
                <w:b/>
              </w:rPr>
            </w:pPr>
            <w:r>
              <w:rPr>
                <w:rFonts w:hint="eastAsia"/>
                <w:b/>
              </w:rPr>
              <w:t>保险公司名称：</w:t>
            </w:r>
          </w:p>
        </w:tc>
        <w:tc>
          <w:tcPr>
            <w:tcW w:w="2982" w:type="dxa"/>
            <w:gridSpan w:val="2"/>
            <w:shd w:val="clear" w:color="auto" w:fill="auto"/>
          </w:tcPr>
          <w:p>
            <w:pPr>
              <w:spacing w:line="560" w:lineRule="exact"/>
            </w:pPr>
            <w:r>
              <w:rPr>
                <w:rFonts w:hint="eastAsia" w:ascii="宋体" w:hAnsi="宋体" w:cs="宋体"/>
                <w:color w:val="000000"/>
                <w:sz w:val="22"/>
              </w:rPr>
              <w:t>(填写名称)</w:t>
            </w:r>
          </w:p>
        </w:tc>
        <w:tc>
          <w:tcPr>
            <w:tcW w:w="1696" w:type="dxa"/>
            <w:shd w:val="clear" w:color="auto" w:fill="auto"/>
          </w:tcPr>
          <w:p>
            <w:pPr>
              <w:spacing w:line="560" w:lineRule="exact"/>
            </w:pPr>
            <w:r>
              <w:rPr>
                <w:rFonts w:hint="eastAsia"/>
                <w:b/>
              </w:rPr>
              <w:t>保险公司</w:t>
            </w:r>
            <w:r>
              <w:rPr>
                <w:b/>
              </w:rPr>
              <w:t>编码</w:t>
            </w:r>
            <w:r>
              <w:rPr>
                <w:rFonts w:hint="eastAsia"/>
                <w:b/>
              </w:rPr>
              <w:t>：</w:t>
            </w:r>
          </w:p>
        </w:tc>
        <w:tc>
          <w:tcPr>
            <w:tcW w:w="2551" w:type="dxa"/>
            <w:shd w:val="clear" w:color="auto" w:fill="auto"/>
          </w:tcPr>
          <w:p>
            <w:pPr>
              <w:spacing w:line="560" w:lineRule="exact"/>
            </w:pPr>
            <w:r>
              <w:rPr>
                <w:rFonts w:hint="eastAsia"/>
              </w:rPr>
              <w:t>000XXX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1" w:hRule="atLeast"/>
        </w:trPr>
        <w:tc>
          <w:tcPr>
            <w:tcW w:w="1838" w:type="dxa"/>
            <w:shd w:val="clear" w:color="auto" w:fill="auto"/>
          </w:tcPr>
          <w:p>
            <w:pPr>
              <w:spacing w:line="560" w:lineRule="exact"/>
              <w:ind w:left="241" w:hanging="241" w:hangingChars="100"/>
              <w:rPr>
                <w:b/>
                <w:bCs/>
              </w:rPr>
            </w:pPr>
            <w:r>
              <w:rPr>
                <w:rFonts w:hint="eastAsia"/>
                <w:b/>
                <w:bCs/>
              </w:rPr>
              <w:t>数据质量</w:t>
            </w:r>
          </w:p>
          <w:p>
            <w:pPr>
              <w:spacing w:line="560" w:lineRule="exact"/>
              <w:ind w:left="241" w:hanging="241" w:hangingChars="100"/>
            </w:pPr>
            <w:r>
              <w:rPr>
                <w:rFonts w:hint="eastAsia"/>
                <w:b/>
                <w:bCs/>
              </w:rPr>
              <w:t xml:space="preserve">  问题描述：</w:t>
            </w:r>
          </w:p>
        </w:tc>
        <w:tc>
          <w:tcPr>
            <w:tcW w:w="7229" w:type="dxa"/>
            <w:gridSpan w:val="4"/>
            <w:shd w:val="clear" w:color="auto" w:fill="auto"/>
          </w:tcPr>
          <w:p>
            <w:pPr>
              <w:spacing w:line="560" w:lineRule="exact"/>
              <w:ind w:right="-94" w:rightChars="-39"/>
              <w:rPr>
                <w:rFonts w:ascii="宋体" w:hAnsi="宋体" w:cs="宋体"/>
                <w:color w:val="000000"/>
                <w:sz w:val="22"/>
              </w:rPr>
            </w:pPr>
            <w:r>
              <w:rPr>
                <w:rFonts w:hint="eastAsia" w:ascii="宋体" w:hAnsi="宋体" w:cs="宋体"/>
                <w:color w:val="000000"/>
                <w:sz w:val="22"/>
              </w:rPr>
              <w:t>(详细描述</w:t>
            </w:r>
            <w:r>
              <w:rPr>
                <w:rFonts w:ascii="宋体" w:hAnsi="宋体" w:cs="宋体"/>
                <w:color w:val="000000"/>
                <w:sz w:val="22"/>
              </w:rPr>
              <w:t>本次数据修正的数据质量问题</w:t>
            </w:r>
            <w:r>
              <w:rPr>
                <w:rFonts w:hint="eastAsia" w:ascii="宋体" w:hAnsi="宋体" w:cs="宋体"/>
                <w:color w:val="000000"/>
                <w:sz w:val="22"/>
              </w:rPr>
              <w:t>)</w:t>
            </w:r>
          </w:p>
          <w:p>
            <w:pPr>
              <w:spacing w:line="560" w:lineRule="exact"/>
              <w:ind w:right="-94" w:rightChars="-39"/>
              <w:rPr>
                <w:rFonts w:ascii="宋体" w:hAnsi="宋体" w:cs="宋体"/>
                <w:color w:val="000000"/>
                <w:sz w:val="22"/>
              </w:rPr>
            </w:pPr>
          </w:p>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restart"/>
            <w:shd w:val="clear" w:color="auto" w:fill="auto"/>
          </w:tcPr>
          <w:p>
            <w:pPr>
              <w:spacing w:line="560" w:lineRule="exact"/>
              <w:rPr>
                <w:b/>
              </w:rPr>
            </w:pPr>
            <w:r>
              <w:rPr>
                <w:rFonts w:hint="eastAsia"/>
                <w:b/>
              </w:rPr>
              <w:t>修正结果：</w:t>
            </w:r>
          </w:p>
          <w:p>
            <w:pPr>
              <w:spacing w:line="560" w:lineRule="exact"/>
              <w:ind w:left="240" w:hanging="240" w:hangingChars="100"/>
            </w:pPr>
          </w:p>
        </w:tc>
        <w:tc>
          <w:tcPr>
            <w:tcW w:w="2693" w:type="dxa"/>
            <w:shd w:val="clear" w:color="auto" w:fill="auto"/>
          </w:tcPr>
          <w:p>
            <w:pPr>
              <w:spacing w:line="560" w:lineRule="exact"/>
              <w:ind w:right="-94" w:rightChars="-39"/>
              <w:rPr>
                <w:rFonts w:ascii="宋体" w:hAnsi="宋体" w:cs="宋体"/>
                <w:color w:val="000000"/>
                <w:sz w:val="22"/>
              </w:rPr>
            </w:pPr>
            <w:r>
              <w:rPr>
                <w:rFonts w:hint="eastAsia" w:ascii="宋体" w:hAnsi="宋体" w:cs="宋体"/>
                <w:color w:val="000000"/>
                <w:sz w:val="22"/>
              </w:rPr>
              <w:t>批次号</w:t>
            </w:r>
          </w:p>
        </w:tc>
        <w:tc>
          <w:tcPr>
            <w:tcW w:w="1985" w:type="dxa"/>
            <w:gridSpan w:val="2"/>
            <w:shd w:val="clear" w:color="auto" w:fill="auto"/>
          </w:tcPr>
          <w:p>
            <w:pPr>
              <w:spacing w:line="560" w:lineRule="exact"/>
              <w:ind w:right="-94" w:rightChars="-39"/>
              <w:rPr>
                <w:rFonts w:ascii="宋体" w:hAnsi="宋体" w:cs="宋体"/>
                <w:color w:val="000000"/>
                <w:sz w:val="22"/>
              </w:rPr>
            </w:pPr>
            <w:r>
              <w:rPr>
                <w:rFonts w:hint="eastAsia" w:ascii="宋体" w:hAnsi="宋体" w:cs="宋体"/>
                <w:color w:val="000000"/>
                <w:sz w:val="22"/>
              </w:rPr>
              <w:t>上传日期</w:t>
            </w:r>
          </w:p>
        </w:tc>
        <w:tc>
          <w:tcPr>
            <w:tcW w:w="2551" w:type="dxa"/>
            <w:shd w:val="clear" w:color="auto" w:fill="auto"/>
          </w:tcPr>
          <w:p>
            <w:pPr>
              <w:spacing w:line="560" w:lineRule="exact"/>
              <w:ind w:right="-94" w:rightChars="-39"/>
              <w:rPr>
                <w:rFonts w:ascii="宋体" w:hAnsi="宋体" w:cs="宋体"/>
                <w:color w:val="000000"/>
                <w:sz w:val="22"/>
              </w:rPr>
            </w:pPr>
            <w:r>
              <w:rPr>
                <w:rFonts w:hint="eastAsia" w:ascii="宋体" w:hAnsi="宋体" w:cs="宋体"/>
                <w:color w:val="000000"/>
                <w:sz w:val="22"/>
              </w:rPr>
              <w:t>批次装载状态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838" w:type="dxa"/>
            <w:vMerge w:val="continue"/>
            <w:shd w:val="clear" w:color="auto" w:fill="auto"/>
          </w:tcPr>
          <w:p>
            <w:pPr>
              <w:spacing w:line="560" w:lineRule="exact"/>
              <w:rPr>
                <w:b/>
              </w:rPr>
            </w:pPr>
          </w:p>
        </w:tc>
        <w:tc>
          <w:tcPr>
            <w:tcW w:w="2693" w:type="dxa"/>
            <w:shd w:val="clear" w:color="auto" w:fill="auto"/>
          </w:tcPr>
          <w:p>
            <w:pPr>
              <w:spacing w:line="560" w:lineRule="exact"/>
              <w:ind w:right="-94" w:rightChars="-39"/>
              <w:rPr>
                <w:rFonts w:ascii="宋体" w:hAnsi="宋体" w:cs="宋体"/>
                <w:color w:val="000000"/>
                <w:sz w:val="22"/>
              </w:rPr>
            </w:pPr>
          </w:p>
        </w:tc>
        <w:tc>
          <w:tcPr>
            <w:tcW w:w="1985" w:type="dxa"/>
            <w:gridSpan w:val="2"/>
            <w:shd w:val="clear" w:color="auto" w:fill="auto"/>
          </w:tcPr>
          <w:p>
            <w:pPr>
              <w:spacing w:line="560" w:lineRule="exact"/>
              <w:ind w:right="-94" w:rightChars="-39"/>
              <w:rPr>
                <w:rFonts w:ascii="宋体" w:hAnsi="宋体" w:cs="宋体"/>
                <w:color w:val="000000"/>
                <w:sz w:val="22"/>
              </w:rPr>
            </w:pPr>
          </w:p>
        </w:tc>
        <w:tc>
          <w:tcPr>
            <w:tcW w:w="2551" w:type="dxa"/>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3" w:hRule="atLeast"/>
        </w:trPr>
        <w:tc>
          <w:tcPr>
            <w:tcW w:w="9067" w:type="dxa"/>
            <w:gridSpan w:val="5"/>
            <w:shd w:val="clear" w:color="auto" w:fill="auto"/>
          </w:tcPr>
          <w:p>
            <w:pPr>
              <w:spacing w:line="560" w:lineRule="exact"/>
              <w:ind w:firstLine="960" w:firstLineChars="400"/>
            </w:pPr>
          </w:p>
          <w:p>
            <w:pPr>
              <w:spacing w:line="560" w:lineRule="exact"/>
              <w:ind w:right="960" w:firstLine="3120" w:firstLineChars="1300"/>
            </w:pPr>
            <w:r>
              <w:rPr>
                <w:rFonts w:hint="eastAsia"/>
              </w:rPr>
              <w:t xml:space="preserve">数据报送和质量管理负责人签字： </w:t>
            </w:r>
            <w:r>
              <w:t xml:space="preserve">            </w:t>
            </w:r>
          </w:p>
          <w:p>
            <w:pPr>
              <w:spacing w:line="560" w:lineRule="exact"/>
              <w:ind w:right="960" w:firstLine="960" w:firstLineChars="400"/>
              <w:jc w:val="right"/>
            </w:pPr>
            <w:r>
              <w:rPr>
                <w:rFonts w:hint="eastAsia"/>
              </w:rPr>
              <w:t xml:space="preserve"> 签盖公章（总</w:t>
            </w:r>
            <w:r>
              <w:t>公司公章）</w:t>
            </w:r>
          </w:p>
          <w:p>
            <w:pPr>
              <w:spacing w:line="560" w:lineRule="exact"/>
              <w:ind w:firstLine="960" w:firstLineChars="400"/>
            </w:pPr>
          </w:p>
          <w:p>
            <w:pPr>
              <w:spacing w:line="560" w:lineRule="exact"/>
              <w:ind w:right="480" w:firstLine="6480" w:firstLineChars="2700"/>
            </w:pPr>
            <w:r>
              <w:rPr>
                <w:rFonts w:hint="eastAsia"/>
              </w:rPr>
              <w:t>年   月   日</w:t>
            </w:r>
          </w:p>
          <w:p>
            <w:pPr>
              <w:spacing w:line="560" w:lineRule="exact"/>
              <w:rPr>
                <w:b/>
                <w:color w:val="FF0000"/>
              </w:rPr>
            </w:pPr>
            <w:r>
              <w:rPr>
                <w:rFonts w:hint="eastAsia"/>
                <w:b/>
                <w:color w:val="FF0000"/>
              </w:rPr>
              <w:t>本公司承诺：</w:t>
            </w:r>
          </w:p>
          <w:p>
            <w:pPr>
              <w:spacing w:line="560" w:lineRule="exact"/>
              <w:ind w:firstLine="482" w:firstLineChars="200"/>
              <w:rPr>
                <w:b/>
                <w:color w:val="FF0000"/>
              </w:rPr>
            </w:pPr>
            <w:r>
              <w:rPr>
                <w:b/>
                <w:color w:val="FF0000"/>
              </w:rPr>
              <w:t>我司</w:t>
            </w:r>
            <w:r>
              <w:rPr>
                <w:rFonts w:hint="eastAsia"/>
                <w:b/>
                <w:color w:val="FF0000"/>
              </w:rPr>
              <w:t>已完成上述数据质量问题所涉及数据的修正上报，并已完成增量数据报送逻辑修正。保证今后上报至保单登记平台的数据准确、完整。</w:t>
            </w:r>
          </w:p>
        </w:tc>
      </w:tr>
    </w:tbl>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4. 数字证书申请表</w:t>
      </w:r>
    </w:p>
    <w:tbl>
      <w:tblPr>
        <w:tblStyle w:val="39"/>
        <w:tblW w:w="8520" w:type="dxa"/>
        <w:tblInd w:w="93" w:type="dxa"/>
        <w:tblLayout w:type="fixed"/>
        <w:tblCellMar>
          <w:top w:w="0" w:type="dxa"/>
          <w:left w:w="108" w:type="dxa"/>
          <w:bottom w:w="0" w:type="dxa"/>
          <w:right w:w="108" w:type="dxa"/>
        </w:tblCellMar>
      </w:tblPr>
      <w:tblGrid>
        <w:gridCol w:w="1452"/>
        <w:gridCol w:w="831"/>
        <w:gridCol w:w="1276"/>
        <w:gridCol w:w="1701"/>
        <w:gridCol w:w="1295"/>
        <w:gridCol w:w="1965"/>
      </w:tblGrid>
      <w:tr>
        <w:tblPrEx>
          <w:tblCellMar>
            <w:top w:w="0" w:type="dxa"/>
            <w:left w:w="108" w:type="dxa"/>
            <w:bottom w:w="0" w:type="dxa"/>
            <w:right w:w="108" w:type="dxa"/>
          </w:tblCellMar>
        </w:tblPrEx>
        <w:trPr>
          <w:trHeight w:val="300" w:hRule="atLeast"/>
        </w:trPr>
        <w:tc>
          <w:tcPr>
            <w:tcW w:w="8520" w:type="dxa"/>
            <w:gridSpan w:val="6"/>
            <w:tcBorders>
              <w:top w:val="single" w:color="auto" w:sz="12" w:space="0"/>
              <w:left w:val="single" w:color="auto" w:sz="12" w:space="0"/>
              <w:bottom w:val="single" w:color="auto" w:sz="4" w:space="0"/>
              <w:right w:val="single" w:color="000000" w:sz="12" w:space="0"/>
            </w:tcBorders>
            <w:shd w:val="clear" w:color="auto" w:fill="auto"/>
            <w:vAlign w:val="center"/>
          </w:tcPr>
          <w:p>
            <w:pPr>
              <w:spacing w:line="560" w:lineRule="exact"/>
              <w:ind w:firstLine="375"/>
              <w:rPr>
                <w:rFonts w:ascii="宋体" w:hAnsi="宋体"/>
                <w:b/>
              </w:rPr>
            </w:pPr>
            <w:r>
              <w:rPr>
                <w:rFonts w:ascii="宋体" w:hAnsi="宋体"/>
                <w:b/>
              </w:rPr>
              <w:t>1</w:t>
            </w:r>
            <w:r>
              <w:rPr>
                <w:rFonts w:hint="eastAsia" w:ascii="宋体" w:hAnsi="宋体"/>
                <w:b/>
              </w:rPr>
              <w:t>．申请机构信息</w:t>
            </w:r>
          </w:p>
        </w:tc>
      </w:tr>
      <w:tr>
        <w:tblPrEx>
          <w:tblCellMar>
            <w:top w:w="0" w:type="dxa"/>
            <w:left w:w="108" w:type="dxa"/>
            <w:bottom w:w="0" w:type="dxa"/>
            <w:right w:w="108" w:type="dxa"/>
          </w:tblCellMar>
        </w:tblPrEx>
        <w:trPr>
          <w:trHeight w:val="285" w:hRule="atLeast"/>
        </w:trPr>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单位全称</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r>
              <w:rPr>
                <w:rFonts w:hint="eastAsia" w:ascii="宋体" w:hAnsi="宋体"/>
              </w:rPr>
              <w:t xml:space="preserve"> </w:t>
            </w:r>
          </w:p>
        </w:tc>
      </w:tr>
      <w:tr>
        <w:tblPrEx>
          <w:tblCellMar>
            <w:top w:w="0" w:type="dxa"/>
            <w:left w:w="108" w:type="dxa"/>
            <w:bottom w:w="0" w:type="dxa"/>
            <w:right w:w="108" w:type="dxa"/>
          </w:tblCellMar>
        </w:tblPrEx>
        <w:trPr>
          <w:trHeight w:val="844" w:hRule="atLeast"/>
        </w:trPr>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组织机构代码（编码）</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rPr>
          <w:trHeight w:val="285" w:hRule="atLeast"/>
        </w:trPr>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通信地址</w:t>
            </w:r>
          </w:p>
        </w:tc>
        <w:tc>
          <w:tcPr>
            <w:tcW w:w="3808" w:type="dxa"/>
            <w:gridSpan w:val="3"/>
            <w:tcBorders>
              <w:top w:val="single" w:color="auto" w:sz="4" w:space="0"/>
              <w:left w:val="nil"/>
              <w:bottom w:val="single" w:color="auto" w:sz="4" w:space="0"/>
              <w:right w:val="single" w:color="auto" w:sz="4" w:space="0"/>
            </w:tcBorders>
            <w:shd w:val="clear" w:color="auto" w:fill="auto"/>
            <w:vAlign w:val="center"/>
          </w:tcPr>
          <w:p>
            <w:pPr>
              <w:spacing w:line="560" w:lineRule="exact"/>
              <w:rPr>
                <w:rFonts w:ascii="宋体" w:hAnsi="宋体"/>
              </w:rPr>
            </w:pPr>
          </w:p>
        </w:tc>
        <w:tc>
          <w:tcPr>
            <w:tcW w:w="1295"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邮编</w:t>
            </w:r>
          </w:p>
        </w:tc>
        <w:tc>
          <w:tcPr>
            <w:tcW w:w="1965" w:type="dxa"/>
            <w:tcBorders>
              <w:top w:val="nil"/>
              <w:left w:val="nil"/>
              <w:bottom w:val="single" w:color="auto" w:sz="4" w:space="0"/>
              <w:right w:val="single" w:color="auto"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rPr>
          <w:trHeight w:val="300" w:hRule="atLeast"/>
        </w:trPr>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联系人</w:t>
            </w:r>
          </w:p>
        </w:tc>
        <w:tc>
          <w:tcPr>
            <w:tcW w:w="831" w:type="dxa"/>
            <w:tcBorders>
              <w:top w:val="single" w:color="auto" w:sz="4" w:space="0"/>
              <w:left w:val="nil"/>
              <w:bottom w:val="single" w:color="auto" w:sz="4" w:space="0"/>
              <w:right w:val="single" w:color="auto" w:sz="4" w:space="0"/>
            </w:tcBorders>
            <w:shd w:val="clear" w:color="auto" w:fill="auto"/>
            <w:vAlign w:val="center"/>
          </w:tcPr>
          <w:p>
            <w:pPr>
              <w:spacing w:line="560" w:lineRule="exact"/>
              <w:rPr>
                <w:rFonts w:ascii="宋体" w:hAnsi="宋体"/>
              </w:rPr>
            </w:pPr>
          </w:p>
        </w:tc>
        <w:tc>
          <w:tcPr>
            <w:tcW w:w="1276"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联系电话</w:t>
            </w:r>
          </w:p>
        </w:tc>
        <w:tc>
          <w:tcPr>
            <w:tcW w:w="1701" w:type="dxa"/>
            <w:tcBorders>
              <w:top w:val="single" w:color="auto" w:sz="4" w:space="0"/>
              <w:left w:val="nil"/>
              <w:bottom w:val="single" w:color="auto" w:sz="4" w:space="0"/>
              <w:right w:val="single" w:color="000000" w:sz="4" w:space="0"/>
            </w:tcBorders>
            <w:shd w:val="clear" w:color="auto" w:fill="auto"/>
            <w:vAlign w:val="center"/>
          </w:tcPr>
          <w:p>
            <w:pPr>
              <w:spacing w:line="560" w:lineRule="exact"/>
              <w:rPr>
                <w:rFonts w:ascii="宋体" w:hAnsi="宋体"/>
              </w:rPr>
            </w:pPr>
          </w:p>
        </w:tc>
        <w:tc>
          <w:tcPr>
            <w:tcW w:w="1295"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电子邮箱</w:t>
            </w:r>
          </w:p>
        </w:tc>
        <w:tc>
          <w:tcPr>
            <w:tcW w:w="1965" w:type="dxa"/>
            <w:tcBorders>
              <w:top w:val="nil"/>
              <w:left w:val="nil"/>
              <w:bottom w:val="single" w:color="auto" w:sz="4" w:space="0"/>
              <w:right w:val="single" w:color="auto"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rPr>
          <w:trHeight w:val="300" w:hRule="atLeast"/>
        </w:trPr>
        <w:tc>
          <w:tcPr>
            <w:tcW w:w="8520" w:type="dxa"/>
            <w:gridSpan w:val="6"/>
            <w:tcBorders>
              <w:top w:val="single" w:color="auto" w:sz="12" w:space="0"/>
              <w:left w:val="single" w:color="auto" w:sz="12" w:space="0"/>
              <w:bottom w:val="single" w:color="auto" w:sz="4" w:space="0"/>
              <w:right w:val="single" w:color="000000" w:sz="12" w:space="0"/>
            </w:tcBorders>
            <w:shd w:val="clear" w:color="auto" w:fill="auto"/>
            <w:vAlign w:val="center"/>
          </w:tcPr>
          <w:p>
            <w:pPr>
              <w:spacing w:line="560" w:lineRule="exact"/>
              <w:ind w:firstLine="375"/>
              <w:rPr>
                <w:rFonts w:ascii="宋体" w:hAnsi="宋体"/>
                <w:b/>
              </w:rPr>
            </w:pPr>
            <w:r>
              <w:rPr>
                <w:rFonts w:ascii="宋体" w:hAnsi="宋体"/>
                <w:b/>
              </w:rPr>
              <w:t>2</w:t>
            </w:r>
            <w:r>
              <w:rPr>
                <w:rFonts w:hint="eastAsia" w:ascii="宋体" w:hAnsi="宋体"/>
                <w:b/>
              </w:rPr>
              <w:t>．证书业务申请</w:t>
            </w:r>
          </w:p>
        </w:tc>
      </w:tr>
      <w:tr>
        <w:tblPrEx>
          <w:tblCellMar>
            <w:top w:w="0" w:type="dxa"/>
            <w:left w:w="108" w:type="dxa"/>
            <w:bottom w:w="0" w:type="dxa"/>
            <w:right w:w="108" w:type="dxa"/>
          </w:tblCellMar>
        </w:tblPrEx>
        <w:trPr>
          <w:trHeight w:val="663" w:hRule="atLeast"/>
        </w:trPr>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申请类型</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ind w:firstLine="375"/>
              <w:rPr>
                <w:rFonts w:ascii="宋体" w:hAnsi="宋体"/>
              </w:rPr>
            </w:pPr>
            <w:r>
              <w:rPr>
                <w:rFonts w:hint="eastAsia" w:ascii="宋体" w:hAnsi="宋体"/>
              </w:rPr>
              <w:t xml:space="preserve">□证书申请   </w:t>
            </w:r>
          </w:p>
        </w:tc>
      </w:tr>
      <w:tr>
        <w:tblPrEx>
          <w:tblCellMar>
            <w:top w:w="0" w:type="dxa"/>
            <w:left w:w="108" w:type="dxa"/>
            <w:bottom w:w="0" w:type="dxa"/>
            <w:right w:w="108" w:type="dxa"/>
          </w:tblCellMar>
        </w:tblPrEx>
        <w:trPr>
          <w:trHeight w:val="70" w:hRule="atLeast"/>
        </w:trPr>
        <w:tc>
          <w:tcPr>
            <w:tcW w:w="1452" w:type="dxa"/>
            <w:tcBorders>
              <w:top w:val="single" w:color="auto" w:sz="4" w:space="0"/>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申请理由</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rPr>
          <w:trHeight w:val="477" w:hRule="atLeast"/>
        </w:trPr>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ind w:firstLine="375"/>
              <w:rPr>
                <w:rFonts w:ascii="宋体" w:hAnsi="宋体"/>
                <w:b/>
              </w:rPr>
            </w:pPr>
            <w:r>
              <w:rPr>
                <w:rFonts w:hint="eastAsia" w:ascii="宋体" w:hAnsi="宋体"/>
                <w:b/>
              </w:rPr>
              <w:t>3．申请单位审核意见</w:t>
            </w:r>
          </w:p>
        </w:tc>
      </w:tr>
      <w:tr>
        <w:tblPrEx>
          <w:tblCellMar>
            <w:top w:w="0" w:type="dxa"/>
            <w:left w:w="108" w:type="dxa"/>
            <w:bottom w:w="0" w:type="dxa"/>
            <w:right w:w="108" w:type="dxa"/>
          </w:tblCellMar>
        </w:tblPrEx>
        <w:trPr>
          <w:trHeight w:val="50" w:hRule="atLeast"/>
        </w:trPr>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申请单位签字（盖章）：</w:t>
            </w:r>
          </w:p>
          <w:p>
            <w:pPr>
              <w:spacing w:line="560" w:lineRule="exact"/>
              <w:ind w:firstLine="2160" w:firstLineChars="900"/>
              <w:jc w:val="right"/>
              <w:rPr>
                <w:rFonts w:ascii="宋体" w:hAnsi="宋体"/>
              </w:rPr>
            </w:pPr>
            <w:r>
              <w:rPr>
                <w:rFonts w:hint="eastAsia" w:ascii="宋体" w:hAnsi="宋体"/>
              </w:rPr>
              <w:t xml:space="preserve">                                  年    月    日</w:t>
            </w:r>
          </w:p>
        </w:tc>
      </w:tr>
      <w:tr>
        <w:tblPrEx>
          <w:tblCellMar>
            <w:top w:w="0" w:type="dxa"/>
            <w:left w:w="108" w:type="dxa"/>
            <w:bottom w:w="0" w:type="dxa"/>
            <w:right w:w="108" w:type="dxa"/>
          </w:tblCellMar>
        </w:tblPrEx>
        <w:trPr>
          <w:trHeight w:val="327" w:hRule="atLeast"/>
        </w:trPr>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ind w:firstLine="375"/>
              <w:rPr>
                <w:rFonts w:ascii="宋体" w:hAnsi="宋体"/>
                <w:b/>
              </w:rPr>
            </w:pPr>
            <w:r>
              <w:rPr>
                <w:rFonts w:hint="eastAsia" w:ascii="宋体" w:hAnsi="宋体"/>
                <w:b/>
              </w:rPr>
              <w:t>4．技术部</w:t>
            </w:r>
            <w:r>
              <w:rPr>
                <w:rFonts w:ascii="宋体" w:hAnsi="宋体"/>
                <w:b/>
              </w:rPr>
              <w:t>意见</w:t>
            </w:r>
          </w:p>
        </w:tc>
      </w:tr>
      <w:tr>
        <w:tblPrEx>
          <w:tblCellMar>
            <w:top w:w="0" w:type="dxa"/>
            <w:left w:w="108" w:type="dxa"/>
            <w:bottom w:w="0" w:type="dxa"/>
            <w:right w:w="108" w:type="dxa"/>
          </w:tblCellMar>
        </w:tblPrEx>
        <w:trPr>
          <w:trHeight w:val="50" w:hRule="atLeast"/>
        </w:trPr>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录入员签字：</w:t>
            </w:r>
          </w:p>
          <w:p>
            <w:pPr>
              <w:spacing w:line="560" w:lineRule="exact"/>
              <w:jc w:val="right"/>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年  </w:t>
            </w:r>
            <w:r>
              <w:rPr>
                <w:rFonts w:ascii="宋体" w:hAnsi="宋体"/>
              </w:rPr>
              <w:t xml:space="preserve"> </w:t>
            </w:r>
            <w:r>
              <w:rPr>
                <w:rFonts w:hint="eastAsia" w:ascii="宋体" w:hAnsi="宋体"/>
              </w:rPr>
              <w:t xml:space="preserve">  月    日</w:t>
            </w:r>
          </w:p>
        </w:tc>
      </w:tr>
      <w:tr>
        <w:tblPrEx>
          <w:tblCellMar>
            <w:top w:w="0" w:type="dxa"/>
            <w:left w:w="108" w:type="dxa"/>
            <w:bottom w:w="0" w:type="dxa"/>
            <w:right w:w="108" w:type="dxa"/>
          </w:tblCellMar>
        </w:tblPrEx>
        <w:trPr>
          <w:trHeight w:val="560" w:hRule="atLeast"/>
        </w:trPr>
        <w:tc>
          <w:tcPr>
            <w:tcW w:w="8520" w:type="dxa"/>
            <w:gridSpan w:val="6"/>
            <w:tcBorders>
              <w:top w:val="single" w:color="auto" w:sz="4" w:space="0"/>
              <w:left w:val="single" w:color="auto" w:sz="12" w:space="0"/>
              <w:bottom w:val="single" w:color="000000" w:sz="12" w:space="0"/>
              <w:right w:val="single" w:color="000000" w:sz="12" w:space="0"/>
            </w:tcBorders>
            <w:vAlign w:val="center"/>
          </w:tcPr>
          <w:p>
            <w:pPr>
              <w:spacing w:line="560" w:lineRule="exact"/>
              <w:ind w:firstLine="375"/>
              <w:rPr>
                <w:rFonts w:ascii="宋体" w:hAnsi="宋体"/>
                <w:b/>
              </w:rPr>
            </w:pPr>
            <w:r>
              <w:rPr>
                <w:rFonts w:hint="eastAsia" w:ascii="宋体" w:hAnsi="宋体"/>
                <w:b/>
              </w:rPr>
              <w:t>5</w:t>
            </w:r>
            <w:r>
              <w:rPr>
                <w:rFonts w:ascii="宋体" w:hAnsi="宋体"/>
                <w:b/>
              </w:rPr>
              <w:t>．</w:t>
            </w:r>
            <w:r>
              <w:rPr>
                <w:rFonts w:hint="eastAsia" w:ascii="宋体" w:hAnsi="宋体"/>
                <w:b/>
              </w:rPr>
              <w:t>办公室复核意见</w:t>
            </w:r>
          </w:p>
        </w:tc>
      </w:tr>
      <w:tr>
        <w:tblPrEx>
          <w:tblCellMar>
            <w:top w:w="0" w:type="dxa"/>
            <w:left w:w="108" w:type="dxa"/>
            <w:bottom w:w="0" w:type="dxa"/>
            <w:right w:w="108" w:type="dxa"/>
          </w:tblCellMar>
        </w:tblPrEx>
        <w:trPr>
          <w:trHeight w:val="960" w:hRule="atLeast"/>
        </w:trPr>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审核员签字：</w:t>
            </w:r>
          </w:p>
          <w:p>
            <w:pPr>
              <w:spacing w:line="560" w:lineRule="exact"/>
              <w:ind w:left="840" w:hanging="840" w:hangingChars="350"/>
              <w:jc w:val="right"/>
              <w:rPr>
                <w:rFonts w:ascii="宋体" w:hAnsi="宋体"/>
              </w:rPr>
            </w:pPr>
            <w:r>
              <w:rPr>
                <w:rFonts w:hint="eastAsia" w:ascii="宋体" w:hAnsi="宋体"/>
              </w:rPr>
              <w:t xml:space="preserve">                 </w:t>
            </w:r>
            <w:r>
              <w:rPr>
                <w:rFonts w:ascii="宋体" w:hAnsi="宋体"/>
              </w:rPr>
              <w:t xml:space="preserve"> </w:t>
            </w:r>
            <w:r>
              <w:rPr>
                <w:rFonts w:hint="eastAsia" w:ascii="宋体" w:hAnsi="宋体"/>
              </w:rPr>
              <w:t>年    月    日</w:t>
            </w:r>
          </w:p>
        </w:tc>
      </w:tr>
      <w:tr>
        <w:tblPrEx>
          <w:tblCellMar>
            <w:top w:w="0" w:type="dxa"/>
            <w:left w:w="108" w:type="dxa"/>
            <w:bottom w:w="0" w:type="dxa"/>
            <w:right w:w="108" w:type="dxa"/>
          </w:tblCellMar>
        </w:tblPrEx>
        <w:trPr>
          <w:trHeight w:val="960" w:hRule="atLeast"/>
        </w:trPr>
        <w:tc>
          <w:tcPr>
            <w:tcW w:w="8520" w:type="dxa"/>
            <w:gridSpan w:val="6"/>
            <w:tcBorders>
              <w:top w:val="single" w:color="auto" w:sz="4" w:space="0"/>
              <w:left w:val="single" w:color="auto" w:sz="12" w:space="0"/>
              <w:bottom w:val="single" w:color="000000" w:sz="12" w:space="0"/>
              <w:right w:val="single" w:color="000000" w:sz="12" w:space="0"/>
            </w:tcBorders>
            <w:vAlign w:val="center"/>
          </w:tcPr>
          <w:p>
            <w:pPr>
              <w:spacing w:line="560" w:lineRule="exact"/>
              <w:ind w:firstLine="375"/>
              <w:rPr>
                <w:rFonts w:ascii="宋体" w:hAnsi="宋体"/>
                <w:b/>
              </w:rPr>
            </w:pPr>
            <w:r>
              <w:rPr>
                <w:rFonts w:ascii="宋体" w:hAnsi="宋体"/>
                <w:b/>
              </w:rPr>
              <w:t>6</w:t>
            </w:r>
            <w:r>
              <w:rPr>
                <w:rFonts w:hint="eastAsia" w:ascii="宋体" w:hAnsi="宋体"/>
                <w:b/>
              </w:rPr>
              <w:t>．证书申请结果</w:t>
            </w:r>
          </w:p>
        </w:tc>
      </w:tr>
      <w:tr>
        <w:tblPrEx>
          <w:tblCellMar>
            <w:top w:w="0" w:type="dxa"/>
            <w:left w:w="108" w:type="dxa"/>
            <w:bottom w:w="0" w:type="dxa"/>
            <w:right w:w="108" w:type="dxa"/>
          </w:tblCellMar>
        </w:tblPrEx>
        <w:trPr>
          <w:trHeight w:val="960" w:hRule="atLeast"/>
        </w:trPr>
        <w:tc>
          <w:tcPr>
            <w:tcW w:w="8520" w:type="dxa"/>
            <w:gridSpan w:val="6"/>
            <w:tcBorders>
              <w:top w:val="single" w:color="auto" w:sz="4" w:space="0"/>
              <w:left w:val="single" w:color="auto" w:sz="12" w:space="0"/>
              <w:bottom w:val="single" w:color="000000" w:sz="12" w:space="0"/>
              <w:right w:val="single" w:color="000000" w:sz="12" w:space="0"/>
            </w:tcBorders>
          </w:tcPr>
          <w:p>
            <w:pPr>
              <w:spacing w:line="560" w:lineRule="exact"/>
              <w:ind w:firstLine="480" w:firstLineChars="200"/>
              <w:rPr>
                <w:rFonts w:ascii="宋体" w:hAnsi="宋体"/>
              </w:rPr>
            </w:pPr>
            <w:r>
              <w:rPr>
                <w:rFonts w:ascii="宋体" w:hAnsi="宋体"/>
              </w:rPr>
              <w:t xml:space="preserve">□ </w:t>
            </w:r>
            <w:r>
              <w:rPr>
                <w:rFonts w:hint="eastAsia" w:ascii="宋体" w:hAnsi="宋体"/>
              </w:rPr>
              <w:t>单位数字证书申请完成</w:t>
            </w:r>
          </w:p>
          <w:p>
            <w:pPr>
              <w:spacing w:line="560" w:lineRule="exact"/>
              <w:ind w:firstLine="480" w:firstLineChars="200"/>
              <w:rPr>
                <w:rFonts w:ascii="宋体" w:hAnsi="宋体"/>
              </w:rPr>
            </w:pPr>
            <w:r>
              <w:rPr>
                <w:rFonts w:ascii="宋体" w:hAnsi="宋体"/>
              </w:rPr>
              <w:t xml:space="preserve">□ </w:t>
            </w:r>
            <w:r>
              <w:rPr>
                <w:rFonts w:hint="eastAsia" w:ascii="宋体" w:hAnsi="宋体"/>
              </w:rPr>
              <w:t>单位数字证书申请失败</w:t>
            </w:r>
            <w:r>
              <w:rPr>
                <w:rFonts w:ascii="宋体" w:hAnsi="宋体"/>
              </w:rPr>
              <w:t>，原因是：</w:t>
            </w:r>
          </w:p>
          <w:p>
            <w:pPr>
              <w:spacing w:line="560" w:lineRule="exact"/>
              <w:ind w:left="840" w:hanging="840" w:hangingChars="350"/>
              <w:jc w:val="right"/>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年    月    日</w:t>
            </w:r>
          </w:p>
        </w:tc>
      </w:tr>
    </w:tbl>
    <w:p>
      <w:pPr>
        <w:spacing w:line="560" w:lineRule="exact"/>
        <w:rPr>
          <w:b/>
        </w:rPr>
      </w:pPr>
      <w:r>
        <w:rPr>
          <w:rFonts w:hint="eastAsia"/>
          <w:b/>
        </w:rPr>
        <w:t>填表说明：</w:t>
      </w:r>
    </w:p>
    <w:p>
      <w:pPr>
        <w:spacing w:line="560" w:lineRule="exact"/>
      </w:pPr>
      <w:r>
        <w:rPr>
          <w:rFonts w:hint="eastAsia"/>
        </w:rPr>
        <w:t>1．第1部分“申请机构信息”和第2部分“证书业务申请”、第3部分“申请单位审核意见”由数字证书申请联系人填写、签字/章，第3部分加盖单位签章。</w:t>
      </w:r>
    </w:p>
    <w:p>
      <w:pPr>
        <w:spacing w:line="560" w:lineRule="exact"/>
      </w:pPr>
      <w:r>
        <w:rPr>
          <w:rFonts w:hint="eastAsia"/>
        </w:rPr>
        <w:t>2．第1部分“组织机构代码”项填写申请单位18位统一社会信用代码。</w:t>
      </w:r>
    </w:p>
    <w:p>
      <w:pPr>
        <w:spacing w:line="560" w:lineRule="exact"/>
      </w:pPr>
      <w:r>
        <w:rPr>
          <w:rFonts w:hint="eastAsia"/>
        </w:rPr>
        <w:t>3．第2部分“申请事由”项填写证书使用的系统平台。</w:t>
      </w:r>
    </w:p>
    <w:p>
      <w:pPr>
        <w:spacing w:line="560" w:lineRule="exact"/>
      </w:pPr>
      <w:r>
        <w:rPr>
          <w:rFonts w:hint="eastAsia"/>
        </w:rPr>
        <w:t>4. 第4部分“技术部</w:t>
      </w:r>
      <w:r>
        <w:t>意见</w:t>
      </w:r>
      <w:r>
        <w:rPr>
          <w:rFonts w:hint="eastAsia"/>
        </w:rPr>
        <w:t>”和第5部分“办公室复核意见”、第6部分“数字证书申请结果”由中国保信负责填写，并由技术部录入员负责规定。</w:t>
      </w:r>
    </w:p>
    <w:p>
      <w:pPr>
        <w:spacing w:line="560" w:lineRule="exact"/>
        <w:outlineLvl w:val="2"/>
        <w:rPr>
          <w:rFonts w:ascii="仿宋_GB2312" w:eastAsia="仿宋_GB2312"/>
        </w:rPr>
      </w:pPr>
      <w:r>
        <w:rPr>
          <w:sz w:val="28"/>
          <w:szCs w:val="28"/>
        </w:rPr>
        <w:br w:type="page"/>
      </w:r>
      <w:r>
        <w:rPr>
          <w:rFonts w:hint="eastAsia" w:ascii="仿宋" w:hAnsi="仿宋" w:eastAsia="仿宋" w:cs="仿宋"/>
          <w:b/>
          <w:bCs/>
          <w:sz w:val="28"/>
          <w:szCs w:val="28"/>
        </w:rPr>
        <w:t>5. 数字证书格式说明</w:t>
      </w:r>
    </w:p>
    <w:tbl>
      <w:tblPr>
        <w:tblStyle w:val="39"/>
        <w:tblW w:w="9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080"/>
        <w:gridCol w:w="2165"/>
        <w:gridCol w:w="1155"/>
        <w:gridCol w:w="1065"/>
        <w:gridCol w:w="136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20" w:type="dxa"/>
            <w:shd w:val="clear" w:color="auto" w:fill="E0E0E0"/>
            <w:vAlign w:val="center"/>
          </w:tcPr>
          <w:p>
            <w:pPr>
              <w:spacing w:line="560" w:lineRule="exact"/>
              <w:rPr>
                <w:b/>
                <w:szCs w:val="21"/>
              </w:rPr>
            </w:pPr>
            <w:r>
              <w:rPr>
                <w:rFonts w:hint="eastAsia"/>
                <w:b/>
                <w:szCs w:val="21"/>
              </w:rPr>
              <w:t>序号</w:t>
            </w:r>
          </w:p>
        </w:tc>
        <w:tc>
          <w:tcPr>
            <w:tcW w:w="3245" w:type="dxa"/>
            <w:gridSpan w:val="2"/>
            <w:shd w:val="clear" w:color="auto" w:fill="E0E0E0"/>
            <w:vAlign w:val="center"/>
          </w:tcPr>
          <w:p>
            <w:pPr>
              <w:spacing w:line="560" w:lineRule="exact"/>
              <w:rPr>
                <w:b/>
                <w:szCs w:val="21"/>
              </w:rPr>
            </w:pPr>
            <w:r>
              <w:rPr>
                <w:rFonts w:hint="eastAsia"/>
                <w:b/>
                <w:szCs w:val="21"/>
              </w:rPr>
              <w:t>数据项名称</w:t>
            </w:r>
          </w:p>
        </w:tc>
        <w:tc>
          <w:tcPr>
            <w:tcW w:w="1155" w:type="dxa"/>
            <w:shd w:val="clear" w:color="auto" w:fill="E0E0E0"/>
            <w:vAlign w:val="center"/>
          </w:tcPr>
          <w:p>
            <w:pPr>
              <w:spacing w:line="560" w:lineRule="exact"/>
              <w:rPr>
                <w:b/>
                <w:szCs w:val="21"/>
              </w:rPr>
            </w:pPr>
            <w:r>
              <w:rPr>
                <w:rFonts w:hint="eastAsia"/>
                <w:b/>
                <w:szCs w:val="21"/>
              </w:rPr>
              <w:t>数据类型</w:t>
            </w:r>
          </w:p>
        </w:tc>
        <w:tc>
          <w:tcPr>
            <w:tcW w:w="1065" w:type="dxa"/>
            <w:shd w:val="clear" w:color="auto" w:fill="E0E0E0"/>
            <w:vAlign w:val="center"/>
          </w:tcPr>
          <w:p>
            <w:pPr>
              <w:spacing w:line="560" w:lineRule="exact"/>
              <w:rPr>
                <w:b/>
                <w:szCs w:val="21"/>
              </w:rPr>
            </w:pPr>
            <w:r>
              <w:rPr>
                <w:rFonts w:hint="eastAsia"/>
                <w:b/>
                <w:szCs w:val="21"/>
              </w:rPr>
              <w:t>数据长度</w:t>
            </w:r>
          </w:p>
        </w:tc>
        <w:tc>
          <w:tcPr>
            <w:tcW w:w="1365" w:type="dxa"/>
            <w:shd w:val="clear" w:color="auto" w:fill="E0E0E0"/>
            <w:vAlign w:val="center"/>
          </w:tcPr>
          <w:p>
            <w:pPr>
              <w:spacing w:line="560" w:lineRule="exact"/>
              <w:rPr>
                <w:b/>
                <w:szCs w:val="21"/>
              </w:rPr>
            </w:pPr>
            <w:r>
              <w:rPr>
                <w:rFonts w:hint="eastAsia"/>
                <w:b/>
                <w:szCs w:val="21"/>
              </w:rPr>
              <w:t>填写内容</w:t>
            </w:r>
          </w:p>
        </w:tc>
        <w:tc>
          <w:tcPr>
            <w:tcW w:w="1950" w:type="dxa"/>
            <w:shd w:val="clear" w:color="auto" w:fill="E0E0E0"/>
            <w:vAlign w:val="center"/>
          </w:tcPr>
          <w:p>
            <w:pPr>
              <w:spacing w:line="560" w:lineRule="exact"/>
              <w:rPr>
                <w:b/>
                <w:szCs w:val="21"/>
              </w:rPr>
            </w:pPr>
            <w:r>
              <w:rPr>
                <w:rFonts w:hint="eastAsia"/>
                <w:b/>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tblHeader/>
          <w:jc w:val="center"/>
        </w:trPr>
        <w:tc>
          <w:tcPr>
            <w:tcW w:w="720" w:type="dxa"/>
            <w:vMerge w:val="restart"/>
            <w:vAlign w:val="center"/>
          </w:tcPr>
          <w:p>
            <w:pPr>
              <w:spacing w:line="560" w:lineRule="exact"/>
              <w:rPr>
                <w:szCs w:val="21"/>
              </w:rPr>
            </w:pPr>
            <w:r>
              <w:rPr>
                <w:rFonts w:hint="eastAsia"/>
                <w:szCs w:val="21"/>
              </w:rPr>
              <w:t>1</w:t>
            </w:r>
          </w:p>
        </w:tc>
        <w:tc>
          <w:tcPr>
            <w:tcW w:w="1080" w:type="dxa"/>
            <w:vMerge w:val="restart"/>
            <w:vAlign w:val="center"/>
          </w:tcPr>
          <w:p>
            <w:pPr>
              <w:spacing w:line="560" w:lineRule="exact"/>
              <w:rPr>
                <w:szCs w:val="21"/>
              </w:rPr>
            </w:pPr>
            <w:r>
              <w:rPr>
                <w:rFonts w:hint="eastAsia"/>
                <w:szCs w:val="21"/>
              </w:rPr>
              <w:t>证书申请主题信息</w:t>
            </w:r>
          </w:p>
        </w:tc>
        <w:tc>
          <w:tcPr>
            <w:tcW w:w="2165" w:type="dxa"/>
            <w:tcBorders>
              <w:bottom w:val="single" w:color="auto" w:sz="4" w:space="0"/>
            </w:tcBorders>
            <w:vAlign w:val="center"/>
          </w:tcPr>
          <w:p>
            <w:pPr>
              <w:spacing w:line="560" w:lineRule="exact"/>
              <w:rPr>
                <w:szCs w:val="21"/>
              </w:rPr>
            </w:pPr>
            <w:r>
              <w:rPr>
                <w:rFonts w:hint="eastAsia"/>
                <w:szCs w:val="21"/>
              </w:rPr>
              <w:t>保险公司名称（CN）</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rFonts w:hint="eastAsia"/>
                <w:szCs w:val="21"/>
              </w:rPr>
              <w:t>64字节</w:t>
            </w:r>
          </w:p>
        </w:tc>
        <w:tc>
          <w:tcPr>
            <w:tcW w:w="1365" w:type="dxa"/>
            <w:vAlign w:val="center"/>
          </w:tcPr>
          <w:p>
            <w:pPr>
              <w:spacing w:line="560" w:lineRule="exact"/>
              <w:rPr>
                <w:szCs w:val="21"/>
              </w:rPr>
            </w:pPr>
          </w:p>
        </w:tc>
        <w:tc>
          <w:tcPr>
            <w:tcW w:w="1950" w:type="dxa"/>
            <w:vAlign w:val="center"/>
          </w:tcPr>
          <w:p>
            <w:pPr>
              <w:spacing w:line="560" w:lineRule="exact"/>
              <w:rPr>
                <w:szCs w:val="21"/>
              </w:rPr>
            </w:pPr>
            <w:r>
              <w:rPr>
                <w:rFonts w:hint="eastAsia"/>
                <w:szCs w:val="21"/>
              </w:rPr>
              <w:t>本单位名称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tblHeader/>
          <w:jc w:val="center"/>
        </w:trPr>
        <w:tc>
          <w:tcPr>
            <w:tcW w:w="720" w:type="dxa"/>
            <w:vMerge w:val="continue"/>
            <w:vAlign w:val="center"/>
          </w:tcPr>
          <w:p>
            <w:pPr>
              <w:spacing w:line="560" w:lineRule="exact"/>
              <w:rPr>
                <w:szCs w:val="21"/>
              </w:rPr>
            </w:pPr>
          </w:p>
        </w:tc>
        <w:tc>
          <w:tcPr>
            <w:tcW w:w="1080" w:type="dxa"/>
            <w:vMerge w:val="continue"/>
            <w:vAlign w:val="center"/>
          </w:tcPr>
          <w:p>
            <w:pPr>
              <w:spacing w:line="560" w:lineRule="exact"/>
              <w:rPr>
                <w:szCs w:val="21"/>
              </w:rPr>
            </w:pPr>
          </w:p>
        </w:tc>
        <w:tc>
          <w:tcPr>
            <w:tcW w:w="2165" w:type="dxa"/>
            <w:tcBorders>
              <w:bottom w:val="single" w:color="auto" w:sz="4" w:space="0"/>
            </w:tcBorders>
            <w:vAlign w:val="center"/>
          </w:tcPr>
          <w:p>
            <w:pPr>
              <w:spacing w:line="560" w:lineRule="exact"/>
              <w:rPr>
                <w:szCs w:val="21"/>
              </w:rPr>
            </w:pPr>
            <w:r>
              <w:rPr>
                <w:rFonts w:hint="eastAsia"/>
                <w:szCs w:val="21"/>
              </w:rPr>
              <w:t>机构编码（T）</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rFonts w:hint="eastAsia"/>
                <w:szCs w:val="21"/>
              </w:rPr>
              <w:t>64字节</w:t>
            </w:r>
          </w:p>
        </w:tc>
        <w:tc>
          <w:tcPr>
            <w:tcW w:w="1365" w:type="dxa"/>
            <w:vAlign w:val="center"/>
          </w:tcPr>
          <w:p>
            <w:pPr>
              <w:spacing w:line="560" w:lineRule="exact"/>
              <w:rPr>
                <w:szCs w:val="21"/>
              </w:rPr>
            </w:pPr>
          </w:p>
        </w:tc>
        <w:tc>
          <w:tcPr>
            <w:tcW w:w="1950" w:type="dxa"/>
            <w:vAlign w:val="center"/>
          </w:tcPr>
          <w:p>
            <w:pPr>
              <w:spacing w:line="560" w:lineRule="exact"/>
              <w:rPr>
                <w:color w:val="FF0000"/>
                <w:szCs w:val="21"/>
              </w:rPr>
            </w:pPr>
            <w:r>
              <w:rPr>
                <w:rFonts w:hint="eastAsia"/>
                <w:szCs w:val="21"/>
              </w:rPr>
              <w:t>本单位</w:t>
            </w:r>
            <w:r>
              <w:rPr>
                <w:szCs w:val="21"/>
              </w:rPr>
              <w:t>统一</w:t>
            </w:r>
            <w:r>
              <w:rPr>
                <w:rFonts w:hint="eastAsia"/>
                <w:szCs w:val="21"/>
              </w:rPr>
              <w:t>社会</w:t>
            </w:r>
            <w:r>
              <w:rPr>
                <w:szCs w:val="21"/>
              </w:rPr>
              <w:t>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tblHeader/>
          <w:jc w:val="center"/>
        </w:trPr>
        <w:tc>
          <w:tcPr>
            <w:tcW w:w="720" w:type="dxa"/>
            <w:vMerge w:val="continue"/>
            <w:vAlign w:val="center"/>
          </w:tcPr>
          <w:p>
            <w:pPr>
              <w:spacing w:line="560" w:lineRule="exact"/>
              <w:rPr>
                <w:szCs w:val="21"/>
              </w:rPr>
            </w:pPr>
          </w:p>
        </w:tc>
        <w:tc>
          <w:tcPr>
            <w:tcW w:w="1080" w:type="dxa"/>
            <w:vMerge w:val="continue"/>
            <w:vAlign w:val="center"/>
          </w:tcPr>
          <w:p>
            <w:pPr>
              <w:spacing w:line="560" w:lineRule="exact"/>
              <w:rPr>
                <w:szCs w:val="21"/>
              </w:rPr>
            </w:pPr>
          </w:p>
        </w:tc>
        <w:tc>
          <w:tcPr>
            <w:tcW w:w="2165" w:type="dxa"/>
            <w:tcBorders>
              <w:bottom w:val="single" w:color="auto" w:sz="4" w:space="0"/>
            </w:tcBorders>
            <w:vAlign w:val="center"/>
          </w:tcPr>
          <w:p>
            <w:pPr>
              <w:spacing w:line="560" w:lineRule="exact"/>
              <w:rPr>
                <w:szCs w:val="21"/>
              </w:rPr>
            </w:pPr>
            <w:r>
              <w:rPr>
                <w:rFonts w:hint="eastAsia"/>
                <w:szCs w:val="21"/>
              </w:rPr>
              <w:t>用途（OU）</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rFonts w:hint="eastAsia"/>
                <w:szCs w:val="21"/>
              </w:rPr>
              <w:t>64字节</w:t>
            </w:r>
          </w:p>
        </w:tc>
        <w:tc>
          <w:tcPr>
            <w:tcW w:w="1365" w:type="dxa"/>
            <w:vAlign w:val="center"/>
          </w:tcPr>
          <w:p>
            <w:pPr>
              <w:spacing w:line="560" w:lineRule="exact"/>
              <w:rPr>
                <w:szCs w:val="21"/>
              </w:rPr>
            </w:pPr>
          </w:p>
        </w:tc>
        <w:tc>
          <w:tcPr>
            <w:tcW w:w="1950" w:type="dxa"/>
            <w:vAlign w:val="center"/>
          </w:tcPr>
          <w:p>
            <w:pPr>
              <w:spacing w:line="560" w:lineRule="exact"/>
              <w:rPr>
                <w:szCs w:val="21"/>
              </w:rPr>
            </w:pPr>
            <w:r>
              <w:rPr>
                <w:rFonts w:hint="eastAsia"/>
                <w:szCs w:val="21"/>
              </w:rPr>
              <w:t>证书应用业务具体说明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tblHeader/>
          <w:jc w:val="center"/>
        </w:trPr>
        <w:tc>
          <w:tcPr>
            <w:tcW w:w="720" w:type="dxa"/>
            <w:vMerge w:val="continue"/>
            <w:vAlign w:val="center"/>
          </w:tcPr>
          <w:p>
            <w:pPr>
              <w:spacing w:line="560" w:lineRule="exact"/>
              <w:rPr>
                <w:szCs w:val="21"/>
              </w:rPr>
            </w:pPr>
          </w:p>
        </w:tc>
        <w:tc>
          <w:tcPr>
            <w:tcW w:w="1080" w:type="dxa"/>
            <w:vMerge w:val="continue"/>
            <w:vAlign w:val="center"/>
          </w:tcPr>
          <w:p>
            <w:pPr>
              <w:spacing w:line="560" w:lineRule="exact"/>
              <w:rPr>
                <w:szCs w:val="21"/>
              </w:rPr>
            </w:pPr>
          </w:p>
        </w:tc>
        <w:tc>
          <w:tcPr>
            <w:tcW w:w="2165" w:type="dxa"/>
            <w:tcBorders>
              <w:bottom w:val="single" w:color="auto" w:sz="4" w:space="0"/>
            </w:tcBorders>
            <w:vAlign w:val="center"/>
          </w:tcPr>
          <w:p>
            <w:pPr>
              <w:spacing w:line="560" w:lineRule="exact"/>
              <w:rPr>
                <w:szCs w:val="21"/>
              </w:rPr>
            </w:pPr>
            <w:r>
              <w:rPr>
                <w:rFonts w:hint="eastAsia"/>
                <w:szCs w:val="21"/>
              </w:rPr>
              <w:t>作用域（OU）</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rFonts w:hint="eastAsia"/>
                <w:szCs w:val="21"/>
              </w:rPr>
              <w:t>64字节</w:t>
            </w:r>
          </w:p>
        </w:tc>
        <w:tc>
          <w:tcPr>
            <w:tcW w:w="1365" w:type="dxa"/>
            <w:vAlign w:val="center"/>
          </w:tcPr>
          <w:p>
            <w:pPr>
              <w:spacing w:line="560" w:lineRule="exact"/>
              <w:rPr>
                <w:szCs w:val="21"/>
              </w:rPr>
            </w:pPr>
          </w:p>
        </w:tc>
        <w:tc>
          <w:tcPr>
            <w:tcW w:w="1950" w:type="dxa"/>
            <w:vAlign w:val="center"/>
          </w:tcPr>
          <w:p>
            <w:pPr>
              <w:spacing w:line="560" w:lineRule="exact"/>
              <w:rPr>
                <w:szCs w:val="21"/>
              </w:rPr>
            </w:pPr>
            <w:r>
              <w:rPr>
                <w:rFonts w:hint="eastAsia"/>
                <w:szCs w:val="21"/>
              </w:rPr>
              <w:t>证书应用的业务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5" w:hRule="atLeast"/>
          <w:tblHeader/>
          <w:jc w:val="center"/>
        </w:trPr>
        <w:tc>
          <w:tcPr>
            <w:tcW w:w="720" w:type="dxa"/>
            <w:vMerge w:val="continue"/>
            <w:vAlign w:val="center"/>
          </w:tcPr>
          <w:p>
            <w:pPr>
              <w:spacing w:line="560" w:lineRule="exact"/>
              <w:rPr>
                <w:szCs w:val="21"/>
              </w:rPr>
            </w:pPr>
          </w:p>
        </w:tc>
        <w:tc>
          <w:tcPr>
            <w:tcW w:w="1080" w:type="dxa"/>
            <w:vMerge w:val="continue"/>
            <w:vAlign w:val="center"/>
          </w:tcPr>
          <w:p>
            <w:pPr>
              <w:spacing w:line="560" w:lineRule="exact"/>
              <w:rPr>
                <w:szCs w:val="21"/>
              </w:rPr>
            </w:pPr>
          </w:p>
        </w:tc>
        <w:tc>
          <w:tcPr>
            <w:tcW w:w="2165" w:type="dxa"/>
            <w:tcBorders>
              <w:bottom w:val="single" w:color="auto" w:sz="4" w:space="0"/>
            </w:tcBorders>
            <w:vAlign w:val="center"/>
          </w:tcPr>
          <w:p>
            <w:pPr>
              <w:spacing w:line="560" w:lineRule="exact"/>
              <w:rPr>
                <w:szCs w:val="21"/>
              </w:rPr>
            </w:pPr>
            <w:r>
              <w:rPr>
                <w:rFonts w:hint="eastAsia"/>
                <w:szCs w:val="21"/>
              </w:rPr>
              <w:t>组织名称（O）</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szCs w:val="21"/>
              </w:rPr>
              <w:t>8</w:t>
            </w:r>
            <w:r>
              <w:rPr>
                <w:rFonts w:hint="eastAsia"/>
                <w:szCs w:val="21"/>
              </w:rPr>
              <w:t>字节</w:t>
            </w:r>
          </w:p>
        </w:tc>
        <w:tc>
          <w:tcPr>
            <w:tcW w:w="1365" w:type="dxa"/>
            <w:vAlign w:val="center"/>
          </w:tcPr>
          <w:p>
            <w:pPr>
              <w:spacing w:line="560" w:lineRule="exact"/>
              <w:rPr>
                <w:rFonts w:hint="eastAsia" w:eastAsia="宋体"/>
                <w:szCs w:val="21"/>
                <w:lang w:eastAsia="zh-CN"/>
              </w:rPr>
            </w:pPr>
            <w:r>
              <w:rPr>
                <w:szCs w:val="21"/>
              </w:rPr>
              <w:t>C</w:t>
            </w:r>
            <w:r>
              <w:rPr>
                <w:rFonts w:hint="eastAsia"/>
                <w:szCs w:val="21"/>
              </w:rPr>
              <w:t>IITC</w:t>
            </w:r>
          </w:p>
        </w:tc>
        <w:tc>
          <w:tcPr>
            <w:tcW w:w="1950" w:type="dxa"/>
            <w:vAlign w:val="center"/>
          </w:tcPr>
          <w:p>
            <w:pPr>
              <w:spacing w:line="560" w:lineRule="exact"/>
              <w:rPr>
                <w:szCs w:val="21"/>
              </w:rPr>
            </w:pPr>
            <w:r>
              <w:rPr>
                <w:rFonts w:hint="eastAsia"/>
                <w:szCs w:val="21"/>
              </w:rPr>
              <w:t>受理组织名称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tblHeader/>
          <w:jc w:val="center"/>
        </w:trPr>
        <w:tc>
          <w:tcPr>
            <w:tcW w:w="720" w:type="dxa"/>
            <w:vMerge w:val="continue"/>
            <w:vAlign w:val="center"/>
          </w:tcPr>
          <w:p>
            <w:pPr>
              <w:spacing w:line="560" w:lineRule="exact"/>
              <w:rPr>
                <w:szCs w:val="21"/>
              </w:rPr>
            </w:pPr>
          </w:p>
        </w:tc>
        <w:tc>
          <w:tcPr>
            <w:tcW w:w="1080" w:type="dxa"/>
            <w:vMerge w:val="continue"/>
            <w:vAlign w:val="center"/>
          </w:tcPr>
          <w:p>
            <w:pPr>
              <w:spacing w:line="560" w:lineRule="exact"/>
              <w:rPr>
                <w:szCs w:val="21"/>
              </w:rPr>
            </w:pPr>
          </w:p>
        </w:tc>
        <w:tc>
          <w:tcPr>
            <w:tcW w:w="2165" w:type="dxa"/>
            <w:tcBorders>
              <w:bottom w:val="single" w:color="auto" w:sz="4" w:space="0"/>
            </w:tcBorders>
            <w:vAlign w:val="center"/>
          </w:tcPr>
          <w:p>
            <w:pPr>
              <w:spacing w:line="560" w:lineRule="exact"/>
              <w:rPr>
                <w:szCs w:val="21"/>
              </w:rPr>
            </w:pPr>
            <w:r>
              <w:rPr>
                <w:rFonts w:hint="eastAsia"/>
                <w:szCs w:val="21"/>
              </w:rPr>
              <w:t>国家（C）</w:t>
            </w:r>
          </w:p>
        </w:tc>
        <w:tc>
          <w:tcPr>
            <w:tcW w:w="1155" w:type="dxa"/>
            <w:vAlign w:val="center"/>
          </w:tcPr>
          <w:p>
            <w:pPr>
              <w:spacing w:line="560" w:lineRule="exact"/>
              <w:rPr>
                <w:szCs w:val="21"/>
              </w:rPr>
            </w:pPr>
            <w:r>
              <w:rPr>
                <w:rFonts w:hint="eastAsia"/>
                <w:szCs w:val="21"/>
              </w:rPr>
              <w:t>字符型</w:t>
            </w:r>
          </w:p>
        </w:tc>
        <w:tc>
          <w:tcPr>
            <w:tcW w:w="1065" w:type="dxa"/>
            <w:vAlign w:val="center"/>
          </w:tcPr>
          <w:p>
            <w:pPr>
              <w:spacing w:line="560" w:lineRule="exact"/>
              <w:rPr>
                <w:szCs w:val="21"/>
              </w:rPr>
            </w:pPr>
            <w:r>
              <w:rPr>
                <w:rFonts w:hint="eastAsia"/>
                <w:szCs w:val="21"/>
              </w:rPr>
              <w:t>2字节</w:t>
            </w:r>
          </w:p>
        </w:tc>
        <w:tc>
          <w:tcPr>
            <w:tcW w:w="1365" w:type="dxa"/>
            <w:vAlign w:val="center"/>
          </w:tcPr>
          <w:p>
            <w:pPr>
              <w:spacing w:line="560" w:lineRule="exact"/>
              <w:rPr>
                <w:szCs w:val="21"/>
              </w:rPr>
            </w:pPr>
            <w:r>
              <w:rPr>
                <w:rFonts w:hint="eastAsia"/>
                <w:szCs w:val="21"/>
              </w:rPr>
              <w:t>CN</w:t>
            </w:r>
          </w:p>
        </w:tc>
        <w:tc>
          <w:tcPr>
            <w:tcW w:w="1950" w:type="dxa"/>
            <w:vAlign w:val="center"/>
          </w:tcPr>
          <w:p>
            <w:pPr>
              <w:spacing w:line="560" w:lineRule="exact"/>
              <w:rPr>
                <w:szCs w:val="21"/>
              </w:rPr>
            </w:pPr>
            <w:r>
              <w:rPr>
                <w:rFonts w:hint="eastAsia"/>
                <w:szCs w:val="21"/>
              </w:rPr>
              <w:t>ISO 3166-1标准</w:t>
            </w:r>
          </w:p>
        </w:tc>
      </w:tr>
    </w:tbl>
    <w:p>
      <w:pPr>
        <w:spacing w:line="560" w:lineRule="exact"/>
      </w:pPr>
      <w:r>
        <w:rPr>
          <w:rFonts w:hint="eastAsia"/>
        </w:rPr>
        <w:t>说明：以上数据项，保险公司名称和机构编码请如实填写，其它数据项按照以下示例填写。</w:t>
      </w:r>
    </w:p>
    <w:p>
      <w:pPr>
        <w:spacing w:line="560" w:lineRule="exact"/>
      </w:pPr>
      <w:r>
        <w:rPr>
          <w:rFonts w:hint="eastAsia"/>
        </w:rPr>
        <w:t>示例：</w:t>
      </w:r>
      <w:r>
        <w:t>CN=XX</w:t>
      </w:r>
      <w:r>
        <w:rPr>
          <w:rFonts w:hint="eastAsia"/>
        </w:rPr>
        <w:t>保险公司，</w:t>
      </w:r>
      <w:r>
        <w:t>T=XXXXXXX</w:t>
      </w:r>
      <w:r>
        <w:rPr>
          <w:rFonts w:hint="eastAsia"/>
        </w:rPr>
        <w:t>，</w:t>
      </w:r>
      <w:r>
        <w:t>OU=</w:t>
      </w:r>
      <w:r>
        <w:rPr>
          <w:rFonts w:hint="eastAsia"/>
        </w:rPr>
        <w:t>保单登记，</w:t>
      </w:r>
      <w:r>
        <w:t>OU=</w:t>
      </w:r>
      <w:r>
        <w:rPr>
          <w:rFonts w:hint="eastAsia"/>
        </w:rPr>
        <w:t>保单登记信息管理平台，</w:t>
      </w:r>
      <w:r>
        <w:t>O=CIITC</w:t>
      </w:r>
      <w:r>
        <w:rPr>
          <w:rFonts w:hint="eastAsia"/>
        </w:rPr>
        <w:t>，</w:t>
      </w:r>
      <w:r>
        <w:t>C=CN</w:t>
      </w:r>
    </w:p>
    <w:p>
      <w:pPr>
        <w:widowControl/>
        <w:spacing w:line="560" w:lineRule="exact"/>
        <w:rPr>
          <w:sz w:val="28"/>
          <w:szCs w:val="28"/>
        </w:rPr>
      </w:pPr>
      <w:r>
        <w:rPr>
          <w:sz w:val="28"/>
          <w:szCs w:val="28"/>
        </w:rPr>
        <w:br w:type="page"/>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6. 数字证书更新／停用／恢复／撤销申请表</w:t>
      </w:r>
    </w:p>
    <w:tbl>
      <w:tblPr>
        <w:tblStyle w:val="39"/>
        <w:tblW w:w="8520" w:type="dxa"/>
        <w:tblInd w:w="93" w:type="dxa"/>
        <w:tblLayout w:type="fixed"/>
        <w:tblCellMar>
          <w:top w:w="0" w:type="dxa"/>
          <w:left w:w="108" w:type="dxa"/>
          <w:bottom w:w="0" w:type="dxa"/>
          <w:right w:w="108" w:type="dxa"/>
        </w:tblCellMar>
      </w:tblPr>
      <w:tblGrid>
        <w:gridCol w:w="1452"/>
        <w:gridCol w:w="831"/>
        <w:gridCol w:w="1276"/>
        <w:gridCol w:w="1578"/>
        <w:gridCol w:w="1257"/>
        <w:gridCol w:w="2126"/>
      </w:tblGrid>
      <w:tr>
        <w:tblPrEx>
          <w:tblCellMar>
            <w:top w:w="0" w:type="dxa"/>
            <w:left w:w="108" w:type="dxa"/>
            <w:bottom w:w="0" w:type="dxa"/>
            <w:right w:w="108" w:type="dxa"/>
          </w:tblCellMar>
        </w:tblPrEx>
        <w:tc>
          <w:tcPr>
            <w:tcW w:w="8520" w:type="dxa"/>
            <w:gridSpan w:val="6"/>
            <w:tcBorders>
              <w:top w:val="single" w:color="auto" w:sz="12" w:space="0"/>
              <w:left w:val="single" w:color="auto" w:sz="12" w:space="0"/>
              <w:bottom w:val="single" w:color="auto" w:sz="4" w:space="0"/>
              <w:right w:val="single" w:color="000000" w:sz="12" w:space="0"/>
            </w:tcBorders>
            <w:shd w:val="clear" w:color="auto" w:fill="auto"/>
            <w:vAlign w:val="center"/>
          </w:tcPr>
          <w:p>
            <w:pPr>
              <w:spacing w:line="560" w:lineRule="exact"/>
              <w:ind w:firstLine="375"/>
              <w:rPr>
                <w:rFonts w:ascii="宋体" w:hAnsi="宋体"/>
                <w:b/>
              </w:rPr>
            </w:pPr>
            <w:r>
              <w:rPr>
                <w:rFonts w:ascii="宋体" w:hAnsi="宋体"/>
                <w:b/>
              </w:rPr>
              <w:t>1</w:t>
            </w:r>
            <w:r>
              <w:rPr>
                <w:rFonts w:hint="eastAsia" w:ascii="宋体" w:hAnsi="宋体"/>
                <w:b/>
              </w:rPr>
              <w:t>．申请机构信息</w:t>
            </w:r>
          </w:p>
        </w:tc>
      </w:tr>
      <w:tr>
        <w:tblPrEx>
          <w:tblCellMar>
            <w:top w:w="0" w:type="dxa"/>
            <w:left w:w="108" w:type="dxa"/>
            <w:bottom w:w="0" w:type="dxa"/>
            <w:right w:w="108" w:type="dxa"/>
          </w:tblCellMar>
        </w:tblPrEx>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单位全称</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组织机构代码（编码）</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通信地址</w:t>
            </w:r>
          </w:p>
        </w:tc>
        <w:tc>
          <w:tcPr>
            <w:tcW w:w="3685" w:type="dxa"/>
            <w:gridSpan w:val="3"/>
            <w:tcBorders>
              <w:top w:val="single" w:color="auto" w:sz="4" w:space="0"/>
              <w:left w:val="nil"/>
              <w:bottom w:val="single" w:color="auto" w:sz="4" w:space="0"/>
              <w:right w:val="single" w:color="auto" w:sz="4" w:space="0"/>
            </w:tcBorders>
            <w:shd w:val="clear" w:color="auto" w:fill="auto"/>
            <w:vAlign w:val="center"/>
          </w:tcPr>
          <w:p>
            <w:pPr>
              <w:spacing w:line="560" w:lineRule="exact"/>
              <w:rPr>
                <w:rFonts w:ascii="宋体" w:hAnsi="宋体"/>
              </w:rPr>
            </w:pPr>
          </w:p>
        </w:tc>
        <w:tc>
          <w:tcPr>
            <w:tcW w:w="1257"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邮编</w:t>
            </w:r>
          </w:p>
        </w:tc>
        <w:tc>
          <w:tcPr>
            <w:tcW w:w="2126" w:type="dxa"/>
            <w:tcBorders>
              <w:top w:val="nil"/>
              <w:left w:val="nil"/>
              <w:bottom w:val="single" w:color="auto" w:sz="4" w:space="0"/>
              <w:right w:val="single" w:color="auto"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c>
          <w:tcPr>
            <w:tcW w:w="1452" w:type="dxa"/>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联系人</w:t>
            </w:r>
          </w:p>
        </w:tc>
        <w:tc>
          <w:tcPr>
            <w:tcW w:w="831" w:type="dxa"/>
            <w:tcBorders>
              <w:top w:val="single" w:color="auto" w:sz="4" w:space="0"/>
              <w:left w:val="nil"/>
              <w:bottom w:val="single" w:color="auto" w:sz="4" w:space="0"/>
              <w:right w:val="single" w:color="auto" w:sz="4" w:space="0"/>
            </w:tcBorders>
            <w:shd w:val="clear" w:color="auto" w:fill="auto"/>
            <w:vAlign w:val="center"/>
          </w:tcPr>
          <w:p>
            <w:pPr>
              <w:spacing w:line="560" w:lineRule="exact"/>
              <w:rPr>
                <w:rFonts w:ascii="宋体" w:hAnsi="宋体"/>
              </w:rPr>
            </w:pPr>
          </w:p>
        </w:tc>
        <w:tc>
          <w:tcPr>
            <w:tcW w:w="1276"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联系电话</w:t>
            </w:r>
          </w:p>
        </w:tc>
        <w:tc>
          <w:tcPr>
            <w:tcW w:w="1578" w:type="dxa"/>
            <w:tcBorders>
              <w:top w:val="single" w:color="auto" w:sz="4" w:space="0"/>
              <w:left w:val="nil"/>
              <w:bottom w:val="single" w:color="auto" w:sz="4" w:space="0"/>
              <w:right w:val="single" w:color="000000" w:sz="4" w:space="0"/>
            </w:tcBorders>
            <w:shd w:val="clear" w:color="auto" w:fill="auto"/>
            <w:vAlign w:val="center"/>
          </w:tcPr>
          <w:p>
            <w:pPr>
              <w:spacing w:line="560" w:lineRule="exact"/>
              <w:rPr>
                <w:rFonts w:ascii="宋体" w:hAnsi="宋体"/>
              </w:rPr>
            </w:pPr>
          </w:p>
        </w:tc>
        <w:tc>
          <w:tcPr>
            <w:tcW w:w="1257" w:type="dxa"/>
            <w:tcBorders>
              <w:top w:val="nil"/>
              <w:left w:val="nil"/>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电子邮箱</w:t>
            </w:r>
          </w:p>
        </w:tc>
        <w:tc>
          <w:tcPr>
            <w:tcW w:w="2126" w:type="dxa"/>
            <w:tcBorders>
              <w:top w:val="nil"/>
              <w:left w:val="nil"/>
              <w:bottom w:val="single" w:color="auto" w:sz="4" w:space="0"/>
              <w:right w:val="single" w:color="auto"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c>
          <w:tcPr>
            <w:tcW w:w="8520" w:type="dxa"/>
            <w:gridSpan w:val="6"/>
            <w:tcBorders>
              <w:top w:val="single" w:color="auto" w:sz="12" w:space="0"/>
              <w:left w:val="single" w:color="auto" w:sz="12" w:space="0"/>
              <w:bottom w:val="single" w:color="auto" w:sz="4" w:space="0"/>
              <w:right w:val="single" w:color="000000" w:sz="12" w:space="0"/>
            </w:tcBorders>
            <w:shd w:val="clear" w:color="auto" w:fill="auto"/>
            <w:vAlign w:val="center"/>
          </w:tcPr>
          <w:p>
            <w:pPr>
              <w:spacing w:line="560" w:lineRule="exact"/>
              <w:ind w:firstLine="375"/>
              <w:rPr>
                <w:rFonts w:ascii="宋体" w:hAnsi="宋体"/>
                <w:b/>
              </w:rPr>
            </w:pPr>
            <w:r>
              <w:rPr>
                <w:rFonts w:ascii="宋体" w:hAnsi="宋体"/>
                <w:b/>
              </w:rPr>
              <w:t>2</w:t>
            </w:r>
            <w:r>
              <w:rPr>
                <w:rFonts w:hint="eastAsia" w:ascii="宋体" w:hAnsi="宋体"/>
                <w:b/>
              </w:rPr>
              <w:t>．证书业务申请</w:t>
            </w:r>
          </w:p>
        </w:tc>
      </w:tr>
      <w:tr>
        <w:tblPrEx>
          <w:tblCellMar>
            <w:top w:w="0" w:type="dxa"/>
            <w:left w:w="108" w:type="dxa"/>
            <w:bottom w:w="0" w:type="dxa"/>
            <w:right w:w="108" w:type="dxa"/>
          </w:tblCellMar>
        </w:tblPrEx>
        <w:tc>
          <w:tcPr>
            <w:tcW w:w="1452" w:type="dxa"/>
            <w:vMerge w:val="restart"/>
            <w:tcBorders>
              <w:top w:val="nil"/>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变更类型</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ind w:firstLine="375"/>
              <w:rPr>
                <w:rFonts w:ascii="宋体" w:hAnsi="宋体"/>
              </w:rPr>
            </w:pPr>
            <w:r>
              <w:rPr>
                <w:rFonts w:hint="eastAsia" w:ascii="宋体" w:hAnsi="宋体"/>
              </w:rPr>
              <w:t xml:space="preserve">□证书更新    □证书延期      </w:t>
            </w:r>
            <w:r>
              <w:rPr>
                <w:rFonts w:hint="eastAsia" w:ascii="宋体" w:hAnsi="宋体"/>
              </w:rPr>
              <w:sym w:font="Wingdings 2" w:char="00A3"/>
            </w:r>
            <w:r>
              <w:rPr>
                <w:rFonts w:hint="eastAsia" w:ascii="宋体" w:hAnsi="宋体"/>
              </w:rPr>
              <w:t xml:space="preserve">证书补办 </w:t>
            </w:r>
          </w:p>
        </w:tc>
      </w:tr>
      <w:tr>
        <w:tblPrEx>
          <w:tblCellMar>
            <w:top w:w="0" w:type="dxa"/>
            <w:left w:w="108" w:type="dxa"/>
            <w:bottom w:w="0" w:type="dxa"/>
            <w:right w:w="108" w:type="dxa"/>
          </w:tblCellMar>
        </w:tblPrEx>
        <w:tc>
          <w:tcPr>
            <w:tcW w:w="1452" w:type="dxa"/>
            <w:vMerge w:val="continue"/>
            <w:tcBorders>
              <w:top w:val="nil"/>
              <w:left w:val="single" w:color="auto" w:sz="12" w:space="0"/>
              <w:bottom w:val="single" w:color="auto" w:sz="4" w:space="0"/>
              <w:right w:val="single" w:color="auto" w:sz="4" w:space="0"/>
            </w:tcBorders>
            <w:vAlign w:val="center"/>
          </w:tcPr>
          <w:p>
            <w:pPr>
              <w:spacing w:line="560" w:lineRule="exact"/>
              <w:ind w:firstLine="375"/>
              <w:rPr>
                <w:rFonts w:ascii="宋体" w:hAnsi="宋体"/>
              </w:rPr>
            </w:pP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ind w:firstLine="375"/>
              <w:rPr>
                <w:rFonts w:ascii="宋体" w:hAnsi="宋体"/>
              </w:rPr>
            </w:pPr>
            <w:r>
              <w:rPr>
                <w:rFonts w:hint="eastAsia" w:ascii="宋体" w:hAnsi="宋体"/>
              </w:rPr>
              <w:t>□证书冻结     □证书解冻     □证书注销</w:t>
            </w:r>
          </w:p>
        </w:tc>
      </w:tr>
      <w:tr>
        <w:tblPrEx>
          <w:tblCellMar>
            <w:top w:w="0" w:type="dxa"/>
            <w:left w:w="108" w:type="dxa"/>
            <w:bottom w:w="0" w:type="dxa"/>
            <w:right w:w="108" w:type="dxa"/>
          </w:tblCellMar>
        </w:tblPrEx>
        <w:tc>
          <w:tcPr>
            <w:tcW w:w="1452" w:type="dxa"/>
            <w:tcBorders>
              <w:top w:val="single" w:color="auto" w:sz="4" w:space="0"/>
              <w:left w:val="single" w:color="auto" w:sz="12" w:space="0"/>
              <w:bottom w:val="single" w:color="auto" w:sz="4" w:space="0"/>
              <w:right w:val="single" w:color="auto" w:sz="4" w:space="0"/>
            </w:tcBorders>
            <w:shd w:val="clear" w:color="auto" w:fill="auto"/>
            <w:vAlign w:val="center"/>
          </w:tcPr>
          <w:p>
            <w:pPr>
              <w:spacing w:line="560" w:lineRule="exact"/>
              <w:rPr>
                <w:rFonts w:ascii="宋体" w:hAnsi="宋体"/>
                <w:b/>
              </w:rPr>
            </w:pPr>
            <w:r>
              <w:rPr>
                <w:rFonts w:hint="eastAsia" w:ascii="宋体" w:hAnsi="宋体"/>
                <w:b/>
              </w:rPr>
              <w:t>变更理由</w:t>
            </w:r>
          </w:p>
        </w:tc>
        <w:tc>
          <w:tcPr>
            <w:tcW w:w="7068" w:type="dxa"/>
            <w:gridSpan w:val="5"/>
            <w:tcBorders>
              <w:top w:val="single" w:color="auto" w:sz="4" w:space="0"/>
              <w:left w:val="nil"/>
              <w:bottom w:val="single" w:color="auto" w:sz="4" w:space="0"/>
              <w:right w:val="single" w:color="000000" w:sz="12" w:space="0"/>
            </w:tcBorders>
            <w:shd w:val="clear" w:color="auto" w:fill="auto"/>
            <w:vAlign w:val="center"/>
          </w:tcPr>
          <w:p>
            <w:pPr>
              <w:spacing w:line="560" w:lineRule="exact"/>
              <w:rPr>
                <w:rFonts w:ascii="宋体" w:hAnsi="宋体"/>
              </w:rPr>
            </w:pP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ind w:firstLine="375"/>
              <w:rPr>
                <w:rFonts w:ascii="宋体" w:hAnsi="宋体"/>
                <w:b/>
              </w:rPr>
            </w:pPr>
            <w:r>
              <w:rPr>
                <w:rFonts w:hint="eastAsia" w:ascii="宋体" w:hAnsi="宋体"/>
                <w:b/>
              </w:rPr>
              <w:t>3．申请单位审核意见</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申请单位签字（盖章）：</w:t>
            </w:r>
          </w:p>
          <w:p>
            <w:pPr>
              <w:spacing w:line="560" w:lineRule="exact"/>
              <w:ind w:firstLine="2160" w:firstLineChars="900"/>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年    月    日</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ind w:firstLine="375"/>
              <w:rPr>
                <w:rFonts w:ascii="宋体" w:hAnsi="宋体"/>
                <w:b/>
              </w:rPr>
            </w:pPr>
            <w:r>
              <w:rPr>
                <w:rFonts w:hint="eastAsia" w:ascii="宋体" w:hAnsi="宋体"/>
                <w:b/>
              </w:rPr>
              <w:t>4．技术部</w:t>
            </w:r>
            <w:r>
              <w:rPr>
                <w:rFonts w:ascii="宋体" w:hAnsi="宋体"/>
                <w:b/>
              </w:rPr>
              <w:t>意见</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录入员签字：</w:t>
            </w:r>
          </w:p>
          <w:p>
            <w:pPr>
              <w:spacing w:line="560" w:lineRule="exact"/>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年  </w:t>
            </w:r>
            <w:r>
              <w:rPr>
                <w:rFonts w:ascii="宋体" w:hAnsi="宋体"/>
              </w:rPr>
              <w:t xml:space="preserve"> </w:t>
            </w:r>
            <w:r>
              <w:rPr>
                <w:rFonts w:hint="eastAsia" w:ascii="宋体" w:hAnsi="宋体"/>
              </w:rPr>
              <w:t xml:space="preserve">  月    日</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center"/>
          </w:tcPr>
          <w:p>
            <w:pPr>
              <w:spacing w:line="560" w:lineRule="exact"/>
              <w:ind w:firstLine="375"/>
              <w:rPr>
                <w:rFonts w:ascii="宋体" w:hAnsi="宋体"/>
                <w:b/>
              </w:rPr>
            </w:pPr>
            <w:r>
              <w:rPr>
                <w:rFonts w:hint="eastAsia" w:ascii="宋体" w:hAnsi="宋体"/>
                <w:b/>
              </w:rPr>
              <w:t>5</w:t>
            </w:r>
            <w:r>
              <w:rPr>
                <w:rFonts w:ascii="宋体" w:hAnsi="宋体"/>
                <w:b/>
              </w:rPr>
              <w:t>．</w:t>
            </w:r>
            <w:r>
              <w:rPr>
                <w:rFonts w:hint="eastAsia" w:ascii="宋体" w:hAnsi="宋体"/>
                <w:b/>
              </w:rPr>
              <w:t>办公室复核意见</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bottom"/>
          </w:tcPr>
          <w:p>
            <w:pPr>
              <w:spacing w:line="560" w:lineRule="exact"/>
              <w:rPr>
                <w:rFonts w:ascii="宋体" w:hAnsi="宋体"/>
              </w:rPr>
            </w:pPr>
            <w:r>
              <w:rPr>
                <w:rFonts w:hint="eastAsia" w:ascii="宋体" w:hAnsi="宋体"/>
              </w:rPr>
              <w:t>审核员签字：</w:t>
            </w:r>
          </w:p>
          <w:p>
            <w:pPr>
              <w:spacing w:line="560" w:lineRule="exact"/>
              <w:ind w:left="840" w:hanging="840" w:hangingChars="350"/>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年    月    日</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vAlign w:val="center"/>
          </w:tcPr>
          <w:p>
            <w:pPr>
              <w:spacing w:line="560" w:lineRule="exact"/>
              <w:ind w:firstLine="375"/>
              <w:rPr>
                <w:rFonts w:ascii="宋体" w:hAnsi="宋体"/>
                <w:b/>
              </w:rPr>
            </w:pPr>
            <w:r>
              <w:rPr>
                <w:rFonts w:ascii="宋体" w:hAnsi="宋体"/>
                <w:b/>
              </w:rPr>
              <w:t>6</w:t>
            </w:r>
            <w:r>
              <w:rPr>
                <w:rFonts w:hint="eastAsia" w:ascii="宋体" w:hAnsi="宋体"/>
                <w:b/>
              </w:rPr>
              <w:t>．证书变更结果</w:t>
            </w:r>
          </w:p>
        </w:tc>
      </w:tr>
      <w:tr>
        <w:tblPrEx>
          <w:tblCellMar>
            <w:top w:w="0" w:type="dxa"/>
            <w:left w:w="108" w:type="dxa"/>
            <w:bottom w:w="0" w:type="dxa"/>
            <w:right w:w="108" w:type="dxa"/>
          </w:tblCellMar>
        </w:tblPrEx>
        <w:tc>
          <w:tcPr>
            <w:tcW w:w="8520" w:type="dxa"/>
            <w:gridSpan w:val="6"/>
            <w:tcBorders>
              <w:top w:val="single" w:color="auto" w:sz="4" w:space="0"/>
              <w:left w:val="single" w:color="auto" w:sz="12" w:space="0"/>
              <w:bottom w:val="single" w:color="000000" w:sz="12" w:space="0"/>
              <w:right w:val="single" w:color="000000" w:sz="12" w:space="0"/>
            </w:tcBorders>
          </w:tcPr>
          <w:p>
            <w:pPr>
              <w:spacing w:line="560" w:lineRule="exact"/>
              <w:ind w:firstLine="480" w:firstLineChars="200"/>
              <w:rPr>
                <w:rFonts w:ascii="宋体" w:hAnsi="宋体"/>
              </w:rPr>
            </w:pPr>
            <w:r>
              <w:rPr>
                <w:rFonts w:ascii="宋体" w:hAnsi="宋体"/>
              </w:rPr>
              <w:t xml:space="preserve">□ </w:t>
            </w:r>
            <w:r>
              <w:rPr>
                <w:rFonts w:hint="eastAsia" w:ascii="宋体" w:hAnsi="宋体"/>
              </w:rPr>
              <w:t>单位数字证书变更完成</w:t>
            </w:r>
          </w:p>
          <w:p>
            <w:pPr>
              <w:spacing w:line="560" w:lineRule="exact"/>
              <w:ind w:firstLine="480" w:firstLineChars="200"/>
              <w:rPr>
                <w:rFonts w:ascii="宋体" w:hAnsi="宋体"/>
              </w:rPr>
            </w:pPr>
            <w:r>
              <w:rPr>
                <w:rFonts w:ascii="宋体" w:hAnsi="宋体"/>
              </w:rPr>
              <w:t xml:space="preserve">□ </w:t>
            </w:r>
            <w:r>
              <w:rPr>
                <w:rFonts w:hint="eastAsia" w:ascii="宋体" w:hAnsi="宋体"/>
              </w:rPr>
              <w:t>单位数字证书变更失败</w:t>
            </w:r>
            <w:r>
              <w:rPr>
                <w:rFonts w:ascii="宋体" w:hAnsi="宋体"/>
              </w:rPr>
              <w:t>，原因是：</w:t>
            </w:r>
          </w:p>
          <w:p>
            <w:pPr>
              <w:spacing w:line="560" w:lineRule="exact"/>
              <w:ind w:left="840" w:hanging="840" w:hangingChars="350"/>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   年    月    日</w:t>
            </w:r>
          </w:p>
        </w:tc>
      </w:tr>
    </w:tbl>
    <w:p>
      <w:pPr>
        <w:pStyle w:val="4"/>
        <w:adjustRightInd w:val="0"/>
        <w:snapToGrid w:val="0"/>
        <w:spacing w:before="0" w:after="0" w:line="560" w:lineRule="exact"/>
        <w:rPr>
          <w:rFonts w:ascii="宋体" w:hAnsi="宋体" w:cs="仿宋_GB2312"/>
          <w:kern w:val="0"/>
          <w:sz w:val="30"/>
          <w:szCs w:val="30"/>
        </w:rPr>
      </w:pPr>
      <w:r>
        <w:br w:type="page"/>
      </w:r>
      <w:r>
        <w:rPr>
          <w:rFonts w:hint="eastAsia" w:ascii="仿宋" w:hAnsi="仿宋" w:eastAsia="仿宋" w:cs="仿宋"/>
          <w:sz w:val="28"/>
          <w:szCs w:val="28"/>
        </w:rPr>
        <w:t>7. 保单登记平台对接联系人信息表</w:t>
      </w:r>
    </w:p>
    <w:tbl>
      <w:tblPr>
        <w:tblStyle w:val="39"/>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122"/>
        <w:gridCol w:w="1559"/>
        <w:gridCol w:w="1559"/>
        <w:gridCol w:w="1559"/>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60" w:hRule="atLeast"/>
        </w:trPr>
        <w:tc>
          <w:tcPr>
            <w:tcW w:w="8647" w:type="dxa"/>
            <w:gridSpan w:val="5"/>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保险机构全称：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60" w:hRule="atLeast"/>
        </w:trPr>
        <w:tc>
          <w:tcPr>
            <w:tcW w:w="8647" w:type="dxa"/>
            <w:gridSpan w:val="5"/>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保险机构代码：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8647" w:type="dxa"/>
            <w:gridSpan w:val="5"/>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公司类别：</w:t>
            </w:r>
            <w:r>
              <w:rPr>
                <w:rFonts w:ascii="仿宋_GB2312" w:hAnsi="等线" w:eastAsia="仿宋_GB2312" w:cs="宋体"/>
                <w:color w:val="000000"/>
                <w:kern w:val="0"/>
                <w:sz w:val="28"/>
                <w:szCs w:val="32"/>
              </w:rPr>
              <w:object>
                <v:shape id="_x0000_i1030" o:spt="201" alt="" type="#_x0000_t201" style="height:19.5pt;width:113.25pt;" o:ole="t" filled="f" o:preferrelative="t" stroked="f" coordsize="21600,21600">
                  <v:path/>
                  <v:fill on="f" focussize="0,0"/>
                  <v:stroke on="f"/>
                  <v:imagedata r:id="rId32" o:title=""/>
                  <o:lock v:ext="edit" aspectratio="t"/>
                  <w10:wrap type="none"/>
                  <w10:anchorlock/>
                </v:shape>
                <w:control r:id="rId31" w:name="OptionButton11" w:shapeid="_x0000_i1030"/>
              </w:object>
            </w:r>
            <w:r>
              <w:rPr>
                <w:rFonts w:hint="eastAsia" w:ascii="仿宋_GB2312" w:hAnsi="等线" w:eastAsia="仿宋_GB2312" w:cs="宋体"/>
                <w:color w:val="000000"/>
                <w:kern w:val="0"/>
                <w:sz w:val="28"/>
                <w:szCs w:val="32"/>
              </w:rPr>
              <w:t xml:space="preserve"> </w:t>
            </w:r>
            <w:r>
              <w:rPr>
                <w:rFonts w:ascii="仿宋_GB2312" w:hAnsi="等线" w:eastAsia="仿宋_GB2312" w:cs="宋体"/>
                <w:color w:val="000000"/>
                <w:kern w:val="0"/>
                <w:sz w:val="28"/>
                <w:szCs w:val="32"/>
              </w:rPr>
              <w:object>
                <v:shape id="_x0000_i1031" o:spt="201" alt="" type="#_x0000_t201" style="height:19.5pt;width:108pt;" o:ole="t" filled="f" o:preferrelative="t" stroked="f" coordsize="21600,21600">
                  <v:path/>
                  <v:fill on="f" focussize="0,0"/>
                  <v:stroke on="f"/>
                  <v:imagedata r:id="rId34" o:title=""/>
                  <o:lock v:ext="edit" aspectratio="t"/>
                  <w10:wrap type="none"/>
                  <w10:anchorlock/>
                </v:shape>
                <w:control r:id="rId33" w:name="OptionButton22" w:shapeid="_x0000_i1031"/>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60" w:hRule="atLeast"/>
        </w:trPr>
        <w:tc>
          <w:tcPr>
            <w:tcW w:w="2122"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角色</w:t>
            </w:r>
          </w:p>
        </w:tc>
        <w:tc>
          <w:tcPr>
            <w:tcW w:w="1559"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姓名</w:t>
            </w:r>
          </w:p>
        </w:tc>
        <w:tc>
          <w:tcPr>
            <w:tcW w:w="1559"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办公电话</w:t>
            </w:r>
          </w:p>
        </w:tc>
        <w:tc>
          <w:tcPr>
            <w:tcW w:w="1559"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手机号码</w:t>
            </w:r>
          </w:p>
        </w:tc>
        <w:tc>
          <w:tcPr>
            <w:tcW w:w="1848" w:type="dxa"/>
          </w:tcPr>
          <w:p>
            <w:pPr>
              <w:widowControl/>
              <w:spacing w:line="560" w:lineRule="exac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0" w:hRule="atLeast"/>
        </w:trPr>
        <w:tc>
          <w:tcPr>
            <w:tcW w:w="2122" w:type="dxa"/>
          </w:tcPr>
          <w:p>
            <w:pPr>
              <w:widowControl/>
              <w:spacing w:line="560" w:lineRule="exact"/>
              <w:jc w:val="left"/>
              <w:rPr>
                <w:rFonts w:ascii="仿宋_GB2312" w:hAnsi="等线" w:eastAsia="仿宋_GB2312" w:cs="宋体"/>
                <w:color w:val="000000"/>
                <w:kern w:val="0"/>
                <w:sz w:val="28"/>
                <w:szCs w:val="32"/>
                <w:vertAlign w:val="superscript"/>
              </w:rPr>
            </w:pPr>
            <w:r>
              <w:rPr>
                <w:rFonts w:hint="eastAsia" w:ascii="仿宋_GB2312" w:hAnsi="等线" w:eastAsia="仿宋_GB2312" w:cs="宋体"/>
                <w:color w:val="000000"/>
                <w:kern w:val="0"/>
                <w:sz w:val="28"/>
                <w:szCs w:val="32"/>
              </w:rPr>
              <w:t>业务对接人</w:t>
            </w: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848" w:type="dxa"/>
          </w:tcPr>
          <w:p>
            <w:pPr>
              <w:widowControl/>
              <w:spacing w:line="560" w:lineRule="exact"/>
              <w:rPr>
                <w:rFonts w:ascii="仿宋_GB2312" w:hAnsi="等线" w:eastAsia="仿宋_GB2312" w:cs="宋体"/>
                <w:color w:val="000000"/>
                <w:kern w:val="0"/>
                <w:sz w:val="28"/>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8" w:hRule="atLeast"/>
        </w:trPr>
        <w:tc>
          <w:tcPr>
            <w:tcW w:w="2122" w:type="dxa"/>
            <w:vAlign w:val="center"/>
          </w:tcPr>
          <w:p>
            <w:pPr>
              <w:widowControl/>
              <w:spacing w:line="560" w:lineRule="exact"/>
              <w:ind w:firstLine="280" w:firstLineChars="100"/>
              <w:jc w:val="left"/>
              <w:rPr>
                <w:rFonts w:ascii="仿宋_GB2312" w:hAnsi="等线" w:eastAsia="仿宋_GB2312" w:cs="宋体"/>
                <w:color w:val="000000"/>
                <w:kern w:val="0"/>
                <w:sz w:val="28"/>
                <w:szCs w:val="32"/>
                <w:vertAlign w:val="superscript"/>
              </w:rPr>
            </w:pPr>
            <w:r>
              <w:rPr>
                <w:rFonts w:hint="eastAsia" w:ascii="仿宋_GB2312" w:hAnsi="等线" w:eastAsia="仿宋_GB2312" w:cs="宋体"/>
                <w:color w:val="000000"/>
                <w:kern w:val="0"/>
                <w:sz w:val="28"/>
                <w:szCs w:val="32"/>
              </w:rPr>
              <w:t>技术对接人</w:t>
            </w: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848" w:type="dxa"/>
          </w:tcPr>
          <w:p>
            <w:pPr>
              <w:widowControl/>
              <w:spacing w:line="560" w:lineRule="exact"/>
              <w:rPr>
                <w:rFonts w:ascii="仿宋_GB2312" w:hAnsi="等线" w:eastAsia="仿宋_GB2312" w:cs="宋体"/>
                <w:color w:val="000000"/>
                <w:kern w:val="0"/>
                <w:sz w:val="28"/>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5" w:hRule="atLeast"/>
        </w:trPr>
        <w:tc>
          <w:tcPr>
            <w:tcW w:w="2122" w:type="dxa"/>
          </w:tcPr>
          <w:p>
            <w:pPr>
              <w:widowControl/>
              <w:spacing w:line="560" w:lineRule="exact"/>
              <w:jc w:val="left"/>
              <w:rPr>
                <w:rFonts w:ascii="仿宋_GB2312" w:hAnsi="等线" w:eastAsia="仿宋_GB2312" w:cs="宋体"/>
                <w:color w:val="000000"/>
                <w:kern w:val="0"/>
                <w:sz w:val="28"/>
                <w:szCs w:val="32"/>
              </w:rPr>
            </w:pPr>
            <w:r>
              <w:rPr>
                <w:rFonts w:hint="eastAsia" w:ascii="仿宋_GB2312" w:hAnsi="等线" w:eastAsia="仿宋_GB2312" w:cs="宋体"/>
                <w:color w:val="000000"/>
                <w:kern w:val="0"/>
                <w:sz w:val="28"/>
                <w:szCs w:val="32"/>
              </w:rPr>
              <w:t>具体数据报送工作人员</w:t>
            </w: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559" w:type="dxa"/>
          </w:tcPr>
          <w:p>
            <w:pPr>
              <w:widowControl/>
              <w:spacing w:line="560" w:lineRule="exact"/>
              <w:rPr>
                <w:rFonts w:ascii="仿宋_GB2312" w:hAnsi="等线" w:eastAsia="仿宋_GB2312" w:cs="宋体"/>
                <w:color w:val="000000"/>
                <w:kern w:val="0"/>
                <w:sz w:val="28"/>
                <w:szCs w:val="32"/>
              </w:rPr>
            </w:pPr>
          </w:p>
        </w:tc>
        <w:tc>
          <w:tcPr>
            <w:tcW w:w="1848" w:type="dxa"/>
          </w:tcPr>
          <w:p>
            <w:pPr>
              <w:widowControl/>
              <w:spacing w:line="560" w:lineRule="exact"/>
              <w:rPr>
                <w:rFonts w:ascii="仿宋_GB2312" w:hAnsi="等线" w:eastAsia="仿宋_GB2312" w:cs="宋体"/>
                <w:color w:val="000000"/>
                <w:kern w:val="0"/>
                <w:sz w:val="28"/>
                <w:szCs w:val="32"/>
              </w:rPr>
            </w:pPr>
          </w:p>
        </w:tc>
      </w:tr>
    </w:tbl>
    <w:p>
      <w:pPr>
        <w:spacing w:line="560" w:lineRule="exact"/>
        <w:rPr>
          <w:b/>
        </w:rPr>
      </w:pPr>
      <w:r>
        <w:rPr>
          <w:rFonts w:hint="eastAsia"/>
          <w:b/>
        </w:rPr>
        <w:t>填写说明：</w:t>
      </w:r>
    </w:p>
    <w:p>
      <w:pPr>
        <w:spacing w:line="560" w:lineRule="exact"/>
      </w:pPr>
      <w:r>
        <w:rPr>
          <w:rFonts w:hint="eastAsia"/>
        </w:rPr>
        <w:t>1.保险机构代码指保监会保险机构与高管人员管理系统的机构代码；</w:t>
      </w:r>
    </w:p>
    <w:p>
      <w:pPr>
        <w:spacing w:line="560" w:lineRule="exact"/>
      </w:pPr>
      <w:r>
        <w:rPr>
          <w:rFonts w:hint="eastAsia"/>
        </w:rPr>
        <w:t>2.保险公司应最低指派三名本公司工作人员为对接人员，如业务对接人、技术对接人及具体数据报送工作人员，外包人员不得做为对接联系人。</w:t>
      </w:r>
    </w:p>
    <w:p>
      <w:pPr>
        <w:spacing w:line="560" w:lineRule="exact"/>
      </w:pPr>
      <w:r>
        <w:br w:type="page"/>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8. 中国保险业保单登记管理信息平台（三期）数据修正申请单</w:t>
      </w:r>
    </w:p>
    <w:tbl>
      <w:tblPr>
        <w:tblStyle w:val="39"/>
        <w:tblW w:w="89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3136"/>
        <w:gridCol w:w="2234"/>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4820" w:type="dxa"/>
            <w:gridSpan w:val="2"/>
            <w:shd w:val="clear" w:color="auto" w:fill="auto"/>
            <w:vAlign w:val="center"/>
          </w:tcPr>
          <w:p>
            <w:pPr>
              <w:spacing w:line="560" w:lineRule="exact"/>
            </w:pPr>
            <w:r>
              <w:rPr>
                <w:rFonts w:hint="eastAsia"/>
                <w:b/>
              </w:rPr>
              <w:t>申请单号（公司编码+3位流水号）</w:t>
            </w:r>
          </w:p>
        </w:tc>
        <w:tc>
          <w:tcPr>
            <w:tcW w:w="4109" w:type="dxa"/>
            <w:gridSpan w:val="2"/>
            <w:shd w:val="clear" w:color="auto" w:fill="auto"/>
            <w:vAlign w:val="center"/>
          </w:tcPr>
          <w:p>
            <w:pPr>
              <w:spacing w:line="560" w:lineRule="exact"/>
            </w:pPr>
            <w:r>
              <w:rPr>
                <w:rFonts w:hint="eastAsia"/>
              </w:rPr>
              <w:t>000</w:t>
            </w:r>
            <w:r>
              <w:t>XXX</w:t>
            </w:r>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684" w:type="dxa"/>
            <w:vMerge w:val="restart"/>
            <w:shd w:val="clear" w:color="auto" w:fill="auto"/>
            <w:vAlign w:val="center"/>
          </w:tcPr>
          <w:p>
            <w:pPr>
              <w:spacing w:line="560" w:lineRule="exact"/>
              <w:rPr>
                <w:b/>
              </w:rPr>
            </w:pPr>
            <w:r>
              <w:rPr>
                <w:rFonts w:hint="eastAsia"/>
                <w:b/>
              </w:rPr>
              <w:t>保险公司名称</w:t>
            </w:r>
          </w:p>
        </w:tc>
        <w:tc>
          <w:tcPr>
            <w:tcW w:w="3136" w:type="dxa"/>
            <w:vMerge w:val="restart"/>
            <w:shd w:val="clear" w:color="auto" w:fill="auto"/>
            <w:vAlign w:val="center"/>
          </w:tcPr>
          <w:p>
            <w:pPr>
              <w:spacing w:line="560" w:lineRule="exact"/>
            </w:pPr>
            <w:r>
              <w:rPr>
                <w:rFonts w:hint="eastAsia"/>
              </w:rPr>
              <w:t>(填写公司全称)</w:t>
            </w:r>
          </w:p>
        </w:tc>
        <w:tc>
          <w:tcPr>
            <w:tcW w:w="2234" w:type="dxa"/>
            <w:shd w:val="clear" w:color="auto" w:fill="auto"/>
            <w:vAlign w:val="center"/>
          </w:tcPr>
          <w:p>
            <w:pPr>
              <w:spacing w:line="560" w:lineRule="exact"/>
            </w:pPr>
            <w:r>
              <w:rPr>
                <w:rFonts w:hint="eastAsia"/>
                <w:b/>
              </w:rPr>
              <w:t>保险公司</w:t>
            </w:r>
            <w:r>
              <w:rPr>
                <w:b/>
              </w:rPr>
              <w:t>编码</w:t>
            </w:r>
          </w:p>
        </w:tc>
        <w:tc>
          <w:tcPr>
            <w:tcW w:w="1875" w:type="dxa"/>
            <w:shd w:val="clear" w:color="auto" w:fill="auto"/>
            <w:vAlign w:val="center"/>
          </w:tcPr>
          <w:p>
            <w:pPr>
              <w:spacing w:line="560" w:lineRule="exact"/>
            </w:pPr>
            <w:r>
              <w:rPr>
                <w:rFonts w:hint="eastAsia"/>
              </w:rPr>
              <w:t>000XXX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684" w:type="dxa"/>
            <w:vMerge w:val="continue"/>
            <w:shd w:val="clear" w:color="auto" w:fill="auto"/>
            <w:vAlign w:val="center"/>
          </w:tcPr>
          <w:p>
            <w:pPr>
              <w:spacing w:line="560" w:lineRule="exact"/>
              <w:rPr>
                <w:b/>
              </w:rPr>
            </w:pPr>
          </w:p>
        </w:tc>
        <w:tc>
          <w:tcPr>
            <w:tcW w:w="3136" w:type="dxa"/>
            <w:vMerge w:val="continue"/>
            <w:shd w:val="clear" w:color="auto" w:fill="auto"/>
            <w:vAlign w:val="center"/>
          </w:tcPr>
          <w:p>
            <w:pPr>
              <w:spacing w:line="560" w:lineRule="exact"/>
            </w:pPr>
          </w:p>
        </w:tc>
        <w:tc>
          <w:tcPr>
            <w:tcW w:w="2234" w:type="dxa"/>
            <w:shd w:val="clear" w:color="auto" w:fill="auto"/>
            <w:vAlign w:val="center"/>
          </w:tcPr>
          <w:p>
            <w:pPr>
              <w:spacing w:line="560" w:lineRule="exact"/>
              <w:rPr>
                <w:b/>
                <w:caps/>
              </w:rPr>
            </w:pPr>
            <w:r>
              <w:rPr>
                <w:rFonts w:hint="eastAsia"/>
                <w:b/>
                <w:caps/>
              </w:rPr>
              <w:t>申请日期</w:t>
            </w:r>
          </w:p>
        </w:tc>
        <w:tc>
          <w:tcPr>
            <w:tcW w:w="1875" w:type="dxa"/>
            <w:shd w:val="clear" w:color="auto" w:fill="auto"/>
            <w:vAlign w:val="center"/>
          </w:tcPr>
          <w:p>
            <w:pPr>
              <w:spacing w:line="560" w:lineRule="exact"/>
              <w:rPr>
                <w:rFonts w:ascii="宋体" w:hAnsi="宋体"/>
              </w:rPr>
            </w:pPr>
            <w:r>
              <w:rPr>
                <w:rFonts w:ascii="宋体" w:hAnsi="宋体"/>
              </w:rPr>
              <w:t>XXXX</w:t>
            </w:r>
            <w:r>
              <w:rPr>
                <w:rFonts w:hint="eastAsia" w:ascii="宋体" w:hAnsi="宋体"/>
              </w:rPr>
              <w:t>年X月X日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684" w:type="dxa"/>
            <w:shd w:val="clear" w:color="auto" w:fill="auto"/>
            <w:vAlign w:val="center"/>
          </w:tcPr>
          <w:p>
            <w:pPr>
              <w:spacing w:line="560" w:lineRule="exact"/>
              <w:rPr>
                <w:b/>
              </w:rPr>
            </w:pPr>
            <w:r>
              <w:rPr>
                <w:rFonts w:hint="eastAsia"/>
                <w:b/>
              </w:rPr>
              <w:t>修正类型</w:t>
            </w:r>
          </w:p>
        </w:tc>
        <w:tc>
          <w:tcPr>
            <w:tcW w:w="7245" w:type="dxa"/>
            <w:gridSpan w:val="3"/>
            <w:shd w:val="clear" w:color="auto" w:fill="auto"/>
          </w:tcPr>
          <w:p>
            <w:pPr>
              <w:spacing w:line="560" w:lineRule="exact"/>
              <w:rPr>
                <w:szCs w:val="21"/>
              </w:rPr>
            </w:pPr>
            <w:r>
              <w:rPr>
                <w:szCs w:val="21"/>
              </w:rPr>
              <w:object>
                <v:shape id="_x0000_i1032" o:spt="201" alt="" type="#_x0000_t201" style="height:18pt;width:108.75pt;" o:ole="t" filled="f" o:preferrelative="t" stroked="f" coordsize="21600,21600">
                  <v:path/>
                  <v:fill on="f" focussize="0,0"/>
                  <v:stroke on="f"/>
                  <v:imagedata r:id="rId36" o:title=""/>
                  <o:lock v:ext="edit" aspectratio="t"/>
                  <w10:wrap type="none"/>
                  <w10:anchorlock/>
                </v:shape>
                <w:control r:id="rId35" w:name="CheckBox1" w:shapeid="_x0000_i1032"/>
              </w:object>
            </w:r>
            <w:r>
              <w:rPr>
                <w:szCs w:val="21"/>
              </w:rPr>
              <w:object>
                <v:shape id="_x0000_i1033" o:spt="201" alt="" type="#_x0000_t201" style="height:18pt;width:107.25pt;" o:ole="t" filled="f" o:preferrelative="t" stroked="f" coordsize="21600,21600">
                  <v:path/>
                  <v:fill on="f" focussize="0,0"/>
                  <v:stroke on="f"/>
                  <v:imagedata r:id="rId38" o:title=""/>
                  <o:lock v:ext="edit" aspectratio="t"/>
                  <w10:wrap type="none"/>
                  <w10:anchorlock/>
                </v:shape>
                <w:control r:id="rId37" w:name="CheckBox2" w:shapeid="_x0000_i1033"/>
              </w:object>
            </w:r>
            <w:r>
              <w:rPr>
                <w:szCs w:val="21"/>
              </w:rPr>
              <w:object>
                <v:shape id="_x0000_i1034" o:spt="201" alt="" type="#_x0000_t201" style="height:18pt;width:108pt;" o:ole="t" filled="f" o:preferrelative="t" stroked="f" coordsize="21600,21600">
                  <v:path/>
                  <v:fill on="f" focussize="0,0"/>
                  <v:stroke on="f"/>
                  <v:imagedata r:id="rId40" o:title=""/>
                  <o:lock v:ext="edit" aspectratio="t"/>
                  <w10:wrap type="none"/>
                  <w10:anchorlock/>
                </v:shape>
                <w:control r:id="rId39" w:name="CheckBox3" w:shapeid="_x0000_i1034"/>
              </w:object>
            </w:r>
          </w:p>
          <w:p>
            <w:pPr>
              <w:spacing w:line="560" w:lineRule="exact"/>
              <w:rPr>
                <w:szCs w:val="21"/>
              </w:rPr>
            </w:pPr>
            <w:r>
              <w:rPr>
                <w:szCs w:val="21"/>
              </w:rPr>
              <w:object>
                <v:shape id="_x0000_i1035" o:spt="201" alt="" type="#_x0000_t201" style="height:18pt;width:108pt;" o:ole="t" filled="f" o:preferrelative="t" stroked="f" coordsize="21600,21600">
                  <v:path/>
                  <v:fill on="f" focussize="0,0"/>
                  <v:stroke on="f"/>
                  <v:imagedata r:id="rId42" o:title=""/>
                  <o:lock v:ext="edit" aspectratio="t"/>
                  <w10:wrap type="none"/>
                  <w10:anchorlock/>
                </v:shape>
                <w:control r:id="rId41" w:name="CheckBox4" w:shapeid="_x0000_i1035"/>
              </w:object>
            </w:r>
            <w:r>
              <w:rPr>
                <w:szCs w:val="21"/>
              </w:rPr>
              <w:object>
                <v:shape id="_x0000_i1036" o:spt="201" alt="" type="#_x0000_t201" style="height:18pt;width:108pt;" o:ole="t" filled="f" o:preferrelative="t" stroked="f" coordsize="21600,21600">
                  <v:path/>
                  <v:fill on="f" focussize="0,0"/>
                  <v:stroke on="f"/>
                  <v:imagedata r:id="rId44" o:title=""/>
                  <o:lock v:ext="edit" aspectratio="t"/>
                  <w10:wrap type="none"/>
                  <w10:anchorlock/>
                </v:shape>
                <w:control r:id="rId43" w:name="CheckBox7" w:shapeid="_x0000_i1036"/>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1" w:hRule="atLeast"/>
        </w:trPr>
        <w:tc>
          <w:tcPr>
            <w:tcW w:w="1684" w:type="dxa"/>
            <w:shd w:val="clear" w:color="auto" w:fill="auto"/>
            <w:vAlign w:val="center"/>
          </w:tcPr>
          <w:p>
            <w:pPr>
              <w:spacing w:line="560" w:lineRule="exact"/>
              <w:rPr>
                <w:b/>
              </w:rPr>
            </w:pPr>
            <w:r>
              <w:rPr>
                <w:rFonts w:hint="eastAsia"/>
                <w:b/>
              </w:rPr>
              <w:t>修正模块</w:t>
            </w:r>
          </w:p>
        </w:tc>
        <w:tc>
          <w:tcPr>
            <w:tcW w:w="7245" w:type="dxa"/>
            <w:gridSpan w:val="3"/>
            <w:shd w:val="clear" w:color="auto" w:fill="auto"/>
          </w:tcPr>
          <w:p>
            <w:pPr>
              <w:spacing w:line="560" w:lineRule="exact"/>
              <w:rPr>
                <w:szCs w:val="21"/>
              </w:rPr>
            </w:pPr>
            <w:r>
              <w:rPr>
                <w:szCs w:val="21"/>
              </w:rPr>
              <w:object>
                <v:shape id="_x0000_i1037" o:spt="201" alt="" type="#_x0000_t201" style="height:18pt;width:134.25pt;" o:ole="t" filled="f" o:preferrelative="t" stroked="f" coordsize="21600,21600">
                  <v:path/>
                  <v:fill on="f" focussize="0,0"/>
                  <v:stroke on="f"/>
                  <v:imagedata r:id="rId46" o:title=""/>
                  <o:lock v:ext="edit" aspectratio="t"/>
                  <w10:wrap type="none"/>
                  <w10:anchorlock/>
                </v:shape>
                <w:control r:id="rId45" w:name="CheckBox8" w:shapeid="_x0000_i1037"/>
              </w:object>
            </w:r>
            <w:r>
              <w:rPr>
                <w:szCs w:val="21"/>
              </w:rPr>
              <w:object>
                <v:shape id="_x0000_i1038" o:spt="201" alt="" type="#_x0000_t201" style="height:18pt;width:126pt;" o:ole="t" filled="f" o:preferrelative="t" stroked="f" coordsize="21600,21600">
                  <v:path/>
                  <v:fill on="f" focussize="0,0"/>
                  <v:stroke on="f"/>
                  <v:imagedata r:id="rId48" o:title=""/>
                  <o:lock v:ext="edit" aspectratio="t"/>
                  <w10:wrap type="none"/>
                  <w10:anchorlock/>
                </v:shape>
                <w:control r:id="rId47" w:name="CheckBox9" w:shapeid="_x0000_i1038"/>
              </w:object>
            </w:r>
            <w:r>
              <w:rPr>
                <w:szCs w:val="21"/>
              </w:rPr>
              <w:object>
                <v:shape id="_x0000_i1039" o:spt="201" alt="" type="#_x0000_t201" style="height:18pt;width:108pt;" o:ole="t" filled="f" o:preferrelative="t" stroked="f" coordsize="21600,21600">
                  <v:path/>
                  <v:fill on="f" focussize="0,0"/>
                  <v:stroke on="f"/>
                  <v:imagedata r:id="rId50" o:title=""/>
                  <o:lock v:ext="edit" aspectratio="t"/>
                  <w10:wrap type="none"/>
                  <w10:anchorlock/>
                </v:shape>
                <w:control r:id="rId49" w:name="CheckBox10" w:shapeid="_x0000_i1039"/>
              </w:object>
            </w:r>
            <w:r>
              <w:rPr>
                <w:szCs w:val="21"/>
              </w:rPr>
              <w:object>
                <v:shape id="_x0000_i1040" o:spt="201" alt="" type="#_x0000_t201" style="height:18pt;width:134.25pt;" o:ole="t" filled="f" o:preferrelative="t" stroked="f" coordsize="21600,21600">
                  <v:path/>
                  <v:fill on="f" focussize="0,0"/>
                  <v:stroke on="f"/>
                  <v:imagedata r:id="rId52" o:title=""/>
                  <o:lock v:ext="edit" aspectratio="t"/>
                  <w10:wrap type="none"/>
                  <w10:anchorlock/>
                </v:shape>
                <w:control r:id="rId51" w:name="CheckBox11" w:shapeid="_x0000_i1040"/>
              </w:object>
            </w:r>
            <w:r>
              <w:rPr>
                <w:szCs w:val="21"/>
              </w:rPr>
              <w:object>
                <v:shape id="_x0000_i1041" o:spt="201" alt="" type="#_x0000_t201" style="height:18pt;width:126pt;" o:ole="t" filled="f" o:preferrelative="t" stroked="f" coordsize="21600,21600">
                  <v:path/>
                  <v:fill on="f" focussize="0,0"/>
                  <v:stroke on="f"/>
                  <v:imagedata r:id="rId54" o:title=""/>
                  <o:lock v:ext="edit" aspectratio="t"/>
                  <w10:wrap type="none"/>
                  <w10:anchorlock/>
                </v:shape>
                <w:control r:id="rId53" w:name="CheckBox12" w:shapeid="_x0000_i1041"/>
              </w:object>
            </w:r>
            <w:r>
              <w:rPr>
                <w:szCs w:val="21"/>
              </w:rPr>
              <w:object>
                <v:shape id="_x0000_i1042" o:spt="201" alt="" type="#_x0000_t201" style="height:18pt;width:108pt;" o:ole="t" filled="f" o:preferrelative="t" stroked="f" coordsize="21600,21600">
                  <v:path/>
                  <v:fill on="f" focussize="0,0"/>
                  <v:stroke on="f"/>
                  <v:imagedata r:id="rId56" o:title=""/>
                  <o:lock v:ext="edit" aspectratio="t"/>
                  <w10:wrap type="none"/>
                  <w10:anchorlock/>
                </v:shape>
                <w:control r:id="rId55" w:name="CheckBox13" w:shapeid="_x0000_i1042"/>
              </w:object>
            </w:r>
            <w:r>
              <w:rPr>
                <w:szCs w:val="21"/>
              </w:rPr>
              <w:object>
                <v:shape id="_x0000_i1043" o:spt="201" alt="" type="#_x0000_t201" style="height:18pt;width:134.25pt;" o:ole="t" filled="f" o:preferrelative="t" stroked="f" coordsize="21600,21600">
                  <v:path/>
                  <v:fill on="f" focussize="0,0"/>
                  <v:stroke on="f"/>
                  <v:imagedata r:id="rId58" o:title=""/>
                  <o:lock v:ext="edit" aspectratio="t"/>
                  <w10:wrap type="none"/>
                  <w10:anchorlock/>
                </v:shape>
                <w:control r:id="rId57" w:name="CheckBox14" w:shapeid="_x0000_i1043"/>
              </w:object>
            </w:r>
            <w:r>
              <w:rPr>
                <w:szCs w:val="21"/>
              </w:rPr>
              <w:object>
                <v:shape id="_x0000_i1044" o:spt="201" alt="" type="#_x0000_t201" style="height:18pt;width:126.75pt;" o:ole="t" filled="f" o:preferrelative="t" stroked="f" coordsize="21600,21600">
                  <v:path/>
                  <v:fill on="f" focussize="0,0"/>
                  <v:stroke on="f"/>
                  <v:imagedata r:id="rId60" o:title=""/>
                  <o:lock v:ext="edit" aspectratio="t"/>
                  <w10:wrap type="none"/>
                  <w10:anchorlock/>
                </v:shape>
                <w:control r:id="rId59" w:name="CheckBox15" w:shapeid="_x0000_i1044"/>
              </w:object>
            </w:r>
            <w:r>
              <w:rPr>
                <w:szCs w:val="21"/>
              </w:rPr>
              <w:object>
                <v:shape id="_x0000_i1045" o:spt="201" alt="" type="#_x0000_t201" style="height:18pt;width:117pt;" o:ole="t" filled="f" o:preferrelative="t" stroked="f" coordsize="21600,21600">
                  <v:path/>
                  <v:fill on="f" focussize="0,0"/>
                  <v:stroke on="f"/>
                  <v:imagedata r:id="rId62" o:title=""/>
                  <o:lock v:ext="edit" aspectratio="t"/>
                  <w10:wrap type="none"/>
                  <w10:anchorlock/>
                </v:shape>
                <w:control r:id="rId61" w:name="CheckBox16" w:shapeid="_x0000_i1045"/>
              </w:object>
            </w:r>
            <w:r>
              <w:rPr>
                <w:szCs w:val="21"/>
              </w:rPr>
              <w:object>
                <v:shape id="_x0000_i1046" o:spt="201" alt="" type="#_x0000_t201" style="height:18pt;width:169.5pt;" o:ole="t" filled="f" o:preferrelative="t" stroked="f" coordsize="21600,21600">
                  <v:path/>
                  <v:fill on="f" focussize="0,0"/>
                  <v:stroke on="f"/>
                  <v:imagedata r:id="rId64" o:title=""/>
                  <o:lock v:ext="edit" aspectratio="t"/>
                  <w10:wrap type="none"/>
                  <w10:anchorlock/>
                </v:shape>
                <w:control r:id="rId63" w:name="CheckBox17" w:shapeid="_x0000_i1046"/>
              </w:object>
            </w:r>
            <w:r>
              <w:rPr>
                <w:szCs w:val="21"/>
              </w:rPr>
              <w:object>
                <v:shape id="_x0000_i1047" o:spt="201" alt="" type="#_x0000_t201" style="height:18pt;width:164.25pt;" o:ole="t" filled="f" o:preferrelative="t" stroked="f" coordsize="21600,21600">
                  <v:path/>
                  <v:fill on="f" focussize="0,0"/>
                  <v:stroke on="f"/>
                  <v:imagedata r:id="rId66" o:title=""/>
                  <o:lock v:ext="edit" aspectratio="t"/>
                  <w10:wrap type="none"/>
                  <w10:anchorlock/>
                </v:shape>
                <w:control r:id="rId65" w:name="CheckBox18" w:shapeid="_x0000_i1047"/>
              </w:object>
            </w:r>
            <w:r>
              <w:rPr>
                <w:szCs w:val="21"/>
              </w:rPr>
              <w:object>
                <v:shape id="_x0000_i1048" o:spt="201" alt="" type="#_x0000_t201" style="height:18pt;width:169.5pt;" o:ole="t" filled="f" o:preferrelative="t" stroked="f" coordsize="21600,21600">
                  <v:path/>
                  <v:fill on="f" focussize="0,0"/>
                  <v:stroke on="f"/>
                  <v:imagedata r:id="rId68" o:title=""/>
                  <o:lock v:ext="edit" aspectratio="t"/>
                  <w10:wrap type="none"/>
                  <w10:anchorlock/>
                </v:shape>
                <w:control r:id="rId67" w:name="CheckBox19" w:shapeid="_x0000_i1048"/>
              </w:object>
            </w:r>
            <w:r>
              <w:rPr>
                <w:szCs w:val="21"/>
              </w:rPr>
              <w:object>
                <v:shape id="_x0000_i1049" o:spt="201" alt="" type="#_x0000_t201" style="height:18pt;width:189pt;" o:ole="t" filled="f" o:preferrelative="t" stroked="f" coordsize="21600,21600">
                  <v:path/>
                  <v:fill on="f" focussize="0,0"/>
                  <v:stroke on="f"/>
                  <v:imagedata r:id="rId70" o:title=""/>
                  <o:lock v:ext="edit" aspectratio="t"/>
                  <w10:wrap type="none"/>
                  <w10:anchorlock/>
                </v:shape>
                <w:control r:id="rId69" w:name="CheckBox20" w:shapeid="_x0000_i1049"/>
              </w:object>
            </w:r>
            <w:r>
              <w:rPr>
                <w:szCs w:val="21"/>
              </w:rPr>
              <w:object>
                <v:shape id="_x0000_i1050" o:spt="201" alt="" type="#_x0000_t201" style="height:18pt;width:169.5pt;" o:ole="t" filled="f" o:preferrelative="t" stroked="f" coordsize="21600,21600">
                  <v:path/>
                  <v:fill on="f" focussize="0,0"/>
                  <v:stroke on="f"/>
                  <v:imagedata r:id="rId72" o:title=""/>
                  <o:lock v:ext="edit" aspectratio="t"/>
                  <w10:wrap type="none"/>
                  <w10:anchorlock/>
                </v:shape>
                <w:control r:id="rId71" w:name="CheckBox21" w:shapeid="_x0000_i1050"/>
              </w:object>
            </w:r>
            <w:r>
              <w:rPr>
                <w:szCs w:val="21"/>
              </w:rPr>
              <w:object>
                <v:shape id="_x0000_i1051" o:spt="201" alt="" type="#_x0000_t201" style="height:18pt;width:189pt;" o:ole="t" filled="f" o:preferrelative="t" stroked="f" coordsize="21600,21600">
                  <v:path/>
                  <v:fill on="f" focussize="0,0"/>
                  <v:stroke on="f"/>
                  <v:imagedata r:id="rId74" o:title=""/>
                  <o:lock v:ext="edit" aspectratio="t"/>
                  <w10:wrap type="none"/>
                  <w10:anchorlock/>
                </v:shape>
                <w:control r:id="rId73" w:name="CheckBox22" w:shapeid="_x0000_i1051"/>
              </w:object>
            </w:r>
            <w:r>
              <w:rPr>
                <w:szCs w:val="21"/>
              </w:rPr>
              <w:object>
                <v:shape id="_x0000_i1052" o:spt="201" alt="" type="#_x0000_t201" style="height:18pt;width:169.5pt;" o:ole="t" filled="f" o:preferrelative="t" stroked="f" coordsize="21600,21600">
                  <v:path/>
                  <v:fill on="f" focussize="0,0"/>
                  <v:stroke on="f"/>
                  <v:imagedata r:id="rId76" o:title=""/>
                  <o:lock v:ext="edit" aspectratio="t"/>
                  <w10:wrap type="none"/>
                  <w10:anchorlock/>
                </v:shape>
                <w:control r:id="rId75" w:name="CheckBox23" w:shapeid="_x0000_i1052"/>
              </w:object>
            </w:r>
            <w:r>
              <w:rPr>
                <w:szCs w:val="21"/>
              </w:rPr>
              <w:object>
                <v:shape id="_x0000_i1053" o:spt="201" alt="" type="#_x0000_t201" style="height:18pt;width:126pt;" o:ole="t" filled="f" o:preferrelative="t" stroked="f" coordsize="21600,21600">
                  <v:path/>
                  <v:fill on="f" focussize="0,0"/>
                  <v:stroke on="f"/>
                  <v:imagedata r:id="rId78" o:title=""/>
                  <o:lock v:ext="edit" aspectratio="t"/>
                  <w10:wrap type="none"/>
                  <w10:anchorlock/>
                </v:shape>
                <w:control r:id="rId77" w:name="CheckBox24" w:shapeid="_x0000_i1053"/>
              </w:object>
            </w:r>
            <w:r>
              <w:rPr>
                <w:szCs w:val="21"/>
              </w:rPr>
              <w:object>
                <v:shape id="_x0000_i1054" o:spt="201" alt="" type="#_x0000_t201" style="height:18pt;width:169.5pt;" o:ole="t" filled="f" o:preferrelative="t" stroked="f" coordsize="21600,21600">
                  <v:path/>
                  <v:fill on="f" focussize="0,0"/>
                  <v:stroke on="f"/>
                  <v:imagedata r:id="rId80" o:title=""/>
                  <o:lock v:ext="edit" aspectratio="t"/>
                  <w10:wrap type="none"/>
                  <w10:anchorlock/>
                </v:shape>
                <w:control r:id="rId79" w:name="CheckBox25" w:shapeid="_x0000_i1054"/>
              </w:object>
            </w:r>
            <w:r>
              <w:rPr>
                <w:szCs w:val="21"/>
              </w:rPr>
              <w:object>
                <v:shape id="_x0000_i1055" o:spt="201" alt="" type="#_x0000_t201" style="height:18pt;width:167.25pt;" o:ole="t" filled="f" o:preferrelative="t" stroked="f" coordsize="21600,21600">
                  <v:path/>
                  <v:fill on="f" focussize="0,0"/>
                  <v:stroke on="f"/>
                  <v:imagedata r:id="rId82" o:title=""/>
                  <o:lock v:ext="edit" aspectratio="t"/>
                  <w10:wrap type="none"/>
                  <w10:anchorlock/>
                </v:shape>
                <w:control r:id="rId81" w:name="CheckBox26" w:shapeid="_x0000_i1055"/>
              </w:object>
            </w:r>
            <w:r>
              <w:rPr>
                <w:szCs w:val="21"/>
              </w:rPr>
              <w:t xml:space="preserve"> </w:t>
            </w:r>
            <w:r>
              <w:rPr>
                <w:szCs w:val="21"/>
              </w:rPr>
              <w:object>
                <v:shape id="_x0000_i1056" o:spt="201" alt="" type="#_x0000_t201" style="height:18pt;width:167.25pt;" o:ole="t" filled="f" o:preferrelative="t" stroked="f" coordsize="21600,21600">
                  <v:path/>
                  <v:fill on="f" focussize="0,0"/>
                  <v:stroke on="f"/>
                  <v:imagedata r:id="rId84" o:title=""/>
                  <o:lock v:ext="edit" aspectratio="t"/>
                  <w10:wrap type="none"/>
                  <w10:anchorlock/>
                </v:shape>
                <w:control r:id="rId83" w:name="CheckBox261" w:shapeid="_x0000_i1056"/>
              </w:object>
            </w:r>
            <w:r>
              <w:rPr>
                <w:szCs w:val="21"/>
              </w:rPr>
              <w:object>
                <v:shape id="_x0000_i1057" o:spt="201" alt="" type="#_x0000_t201" style="height:18pt;width:167.25pt;" o:ole="t" filled="f" o:preferrelative="t" stroked="f" coordsize="21600,21600">
                  <v:path/>
                  <v:fill on="f" focussize="0,0"/>
                  <v:stroke on="f"/>
                  <v:imagedata r:id="rId86" o:title=""/>
                  <o:lock v:ext="edit" aspectratio="t"/>
                  <w10:wrap type="none"/>
                  <w10:anchorlock/>
                </v:shape>
                <w:control r:id="rId85" w:name="CheckBox262" w:shapeid="_x0000_i1057"/>
              </w:object>
            </w:r>
            <w:r>
              <w:rPr>
                <w:szCs w:val="21"/>
              </w:rPr>
              <w:object>
                <v:shape id="_x0000_i1058" o:spt="201" alt="" type="#_x0000_t201" style="height:18pt;width:167.25pt;" o:ole="t" filled="f" o:preferrelative="t" stroked="f" coordsize="21600,21600">
                  <v:path/>
                  <v:fill on="f" focussize="0,0"/>
                  <v:stroke on="f"/>
                  <v:imagedata r:id="rId88" o:title=""/>
                  <o:lock v:ext="edit" aspectratio="t"/>
                  <w10:wrap type="none"/>
                  <w10:anchorlock/>
                </v:shape>
                <w:control r:id="rId87" w:name="CheckBox2611" w:shapeid="_x0000_i1058"/>
              </w:object>
            </w:r>
            <w:r>
              <w:rPr>
                <w:szCs w:val="21"/>
              </w:rPr>
              <w:object>
                <v:shape id="_x0000_i1059" o:spt="201" alt="" type="#_x0000_t201" style="height:18pt;width:167.25pt;" o:ole="t" filled="f" o:preferrelative="t" stroked="f" coordsize="21600,21600">
                  <v:path/>
                  <v:fill on="f" focussize="0,0"/>
                  <v:stroke on="f"/>
                  <v:imagedata r:id="rId90" o:title=""/>
                  <o:lock v:ext="edit" aspectratio="t"/>
                  <w10:wrap type="none"/>
                  <w10:anchorlock/>
                </v:shape>
                <w:control r:id="rId89" w:name="CheckBox2621" w:shapeid="_x0000_i1059"/>
              </w:object>
            </w:r>
            <w:r>
              <w:rPr>
                <w:szCs w:val="21"/>
              </w:rPr>
              <w:object>
                <v:shape id="_x0000_i1060" o:spt="201" alt="" type="#_x0000_t201" style="height:18pt;width:167.25pt;" o:ole="t" filled="f" o:preferrelative="t" stroked="f" coordsize="21600,21600">
                  <v:path/>
                  <v:fill on="f" focussize="0,0"/>
                  <v:stroke on="f"/>
                  <v:imagedata r:id="rId92" o:title=""/>
                  <o:lock v:ext="edit" aspectratio="t"/>
                  <w10:wrap type="none"/>
                  <w10:anchorlock/>
                </v:shape>
                <w:control r:id="rId91" w:name="CheckBox26211" w:shapeid="_x0000_i1060"/>
              </w:object>
            </w:r>
            <w:r>
              <w:rPr>
                <w:szCs w:val="21"/>
              </w:rPr>
              <w:object>
                <v:shape id="_x0000_i1061" o:spt="201" alt="" type="#_x0000_t201" style="height:18pt;width:167.25pt;" o:ole="t" filled="f" o:preferrelative="t" stroked="f" coordsize="21600,21600">
                  <v:path/>
                  <v:fill on="f" focussize="0,0"/>
                  <v:stroke on="f"/>
                  <v:imagedata r:id="rId94" o:title=""/>
                  <o:lock v:ext="edit" aspectratio="t"/>
                  <w10:wrap type="none"/>
                  <w10:anchorlock/>
                </v:shape>
                <w:control r:id="rId93" w:name="CheckBox26212" w:shapeid="_x0000_i1061"/>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1684" w:type="dxa"/>
            <w:shd w:val="clear" w:color="auto" w:fill="auto"/>
            <w:vAlign w:val="center"/>
          </w:tcPr>
          <w:p>
            <w:pPr>
              <w:spacing w:line="560" w:lineRule="exact"/>
              <w:ind w:left="241" w:hanging="241" w:hangingChars="100"/>
              <w:rPr>
                <w:b/>
                <w:bCs/>
              </w:rPr>
            </w:pPr>
            <w:r>
              <w:rPr>
                <w:rFonts w:hint="eastAsia"/>
                <w:b/>
                <w:bCs/>
              </w:rPr>
              <w:t>修正原因及</w:t>
            </w:r>
          </w:p>
          <w:p>
            <w:pPr>
              <w:spacing w:line="560" w:lineRule="exact"/>
              <w:ind w:left="241" w:hanging="241" w:hangingChars="100"/>
            </w:pPr>
            <w:r>
              <w:rPr>
                <w:b/>
                <w:bCs/>
              </w:rPr>
              <w:t>期望结果</w:t>
            </w:r>
          </w:p>
        </w:tc>
        <w:tc>
          <w:tcPr>
            <w:tcW w:w="7245" w:type="dxa"/>
            <w:gridSpan w:val="3"/>
            <w:shd w:val="clear" w:color="auto" w:fill="auto"/>
          </w:tcPr>
          <w:p>
            <w:pPr>
              <w:spacing w:line="560" w:lineRule="exact"/>
              <w:ind w:right="-94" w:rightChars="-39"/>
              <w:rPr>
                <w:rFonts w:ascii="宋体" w:hAnsi="宋体" w:cs="宋体"/>
                <w:color w:val="000000"/>
                <w:sz w:val="22"/>
              </w:rPr>
            </w:pPr>
            <w:r>
              <w:rPr>
                <w:rFonts w:hint="eastAsia" w:ascii="宋体" w:hAnsi="宋体" w:cs="宋体"/>
                <w:color w:val="000000"/>
                <w:sz w:val="22"/>
              </w:rPr>
              <w:t>(简单</w:t>
            </w:r>
            <w:r>
              <w:rPr>
                <w:rFonts w:ascii="宋体" w:hAnsi="宋体" w:cs="宋体"/>
                <w:color w:val="000000"/>
                <w:sz w:val="22"/>
              </w:rPr>
              <w:t>描述数据修正的原因及期望的结果</w:t>
            </w:r>
            <w:r>
              <w:rPr>
                <w:rFonts w:hint="eastAsia" w:ascii="宋体" w:hAnsi="宋体" w:cs="宋体"/>
                <w:color w:val="000000"/>
                <w:sz w:val="22"/>
              </w:rPr>
              <w:t>)</w:t>
            </w:r>
          </w:p>
          <w:p>
            <w:pPr>
              <w:spacing w:line="560" w:lineRule="exact"/>
              <w:ind w:right="-94" w:rightChars="-39"/>
              <w:rPr>
                <w:rFonts w:ascii="宋体" w:hAnsi="宋体" w:cs="宋体"/>
                <w:color w:val="000000"/>
                <w:sz w:val="22"/>
              </w:rPr>
            </w:pPr>
          </w:p>
          <w:p>
            <w:pPr>
              <w:spacing w:line="560" w:lineRule="exact"/>
              <w:ind w:right="-94" w:rightChars="-39"/>
              <w:rPr>
                <w:rFonts w:ascii="宋体" w:hAnsi="宋体" w:cs="宋体"/>
                <w:color w:val="000000"/>
                <w:sz w:val="22"/>
              </w:rPr>
            </w:pPr>
          </w:p>
          <w:p>
            <w:pPr>
              <w:spacing w:line="560" w:lineRule="exact"/>
              <w:ind w:right="-94" w:rightChars="-39"/>
              <w:rPr>
                <w:rFonts w:ascii="宋体" w:hAnsi="宋体" w:cs="宋体"/>
                <w:color w:val="000000"/>
                <w:sz w:val="22"/>
              </w:rPr>
            </w:pPr>
          </w:p>
          <w:p>
            <w:pPr>
              <w:spacing w:line="560" w:lineRule="exact"/>
              <w:ind w:right="-94" w:rightChars="-39"/>
              <w:rPr>
                <w:rFonts w:ascii="宋体" w:hAnsi="宋体" w:cs="宋体"/>
                <w:color w:val="000000"/>
                <w:sz w:val="22"/>
              </w:rPr>
            </w:pPr>
          </w:p>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8" w:hRule="atLeast"/>
        </w:trPr>
        <w:tc>
          <w:tcPr>
            <w:tcW w:w="1684" w:type="dxa"/>
            <w:shd w:val="clear" w:color="auto" w:fill="auto"/>
            <w:vAlign w:val="center"/>
          </w:tcPr>
          <w:p>
            <w:pPr>
              <w:spacing w:line="560" w:lineRule="exact"/>
              <w:rPr>
                <w:b/>
              </w:rPr>
            </w:pPr>
            <w:r>
              <w:rPr>
                <w:rFonts w:hint="eastAsia"/>
                <w:b/>
              </w:rPr>
              <w:t>批次号</w:t>
            </w:r>
          </w:p>
        </w:tc>
        <w:tc>
          <w:tcPr>
            <w:tcW w:w="7245" w:type="dxa"/>
            <w:gridSpan w:val="3"/>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8" w:hRule="atLeast"/>
        </w:trPr>
        <w:tc>
          <w:tcPr>
            <w:tcW w:w="1684" w:type="dxa"/>
            <w:shd w:val="clear" w:color="auto" w:fill="auto"/>
            <w:vAlign w:val="center"/>
          </w:tcPr>
          <w:p>
            <w:pPr>
              <w:spacing w:line="560" w:lineRule="exact"/>
              <w:rPr>
                <w:b/>
              </w:rPr>
            </w:pPr>
            <w:r>
              <w:rPr>
                <w:rFonts w:hint="eastAsia"/>
                <w:b/>
              </w:rPr>
              <w:t>交易编码</w:t>
            </w:r>
          </w:p>
        </w:tc>
        <w:tc>
          <w:tcPr>
            <w:tcW w:w="7245" w:type="dxa"/>
            <w:gridSpan w:val="3"/>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8" w:hRule="atLeast"/>
        </w:trPr>
        <w:tc>
          <w:tcPr>
            <w:tcW w:w="1684" w:type="dxa"/>
            <w:shd w:val="clear" w:color="auto" w:fill="auto"/>
            <w:vAlign w:val="center"/>
          </w:tcPr>
          <w:p>
            <w:pPr>
              <w:spacing w:line="560" w:lineRule="exact"/>
              <w:rPr>
                <w:b/>
              </w:rPr>
            </w:pPr>
            <w:r>
              <w:rPr>
                <w:rFonts w:hint="eastAsia"/>
                <w:b/>
              </w:rPr>
              <w:t>保单编号</w:t>
            </w:r>
          </w:p>
        </w:tc>
        <w:tc>
          <w:tcPr>
            <w:tcW w:w="7245" w:type="dxa"/>
            <w:gridSpan w:val="3"/>
            <w:shd w:val="clear" w:color="auto" w:fill="auto"/>
          </w:tcPr>
          <w:p>
            <w:pPr>
              <w:spacing w:line="560" w:lineRule="exact"/>
              <w:ind w:right="-94" w:rightChars="-39"/>
              <w:rPr>
                <w:rFonts w:ascii="宋体" w:hAnsi="宋体" w:cs="宋体"/>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7" w:hRule="atLeast"/>
        </w:trPr>
        <w:tc>
          <w:tcPr>
            <w:tcW w:w="8929" w:type="dxa"/>
            <w:gridSpan w:val="4"/>
            <w:shd w:val="clear" w:color="auto" w:fill="auto"/>
          </w:tcPr>
          <w:p>
            <w:pPr>
              <w:spacing w:line="560" w:lineRule="exact"/>
              <w:ind w:firstLine="960" w:firstLineChars="400"/>
            </w:pPr>
          </w:p>
          <w:p>
            <w:pPr>
              <w:spacing w:line="560" w:lineRule="exact"/>
              <w:ind w:firstLine="960" w:firstLineChars="400"/>
            </w:pPr>
          </w:p>
          <w:p>
            <w:pPr>
              <w:spacing w:line="560" w:lineRule="exact"/>
              <w:ind w:firstLine="960" w:firstLineChars="400"/>
            </w:pPr>
          </w:p>
          <w:p>
            <w:pPr>
              <w:spacing w:line="560" w:lineRule="exact"/>
              <w:ind w:right="960" w:firstLine="960" w:firstLineChars="400"/>
            </w:pPr>
            <w:r>
              <w:rPr>
                <w:rFonts w:hint="eastAsia"/>
              </w:rPr>
              <w:t xml:space="preserve"> 签盖公章（总</w:t>
            </w:r>
            <w:r>
              <w:t>公司公章）</w:t>
            </w:r>
          </w:p>
          <w:p>
            <w:pPr>
              <w:spacing w:line="560" w:lineRule="exact"/>
              <w:ind w:firstLine="960" w:firstLineChars="400"/>
            </w:pPr>
          </w:p>
          <w:p>
            <w:pPr>
              <w:spacing w:line="560" w:lineRule="exact"/>
              <w:ind w:right="480" w:firstLine="6480" w:firstLineChars="2700"/>
            </w:pPr>
            <w:r>
              <w:rPr>
                <w:rFonts w:hint="eastAsia"/>
              </w:rPr>
              <w:t>年   月   日</w:t>
            </w:r>
          </w:p>
          <w:p>
            <w:pPr>
              <w:spacing w:line="560" w:lineRule="exact"/>
              <w:ind w:right="480"/>
            </w:pPr>
          </w:p>
          <w:p>
            <w:pPr>
              <w:spacing w:line="560" w:lineRule="exact"/>
              <w:ind w:right="480"/>
              <w:rPr>
                <w:b/>
                <w:color w:val="FF0000"/>
              </w:rPr>
            </w:pPr>
          </w:p>
          <w:p>
            <w:pPr>
              <w:spacing w:line="560" w:lineRule="exact"/>
              <w:ind w:right="480"/>
              <w:rPr>
                <w:b/>
                <w:color w:val="FF0000"/>
              </w:rPr>
            </w:pPr>
            <w:r>
              <w:rPr>
                <w:b/>
                <w:color w:val="FF0000"/>
              </w:rPr>
              <w:t>本公司承诺将完整</w:t>
            </w:r>
            <w:r>
              <w:rPr>
                <w:rFonts w:hint="eastAsia"/>
                <w:b/>
                <w:color w:val="FF0000"/>
              </w:rPr>
              <w:t>、</w:t>
            </w:r>
            <w:r>
              <w:rPr>
                <w:b/>
                <w:color w:val="FF0000"/>
              </w:rPr>
              <w:t>准确地重报本次数据修正申请中删除的数据</w:t>
            </w:r>
            <w:r>
              <w:rPr>
                <w:rFonts w:hint="eastAsia"/>
                <w:b/>
                <w:color w:val="FF0000"/>
              </w:rPr>
              <w:t>。</w:t>
            </w:r>
          </w:p>
        </w:tc>
      </w:tr>
    </w:tbl>
    <w:p>
      <w:pPr>
        <w:spacing w:line="560" w:lineRule="exact"/>
      </w:pPr>
      <w:r>
        <w:br w:type="page"/>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9. 保单登记平台特殊业务场景报备说明</w:t>
      </w:r>
    </w:p>
    <w:p/>
    <w:p>
      <w:pPr>
        <w:pStyle w:val="201"/>
        <w:ind w:firstLine="0"/>
        <w:rPr>
          <w:rFonts w:asciiTheme="majorEastAsia" w:hAnsiTheme="majorEastAsia" w:eastAsiaTheme="majorEastAsia"/>
          <w:sz w:val="30"/>
          <w:szCs w:val="30"/>
        </w:rPr>
      </w:pPr>
      <w:r>
        <w:rPr>
          <w:rFonts w:hint="eastAsia" w:asciiTheme="majorEastAsia" w:hAnsiTheme="majorEastAsia" w:eastAsiaTheme="majorEastAsia"/>
          <w:sz w:val="30"/>
          <w:szCs w:val="30"/>
        </w:rPr>
        <w:t>保单登记平台特殊业务场景报备说明</w:t>
      </w:r>
    </w:p>
    <w:p>
      <w:pPr>
        <w:pStyle w:val="201"/>
        <w:ind w:firstLine="0"/>
        <w:rPr>
          <w:rFonts w:asciiTheme="majorEastAsia" w:hAnsiTheme="majorEastAsia" w:eastAsiaTheme="majorEastAsia"/>
          <w:sz w:val="30"/>
          <w:szCs w:val="30"/>
        </w:rPr>
      </w:pPr>
    </w:p>
    <w:p>
      <w:pPr>
        <w:spacing w:line="560" w:lineRule="exact"/>
        <w:rPr>
          <w:rFonts w:ascii="仿宋_GB2312" w:eastAsia="仿宋_GB2312"/>
          <w:sz w:val="30"/>
          <w:szCs w:val="30"/>
        </w:rPr>
      </w:pPr>
      <w:r>
        <w:rPr>
          <w:rFonts w:hint="eastAsia" w:ascii="仿宋_GB2312" w:eastAsia="仿宋_GB2312"/>
          <w:sz w:val="30"/>
          <w:szCs w:val="30"/>
        </w:rPr>
        <w:t>中国保险信息技术管理有限责任公司：</w:t>
      </w:r>
    </w:p>
    <w:p>
      <w:pPr>
        <w:spacing w:line="560" w:lineRule="exact"/>
        <w:ind w:firstLine="600" w:firstLineChars="200"/>
        <w:rPr>
          <w:rFonts w:ascii="仿宋_GB2312" w:eastAsia="仿宋_GB2312"/>
          <w:sz w:val="30"/>
          <w:szCs w:val="30"/>
        </w:rPr>
      </w:pPr>
      <w:r>
        <w:rPr>
          <w:rFonts w:hint="eastAsia" w:ascii="仿宋_GB2312" w:eastAsia="仿宋_GB2312"/>
          <w:i/>
          <w:sz w:val="30"/>
          <w:szCs w:val="30"/>
        </w:rPr>
        <w:t>（保险公司全称）</w:t>
      </w:r>
      <w:r>
        <w:rPr>
          <w:rFonts w:hint="eastAsia" w:ascii="仿宋_GB2312" w:eastAsia="仿宋_GB2312"/>
          <w:sz w:val="30"/>
          <w:szCs w:val="30"/>
        </w:rPr>
        <w:t>（以下简称我公司）</w:t>
      </w:r>
      <w:r>
        <w:rPr>
          <w:rFonts w:ascii="仿宋_GB2312" w:eastAsia="仿宋_GB2312"/>
          <w:sz w:val="30"/>
          <w:szCs w:val="30"/>
        </w:rPr>
        <w:t>已</w:t>
      </w:r>
      <w:r>
        <w:rPr>
          <w:rFonts w:hint="eastAsia" w:ascii="仿宋_GB2312" w:eastAsia="仿宋_GB2312"/>
          <w:sz w:val="30"/>
          <w:szCs w:val="30"/>
        </w:rPr>
        <w:t>参考《保单登记平台数据质量检核规则》（以下简称《检核规则》）开展数据自查工作，针对其中与《检核规则》不相容的数据，经我公司业务及技术人员研讨，确认为特殊业务场景，特此进行报备，具体详见《保单登记平台特殊业务场景报备表》（以下简称《报备表》）。</w:t>
      </w:r>
    </w:p>
    <w:p>
      <w:pPr>
        <w:spacing w:line="560" w:lineRule="exact"/>
        <w:ind w:firstLine="600" w:firstLineChars="200"/>
        <w:rPr>
          <w:rFonts w:ascii="仿宋_GB2312" w:eastAsia="仿宋_GB2312"/>
          <w:sz w:val="30"/>
          <w:szCs w:val="30"/>
        </w:rPr>
      </w:pPr>
      <w:r>
        <w:rPr>
          <w:rFonts w:ascii="仿宋_GB2312" w:eastAsia="仿宋_GB2312"/>
          <w:sz w:val="30"/>
          <w:szCs w:val="30"/>
        </w:rPr>
        <w:t>我</w:t>
      </w:r>
      <w:r>
        <w:rPr>
          <w:rFonts w:hint="eastAsia" w:ascii="仿宋_GB2312" w:eastAsia="仿宋_GB2312"/>
          <w:sz w:val="30"/>
          <w:szCs w:val="30"/>
        </w:rPr>
        <w:t>公司承诺：</w:t>
      </w:r>
    </w:p>
    <w:p>
      <w:pPr>
        <w:spacing w:line="560" w:lineRule="exact"/>
        <w:ind w:firstLine="600" w:firstLineChars="200"/>
        <w:rPr>
          <w:rFonts w:ascii="仿宋_GB2312" w:eastAsia="仿宋_GB2312"/>
          <w:sz w:val="30"/>
          <w:szCs w:val="30"/>
        </w:rPr>
      </w:pPr>
      <w:r>
        <w:rPr>
          <w:rFonts w:hint="eastAsia" w:ascii="仿宋_GB2312" w:eastAsia="仿宋_GB2312"/>
          <w:sz w:val="30"/>
          <w:szCs w:val="30"/>
        </w:rPr>
        <w:t>1</w:t>
      </w:r>
      <w:r>
        <w:rPr>
          <w:rFonts w:ascii="仿宋_GB2312" w:eastAsia="仿宋_GB2312"/>
          <w:sz w:val="30"/>
          <w:szCs w:val="30"/>
        </w:rPr>
        <w:t>.</w:t>
      </w:r>
      <w:r>
        <w:rPr>
          <w:rFonts w:hint="eastAsia" w:ascii="仿宋_GB2312" w:eastAsia="仿宋_GB2312"/>
          <w:sz w:val="30"/>
          <w:szCs w:val="30"/>
        </w:rPr>
        <w:t>《报备表》中所有特殊业务场景均为</w:t>
      </w:r>
      <w:r>
        <w:rPr>
          <w:rFonts w:ascii="仿宋_GB2312" w:eastAsia="仿宋_GB2312"/>
          <w:sz w:val="30"/>
          <w:szCs w:val="30"/>
        </w:rPr>
        <w:t>我</w:t>
      </w:r>
      <w:r>
        <w:rPr>
          <w:rFonts w:hint="eastAsia" w:ascii="仿宋_GB2312" w:eastAsia="仿宋_GB2312"/>
          <w:sz w:val="30"/>
          <w:szCs w:val="30"/>
        </w:rPr>
        <w:t>公司实际发生的业务，且报送数据与实际业务一致。</w:t>
      </w:r>
    </w:p>
    <w:p>
      <w:pPr>
        <w:spacing w:line="560" w:lineRule="exact"/>
        <w:ind w:firstLine="600" w:firstLineChars="200"/>
        <w:rPr>
          <w:rFonts w:ascii="仿宋_GB2312" w:eastAsia="仿宋_GB2312"/>
          <w:sz w:val="30"/>
          <w:szCs w:val="30"/>
        </w:rPr>
      </w:pPr>
      <w:r>
        <w:rPr>
          <w:rFonts w:ascii="仿宋_GB2312" w:eastAsia="仿宋_GB2312"/>
          <w:sz w:val="30"/>
          <w:szCs w:val="30"/>
        </w:rPr>
        <w:t>2.除特殊业务场景涉及的数据外</w:t>
      </w:r>
      <w:r>
        <w:rPr>
          <w:rFonts w:hint="eastAsia" w:ascii="仿宋_GB2312" w:eastAsia="仿宋_GB2312"/>
          <w:sz w:val="30"/>
          <w:szCs w:val="30"/>
        </w:rPr>
        <w:t>，</w:t>
      </w:r>
      <w:r>
        <w:rPr>
          <w:rFonts w:ascii="仿宋_GB2312" w:eastAsia="仿宋_GB2312"/>
          <w:sz w:val="30"/>
          <w:szCs w:val="30"/>
        </w:rPr>
        <w:t>我</w:t>
      </w:r>
      <w:r>
        <w:rPr>
          <w:rFonts w:hint="eastAsia" w:ascii="仿宋_GB2312" w:eastAsia="仿宋_GB2312"/>
          <w:sz w:val="30"/>
          <w:szCs w:val="30"/>
        </w:rPr>
        <w:t>公司</w:t>
      </w:r>
      <w:r>
        <w:rPr>
          <w:rFonts w:ascii="仿宋_GB2312" w:eastAsia="仿宋_GB2312"/>
          <w:sz w:val="30"/>
          <w:szCs w:val="30"/>
        </w:rPr>
        <w:t>报送至保单登记平台的全部数据均符合检核规则的要求</w:t>
      </w:r>
      <w:r>
        <w:rPr>
          <w:rFonts w:hint="eastAsia" w:ascii="仿宋_GB2312" w:eastAsia="仿宋_GB2312"/>
          <w:sz w:val="30"/>
          <w:szCs w:val="30"/>
        </w:rPr>
        <w:t>，</w:t>
      </w:r>
      <w:r>
        <w:rPr>
          <w:rFonts w:ascii="仿宋_GB2312" w:eastAsia="仿宋_GB2312"/>
          <w:sz w:val="30"/>
          <w:szCs w:val="30"/>
        </w:rPr>
        <w:t>并与实际业务一致</w:t>
      </w:r>
      <w:r>
        <w:rPr>
          <w:rFonts w:hint="eastAsia" w:ascii="仿宋_GB2312" w:eastAsia="仿宋_GB2312"/>
          <w:sz w:val="30"/>
          <w:szCs w:val="30"/>
        </w:rPr>
        <w:t>。</w:t>
      </w:r>
    </w:p>
    <w:p>
      <w:pPr>
        <w:spacing w:line="560" w:lineRule="exact"/>
        <w:ind w:firstLine="600" w:firstLineChars="200"/>
        <w:rPr>
          <w:rFonts w:ascii="仿宋_GB2312" w:eastAsia="仿宋_GB2312"/>
          <w:sz w:val="30"/>
          <w:szCs w:val="30"/>
        </w:rPr>
      </w:pPr>
      <w:r>
        <w:rPr>
          <w:rFonts w:hint="eastAsia" w:ascii="仿宋_GB2312" w:eastAsia="仿宋_GB2312"/>
          <w:sz w:val="30"/>
          <w:szCs w:val="30"/>
        </w:rPr>
        <w:t>3</w:t>
      </w:r>
      <w:r>
        <w:rPr>
          <w:rFonts w:ascii="仿宋_GB2312" w:eastAsia="仿宋_GB2312"/>
          <w:sz w:val="30"/>
          <w:szCs w:val="30"/>
        </w:rPr>
        <w:t>.</w:t>
      </w:r>
      <w:r>
        <w:rPr>
          <w:rFonts w:hint="eastAsia" w:ascii="仿宋_GB2312" w:eastAsia="仿宋_GB2312"/>
          <w:sz w:val="30"/>
          <w:szCs w:val="30"/>
        </w:rPr>
        <w:t>未来如有新增业务场景，</w:t>
      </w:r>
      <w:r>
        <w:rPr>
          <w:rFonts w:ascii="仿宋_GB2312" w:eastAsia="仿宋_GB2312"/>
          <w:sz w:val="30"/>
          <w:szCs w:val="30"/>
        </w:rPr>
        <w:t>我</w:t>
      </w:r>
      <w:r>
        <w:rPr>
          <w:rFonts w:hint="eastAsia" w:ascii="仿宋_GB2312" w:eastAsia="仿宋_GB2312"/>
          <w:sz w:val="30"/>
          <w:szCs w:val="30"/>
        </w:rPr>
        <w:t>公司也将依据《检核规则》开展自查工作，并将新增特殊业务场景按要求进行报备。</w:t>
      </w:r>
    </w:p>
    <w:p>
      <w:pPr>
        <w:spacing w:line="560" w:lineRule="exact"/>
        <w:ind w:firstLine="600" w:firstLineChars="200"/>
        <w:rPr>
          <w:rFonts w:ascii="仿宋_GB2312" w:eastAsia="仿宋_GB2312"/>
          <w:sz w:val="30"/>
          <w:szCs w:val="30"/>
        </w:rPr>
      </w:pPr>
    </w:p>
    <w:p>
      <w:pPr>
        <w:spacing w:line="560" w:lineRule="exact"/>
        <w:ind w:firstLine="600" w:firstLineChars="200"/>
        <w:rPr>
          <w:rFonts w:ascii="仿宋_GB2312" w:eastAsia="仿宋_GB2312"/>
          <w:sz w:val="30"/>
          <w:szCs w:val="30"/>
        </w:rPr>
      </w:pPr>
    </w:p>
    <w:p>
      <w:pPr>
        <w:spacing w:line="560" w:lineRule="exact"/>
        <w:ind w:right="960" w:firstLine="600" w:firstLineChars="200"/>
        <w:jc w:val="right"/>
        <w:rPr>
          <w:rFonts w:ascii="仿宋_GB2312" w:eastAsia="仿宋_GB2312"/>
          <w:sz w:val="30"/>
          <w:szCs w:val="30"/>
        </w:rPr>
      </w:pPr>
      <w:r>
        <w:rPr>
          <w:rFonts w:hint="eastAsia" w:ascii="仿宋_GB2312" w:eastAsia="仿宋_GB2312"/>
          <w:sz w:val="30"/>
          <w:szCs w:val="30"/>
        </w:rPr>
        <w:t>数据报送和质量管理负责人签字：</w:t>
      </w:r>
    </w:p>
    <w:p>
      <w:pPr>
        <w:spacing w:line="560" w:lineRule="exact"/>
        <w:ind w:right="960" w:firstLine="600" w:firstLineChars="200"/>
        <w:jc w:val="right"/>
        <w:rPr>
          <w:rFonts w:ascii="仿宋_GB2312" w:eastAsia="仿宋_GB2312"/>
          <w:sz w:val="30"/>
          <w:szCs w:val="30"/>
        </w:rPr>
      </w:pPr>
      <w:r>
        <w:rPr>
          <w:rFonts w:hint="eastAsia" w:ascii="仿宋_GB2312" w:eastAsia="仿宋_GB2312"/>
          <w:sz w:val="30"/>
          <w:szCs w:val="30"/>
        </w:rPr>
        <w:t>（总公司公章）</w:t>
      </w:r>
    </w:p>
    <w:p>
      <w:pPr>
        <w:spacing w:line="560" w:lineRule="exact"/>
        <w:ind w:right="320" w:firstLine="600" w:firstLineChars="200"/>
        <w:jc w:val="right"/>
        <w:rPr>
          <w:rFonts w:ascii="仿宋_GB2312" w:eastAsia="仿宋_GB2312"/>
          <w:sz w:val="28"/>
          <w:szCs w:val="28"/>
        </w:rPr>
      </w:pPr>
      <w:r>
        <w:rPr>
          <w:rFonts w:hint="eastAsia" w:ascii="仿宋_GB2312" w:eastAsia="仿宋_GB2312"/>
          <w:sz w:val="30"/>
          <w:szCs w:val="30"/>
        </w:rPr>
        <w:t>年   月   日</w:t>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10. 保单登记平台特殊业务场景报备表</w:t>
      </w:r>
    </w:p>
    <w:p>
      <w:r>
        <w:pict>
          <v:shape id="_x0000_s1026" o:spid="_x0000_s1026" o:spt="75" type="#_x0000_t75" style="position:absolute;left:0pt;margin-left:0pt;margin-top:0.95pt;height:66pt;width:72.75pt;z-index:251658240;mso-width-relative:page;mso-height-relative:page;" o:ole="t" filled="f" o:preferrelative="t" stroked="f" coordsize="21600,21600">
            <v:path/>
            <v:fill on="f" focussize="0,0"/>
            <v:stroke on="f" joinstyle="miter"/>
            <v:imagedata r:id="rId96" o:title=""/>
            <o:lock v:ext="edit" aspectratio="t"/>
          </v:shape>
          <o:OLEObject Type="Embed" ProgID="Package" ShapeID="_x0000_s1026" DrawAspect="Icon" ObjectID="_1468075730" r:id="rId95">
            <o:LockedField>false</o:LockedField>
          </o:OLEObject>
        </w:pict>
      </w:r>
      <w:r>
        <w:br w:type="page"/>
      </w:r>
    </w:p>
    <w:p>
      <w:pPr>
        <w:pStyle w:val="4"/>
        <w:adjustRightInd w:val="0"/>
        <w:snapToGrid w:val="0"/>
        <w:spacing w:before="0" w:after="0" w:line="560" w:lineRule="exact"/>
        <w:rPr>
          <w:rFonts w:ascii="仿宋" w:hAnsi="仿宋" w:eastAsia="仿宋" w:cs="仿宋"/>
          <w:sz w:val="28"/>
          <w:szCs w:val="28"/>
        </w:rPr>
      </w:pPr>
      <w:r>
        <w:rPr>
          <w:rFonts w:hint="eastAsia" w:ascii="仿宋" w:hAnsi="仿宋" w:eastAsia="仿宋" w:cs="仿宋"/>
          <w:sz w:val="28"/>
          <w:szCs w:val="28"/>
        </w:rPr>
        <w:t>11. 保单登记管理信息平台数据报送完整性比对报告（财产险公司）</w:t>
      </w:r>
    </w:p>
    <w:p>
      <w:pPr>
        <w:spacing w:line="560" w:lineRule="exact"/>
        <w:rPr>
          <w:rFonts w:ascii="仿宋_GB2312" w:hAnsi="Calibri" w:eastAsia="仿宋_GB2312" w:cs="Times New Roman"/>
          <w:sz w:val="32"/>
        </w:rPr>
      </w:pPr>
      <w:r>
        <w:rPr>
          <w:rFonts w:ascii="仿宋_GB2312" w:hAnsi="Calibri" w:eastAsia="仿宋_GB2312" w:cs="Times New Roman"/>
          <w:sz w:val="32"/>
        </w:rPr>
        <w:t>中国银行保险监督管理委员会</w:t>
      </w:r>
      <w:r>
        <w:rPr>
          <w:rFonts w:hint="eastAsia" w:ascii="仿宋_GB2312" w:hAnsi="Calibri" w:eastAsia="仿宋_GB2312" w:cs="Times New Roman"/>
          <w:sz w:val="32"/>
        </w:rPr>
        <w:t>：</w:t>
      </w:r>
    </w:p>
    <w:p>
      <w:pPr>
        <w:spacing w:line="560" w:lineRule="exact"/>
        <w:ind w:firstLine="640"/>
        <w:rPr>
          <w:rFonts w:ascii="仿宋_GB2312" w:hAnsi="Calibri" w:eastAsia="仿宋_GB2312" w:cs="Times New Roman"/>
          <w:sz w:val="32"/>
        </w:rPr>
      </w:pPr>
      <w:r>
        <w:rPr>
          <w:rFonts w:hint="eastAsia" w:ascii="仿宋_GB2312" w:hAnsi="Calibri" w:eastAsia="仿宋_GB2312" w:cs="Times New Roman"/>
          <w:sz w:val="32"/>
        </w:rPr>
        <w:t>（</w:t>
      </w:r>
      <w:r>
        <w:rPr>
          <w:rFonts w:hint="eastAsia" w:ascii="仿宋_GB2312" w:hAnsi="Calibri" w:eastAsia="仿宋_GB2312" w:cs="Times New Roman"/>
          <w:i/>
          <w:sz w:val="32"/>
        </w:rPr>
        <w:t>保险公司全称</w:t>
      </w:r>
      <w:r>
        <w:rPr>
          <w:rFonts w:hint="eastAsia" w:ascii="仿宋_GB2312" w:hAnsi="Calibri" w:eastAsia="仿宋_GB2312" w:cs="Times New Roman"/>
          <w:sz w:val="32"/>
        </w:rPr>
        <w:t>）（以下简称我公司）</w:t>
      </w:r>
      <w:r>
        <w:rPr>
          <w:rFonts w:ascii="仿宋_GB2312" w:hAnsi="Calibri" w:eastAsia="仿宋_GB2312" w:cs="Times New Roman"/>
          <w:sz w:val="32"/>
        </w:rPr>
        <w:t>已</w:t>
      </w:r>
      <w:r>
        <w:rPr>
          <w:rFonts w:hint="eastAsia" w:ascii="仿宋_GB2312" w:hAnsi="Calibri" w:eastAsia="仿宋_GB2312" w:cs="Times New Roman"/>
          <w:sz w:val="32"/>
        </w:rPr>
        <w:t>按照《关于开展中国保险业保单登记管理信息平台完整性指标自核的通知》相关要求，完成了保单登记管理信息平台数据报送完整性比对工作，并编制《保单登记平台数据报送完整性指标自核情况及差异说明（财产险公司）》（见附件）。我公司确认附件内容真实有效。</w:t>
      </w:r>
    </w:p>
    <w:p>
      <w:pPr>
        <w:spacing w:line="560" w:lineRule="exact"/>
        <w:ind w:firstLine="640"/>
        <w:rPr>
          <w:rFonts w:ascii="仿宋_GB2312" w:hAnsi="Calibri" w:eastAsia="仿宋_GB2312" w:cs="Times New Roman"/>
          <w:sz w:val="32"/>
        </w:rPr>
      </w:pPr>
      <w:r>
        <w:rPr>
          <w:rFonts w:ascii="仿宋_GB2312" w:hAnsi="Calibri" w:eastAsia="仿宋_GB2312" w:cs="Times New Roman"/>
          <w:sz w:val="32"/>
        </w:rPr>
        <w:t>同时</w:t>
      </w:r>
      <w:r>
        <w:rPr>
          <w:rFonts w:hint="eastAsia" w:ascii="仿宋_GB2312" w:hAnsi="Calibri" w:eastAsia="仿宋_GB2312" w:cs="Times New Roman"/>
          <w:sz w:val="32"/>
        </w:rPr>
        <w:t>，为保证我公司数据报送的完整性，后续工作方案如下：</w:t>
      </w:r>
    </w:p>
    <w:p>
      <w:pPr>
        <w:spacing w:line="560" w:lineRule="exact"/>
        <w:ind w:firstLine="640"/>
        <w:rPr>
          <w:rFonts w:ascii="仿宋_GB2312" w:hAnsi="Calibri" w:eastAsia="仿宋_GB2312" w:cs="Times New Roman"/>
          <w:sz w:val="32"/>
        </w:rPr>
      </w:pPr>
      <w:r>
        <w:rPr>
          <w:rFonts w:hint="eastAsia" w:ascii="仿宋_GB2312" w:hAnsi="Calibri" w:eastAsia="仿宋_GB2312" w:cs="Times New Roman"/>
          <w:sz w:val="32"/>
        </w:rPr>
        <w:t>（</w:t>
      </w:r>
      <w:r>
        <w:rPr>
          <w:rFonts w:hint="eastAsia" w:ascii="仿宋_GB2312" w:hAnsi="Calibri" w:eastAsia="仿宋_GB2312" w:cs="Times New Roman"/>
          <w:i/>
          <w:sz w:val="32"/>
        </w:rPr>
        <w:t>各保险公司应在后续工作方案中说明对本次完整性自核发现的数据质量问题的处理方案，包括但不限于漏报数据补报方案、错报数据修正方案、建立相应数据报送监控机制等内容。</w:t>
      </w:r>
      <w:r>
        <w:rPr>
          <w:rFonts w:hint="eastAsia" w:ascii="仿宋_GB2312" w:hAnsi="Calibri" w:eastAsia="仿宋_GB2312" w:cs="Times New Roman"/>
          <w:sz w:val="32"/>
        </w:rPr>
        <w:t>）</w:t>
      </w:r>
    </w:p>
    <w:p>
      <w:pPr>
        <w:spacing w:line="560" w:lineRule="exact"/>
        <w:ind w:firstLine="640"/>
        <w:rPr>
          <w:rFonts w:ascii="仿宋_GB2312" w:hAnsi="Calibri" w:eastAsia="仿宋_GB2312" w:cs="Times New Roman"/>
          <w:sz w:val="32"/>
        </w:rPr>
      </w:pPr>
    </w:p>
    <w:p>
      <w:pPr>
        <w:spacing w:line="560" w:lineRule="exact"/>
        <w:ind w:firstLine="640"/>
        <w:rPr>
          <w:rFonts w:ascii="仿宋_GB2312" w:hAnsi="Calibri" w:eastAsia="仿宋_GB2312" w:cs="Times New Roman"/>
          <w:sz w:val="32"/>
        </w:rPr>
      </w:pPr>
    </w:p>
    <w:p>
      <w:pPr>
        <w:spacing w:line="560" w:lineRule="exact"/>
        <w:ind w:right="1280" w:firstLine="1920" w:firstLineChars="600"/>
        <w:jc w:val="right"/>
        <w:rPr>
          <w:rFonts w:ascii="仿宋_GB2312" w:hAnsi="Calibri" w:eastAsia="仿宋_GB2312" w:cs="Times New Roman"/>
          <w:sz w:val="32"/>
        </w:rPr>
      </w:pPr>
      <w:r>
        <w:rPr>
          <w:rFonts w:hint="eastAsia" w:ascii="仿宋_GB2312" w:hAnsi="Calibri" w:eastAsia="仿宋_GB2312" w:cs="Times New Roman"/>
          <w:sz w:val="32"/>
        </w:rPr>
        <w:t>数据报送和质量管理负责人签字：</w:t>
      </w:r>
    </w:p>
    <w:p>
      <w:pPr>
        <w:spacing w:line="560" w:lineRule="exact"/>
        <w:ind w:right="1280" w:firstLine="640"/>
        <w:jc w:val="right"/>
        <w:rPr>
          <w:rFonts w:ascii="仿宋_GB2312" w:hAnsi="Calibri" w:eastAsia="仿宋_GB2312" w:cs="Times New Roman"/>
          <w:sz w:val="32"/>
        </w:rPr>
      </w:pPr>
      <w:r>
        <w:rPr>
          <w:rFonts w:hint="eastAsia" w:ascii="仿宋_GB2312" w:hAnsi="Calibri" w:eastAsia="仿宋_GB2312" w:cs="Times New Roman"/>
          <w:sz w:val="32"/>
        </w:rPr>
        <w:t>（总公司公章）</w:t>
      </w:r>
    </w:p>
    <w:p>
      <w:pPr>
        <w:spacing w:line="560" w:lineRule="exact"/>
        <w:ind w:firstLine="640"/>
        <w:jc w:val="right"/>
        <w:rPr>
          <w:rFonts w:ascii="仿宋_GB2312" w:hAnsi="Calibri" w:eastAsia="仿宋_GB2312" w:cs="Times New Roman"/>
          <w:sz w:val="32"/>
        </w:rPr>
      </w:pPr>
      <w:r>
        <w:rPr>
          <w:rFonts w:hint="eastAsia" w:ascii="仿宋_GB2312" w:hAnsi="Calibri" w:eastAsia="仿宋_GB2312" w:cs="Times New Roman"/>
          <w:sz w:val="32"/>
        </w:rPr>
        <w:t>年   月   日</w:t>
      </w:r>
    </w:p>
    <w:p>
      <w:pPr>
        <w:jc w:val="right"/>
        <w:rPr>
          <w:rFonts w:ascii="仿宋_GB2312" w:hAnsi="Calibri" w:eastAsia="仿宋_GB2312" w:cs="Times New Roman"/>
          <w:sz w:val="32"/>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Garamond">
    <w:panose1 w:val="02020404030301010803"/>
    <w:charset w:val="00"/>
    <w:family w:val="roman"/>
    <w:pitch w:val="default"/>
    <w:sig w:usb0="00000287" w:usb1="00000000" w:usb2="00000000" w:usb3="00000000" w:csb0="2000009F" w:csb1="DFD70000"/>
  </w:font>
  <w:font w:name="Arial Black">
    <w:panose1 w:val="020B0A04020102020204"/>
    <w:charset w:val="00"/>
    <w:family w:val="swiss"/>
    <w:pitch w:val="default"/>
    <w:sig w:usb0="00000287" w:usb1="000000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幼圆">
    <w:panose1 w:val="02010509060101010101"/>
    <w:charset w:val="86"/>
    <w:family w:val="modern"/>
    <w:pitch w:val="default"/>
    <w:sig w:usb0="00000001" w:usb1="080E0000" w:usb2="00000000" w:usb3="00000000" w:csb0="00040000" w:csb1="00000000"/>
  </w:font>
  <w:font w:name="Arial Unicode MS">
    <w:panose1 w:val="020B0604020202020204"/>
    <w:charset w:val="86"/>
    <w:family w:val="swiss"/>
    <w:pitch w:val="default"/>
    <w:sig w:usb0="FFFFFFFF" w:usb1="E9FFFFFF" w:usb2="0000003F" w:usb3="00000000" w:csb0="603F01FF" w:csb1="FFFF0000"/>
  </w:font>
  <w:font w:name="Tahoma">
    <w:panose1 w:val="020B0604030504040204"/>
    <w:charset w:val="00"/>
    <w:family w:val="swiss"/>
    <w:pitch w:val="default"/>
    <w:sig w:usb0="E1002EFF" w:usb1="C000605B" w:usb2="00000029" w:usb3="00000000" w:csb0="200101FF" w:csb1="20280000"/>
  </w:font>
  <w:font w:name="方正小标宋简体">
    <w:altName w:val="Arial Unicode MS"/>
    <w:panose1 w:val="03000509000000000000"/>
    <w:charset w:val="86"/>
    <w:family w:val="script"/>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等线">
    <w:altName w:val="微软雅黑"/>
    <w:panose1 w:val="02010600030101010101"/>
    <w:charset w:val="86"/>
    <w:family w:val="auto"/>
    <w:pitch w:val="default"/>
    <w:sig w:usb0="00000000" w:usb1="00000000" w:usb2="00000016" w:usb3="00000000" w:csb0="0004000F" w:csb1="00000000"/>
  </w:font>
  <w:font w:name="Wingdings 2">
    <w:panose1 w:val="050201020105070707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footnote>
  <w:footnote w:type="continuationSeparator" w:id="7">
    <w:p>
      <w:r>
        <w:continuationSeparator/>
      </w:r>
    </w:p>
  </w:footnote>
  <w:footnote w:id="0">
    <w:p>
      <w:pPr>
        <w:pStyle w:val="30"/>
        <w:rPr>
          <w:rFonts w:ascii="仿宋_GB2312" w:eastAsia="仿宋_GB2312"/>
        </w:rPr>
      </w:pPr>
      <w:r>
        <w:rPr>
          <w:rStyle w:val="49"/>
          <w:rFonts w:hint="eastAsia" w:ascii="仿宋_GB2312" w:eastAsia="仿宋_GB2312"/>
          <w:b/>
          <w:sz w:val="21"/>
        </w:rPr>
        <w:footnoteRef/>
      </w:r>
      <w:r>
        <w:rPr>
          <w:rFonts w:hint="eastAsia" w:ascii="仿宋_GB2312" w:eastAsia="仿宋_GB2312"/>
          <w:sz w:val="21"/>
        </w:rPr>
        <w:t>对账方式详见《中国保监会关于开发中国保险业保单登记管理信息平台第三期接口程序工作的通知》（保监统信〔2018〕5号）附件中的《数据抽取技术方案说明及接口规范》文档。</w:t>
      </w:r>
    </w:p>
  </w:footnote>
  <w:footnote w:id="1">
    <w:p>
      <w:pPr>
        <w:pStyle w:val="30"/>
      </w:pPr>
      <w:r>
        <w:rPr>
          <w:rStyle w:val="49"/>
        </w:rPr>
        <w:footnoteRef/>
      </w:r>
      <w:r>
        <w:t xml:space="preserve"> </w:t>
      </w:r>
      <w:r>
        <w:rPr>
          <w:rFonts w:hint="eastAsia"/>
        </w:rPr>
        <w:t>按企业财产保险、家庭财产保险、工程保险、责任保险、信用保险、保证保险、船舶保险、货运险、特殊风险保险、健康险、意外伤害险、其他共十二个险类统计，下同。</w:t>
      </w:r>
    </w:p>
  </w:footnote>
  <w:footnote w:id="2">
    <w:p>
      <w:pPr>
        <w:pStyle w:val="30"/>
      </w:pPr>
      <w:r>
        <w:rPr>
          <w:rStyle w:val="49"/>
        </w:rPr>
        <w:footnoteRef/>
      </w:r>
      <w:r>
        <w:t xml:space="preserve"> </w:t>
      </w:r>
      <w:r>
        <w:rPr>
          <w:rFonts w:hint="eastAsia"/>
        </w:rPr>
        <w:t>当月年度累计值与上月年度累计值的差值，下同。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A04A9"/>
    <w:multiLevelType w:val="multilevel"/>
    <w:tmpl w:val="1A1A04A9"/>
    <w:lvl w:ilvl="0" w:tentative="0">
      <w:start w:val="1"/>
      <w:numFmt w:val="decimal"/>
      <w:pStyle w:val="70"/>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DAD3D26"/>
    <w:multiLevelType w:val="singleLevel"/>
    <w:tmpl w:val="4DAD3D26"/>
    <w:lvl w:ilvl="0" w:tentative="0">
      <w:start w:val="1"/>
      <w:numFmt w:val="bullet"/>
      <w:lvlText w:val=""/>
      <w:lvlJc w:val="left"/>
      <w:pPr>
        <w:ind w:left="420" w:hanging="420"/>
      </w:pPr>
      <w:rPr>
        <w:rFonts w:hint="default" w:ascii="Wingdings" w:hAnsi="Wingdings"/>
      </w:rPr>
    </w:lvl>
  </w:abstractNum>
  <w:abstractNum w:abstractNumId="2">
    <w:nsid w:val="544407FF"/>
    <w:multiLevelType w:val="multilevel"/>
    <w:tmpl w:val="544407F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68BA72AC"/>
    <w:multiLevelType w:val="multilevel"/>
    <w:tmpl w:val="68BA72AC"/>
    <w:lvl w:ilvl="0" w:tentative="0">
      <w:start w:val="1"/>
      <w:numFmt w:val="decimal"/>
      <w:pStyle w:val="53"/>
      <w:lvlText w:val="%1"/>
      <w:lvlJc w:val="left"/>
      <w:pPr>
        <w:ind w:left="425" w:hanging="425"/>
      </w:pPr>
      <w:rPr>
        <w:rFonts w:hint="eastAsia"/>
      </w:rPr>
    </w:lvl>
    <w:lvl w:ilvl="1" w:tentative="0">
      <w:start w:val="1"/>
      <w:numFmt w:val="decimal"/>
      <w:lvlText w:val="%1.%2"/>
      <w:lvlJc w:val="left"/>
      <w:pPr>
        <w:ind w:left="992" w:hanging="567"/>
      </w:pPr>
      <w:rPr>
        <w:rFonts w:hint="default"/>
      </w:rPr>
    </w:lvl>
    <w:lvl w:ilvl="2" w:tentative="0">
      <w:start w:val="1"/>
      <w:numFmt w:val="decimal"/>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4">
    <w:nsid w:val="6AA5D3E7"/>
    <w:multiLevelType w:val="singleLevel"/>
    <w:tmpl w:val="6AA5D3E7"/>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trackRevisions w:val="1"/>
  <w:documentProtection w:enforcement="0"/>
  <w:defaultTabStop w:val="0"/>
  <w:drawingGridVerticalSpacing w:val="156"/>
  <w:displayHorizontalDrawingGridEvery w:val="1"/>
  <w:displayVerticalDrawingGridEvery w:val="1"/>
  <w:noPunctuationKerning w:val="1"/>
  <w:characterSpacingControl w:val="compressPunctuation"/>
  <w:footnotePr>
    <w:footnote w:id="6"/>
    <w:footnote w:id="7"/>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6EC"/>
    <w:rsid w:val="00010AB6"/>
    <w:rsid w:val="00012754"/>
    <w:rsid w:val="00017F3D"/>
    <w:rsid w:val="00022AF2"/>
    <w:rsid w:val="000236EC"/>
    <w:rsid w:val="00026352"/>
    <w:rsid w:val="00033BCE"/>
    <w:rsid w:val="00040773"/>
    <w:rsid w:val="00041F34"/>
    <w:rsid w:val="00043927"/>
    <w:rsid w:val="00044B55"/>
    <w:rsid w:val="00050EA0"/>
    <w:rsid w:val="00057036"/>
    <w:rsid w:val="00057229"/>
    <w:rsid w:val="00060D96"/>
    <w:rsid w:val="0006131A"/>
    <w:rsid w:val="00064218"/>
    <w:rsid w:val="00064CF2"/>
    <w:rsid w:val="00066602"/>
    <w:rsid w:val="000668D6"/>
    <w:rsid w:val="0006783C"/>
    <w:rsid w:val="0007200B"/>
    <w:rsid w:val="00073E0B"/>
    <w:rsid w:val="000753BC"/>
    <w:rsid w:val="00080884"/>
    <w:rsid w:val="00083360"/>
    <w:rsid w:val="00087D58"/>
    <w:rsid w:val="00090C72"/>
    <w:rsid w:val="00093A2F"/>
    <w:rsid w:val="0009593B"/>
    <w:rsid w:val="000B0A99"/>
    <w:rsid w:val="000B7BC3"/>
    <w:rsid w:val="000D1D1D"/>
    <w:rsid w:val="000D1D64"/>
    <w:rsid w:val="000D22C6"/>
    <w:rsid w:val="000D3051"/>
    <w:rsid w:val="000D67FF"/>
    <w:rsid w:val="000E1283"/>
    <w:rsid w:val="000E6767"/>
    <w:rsid w:val="000F06CE"/>
    <w:rsid w:val="000F68B0"/>
    <w:rsid w:val="001004EA"/>
    <w:rsid w:val="00110DFE"/>
    <w:rsid w:val="001172C2"/>
    <w:rsid w:val="00120091"/>
    <w:rsid w:val="0012087A"/>
    <w:rsid w:val="001345B7"/>
    <w:rsid w:val="001413ED"/>
    <w:rsid w:val="0014460F"/>
    <w:rsid w:val="00145203"/>
    <w:rsid w:val="001512F8"/>
    <w:rsid w:val="001662DC"/>
    <w:rsid w:val="00167C31"/>
    <w:rsid w:val="00172F46"/>
    <w:rsid w:val="0018079B"/>
    <w:rsid w:val="00182C95"/>
    <w:rsid w:val="001834A0"/>
    <w:rsid w:val="001843EB"/>
    <w:rsid w:val="00184F75"/>
    <w:rsid w:val="00185C42"/>
    <w:rsid w:val="001919FA"/>
    <w:rsid w:val="00192CBF"/>
    <w:rsid w:val="001974BA"/>
    <w:rsid w:val="001A1FC8"/>
    <w:rsid w:val="001A2635"/>
    <w:rsid w:val="001A2E48"/>
    <w:rsid w:val="001A3626"/>
    <w:rsid w:val="001A52EE"/>
    <w:rsid w:val="001B0CB8"/>
    <w:rsid w:val="001B1177"/>
    <w:rsid w:val="001B19CE"/>
    <w:rsid w:val="001B2567"/>
    <w:rsid w:val="001B3623"/>
    <w:rsid w:val="001B4066"/>
    <w:rsid w:val="001B778B"/>
    <w:rsid w:val="001C2F9F"/>
    <w:rsid w:val="001C3287"/>
    <w:rsid w:val="001C32A0"/>
    <w:rsid w:val="001C5998"/>
    <w:rsid w:val="001D35CC"/>
    <w:rsid w:val="001D6865"/>
    <w:rsid w:val="001D6EC4"/>
    <w:rsid w:val="001E6385"/>
    <w:rsid w:val="001E7726"/>
    <w:rsid w:val="001F1826"/>
    <w:rsid w:val="001F657F"/>
    <w:rsid w:val="00200082"/>
    <w:rsid w:val="002029E6"/>
    <w:rsid w:val="0020543A"/>
    <w:rsid w:val="00211346"/>
    <w:rsid w:val="00214240"/>
    <w:rsid w:val="00215AD6"/>
    <w:rsid w:val="0022172A"/>
    <w:rsid w:val="00230F4F"/>
    <w:rsid w:val="00246045"/>
    <w:rsid w:val="002501C0"/>
    <w:rsid w:val="00252CBC"/>
    <w:rsid w:val="00261E39"/>
    <w:rsid w:val="0026298A"/>
    <w:rsid w:val="002646CF"/>
    <w:rsid w:val="00272ADF"/>
    <w:rsid w:val="00272C97"/>
    <w:rsid w:val="00272FA4"/>
    <w:rsid w:val="00273026"/>
    <w:rsid w:val="00273B6D"/>
    <w:rsid w:val="00281D5C"/>
    <w:rsid w:val="00282A29"/>
    <w:rsid w:val="002835A3"/>
    <w:rsid w:val="00285971"/>
    <w:rsid w:val="002946CC"/>
    <w:rsid w:val="00294EA5"/>
    <w:rsid w:val="002968F0"/>
    <w:rsid w:val="002A6334"/>
    <w:rsid w:val="002A6C8B"/>
    <w:rsid w:val="002B220F"/>
    <w:rsid w:val="002B2665"/>
    <w:rsid w:val="002B28AD"/>
    <w:rsid w:val="002C5219"/>
    <w:rsid w:val="002C5D32"/>
    <w:rsid w:val="002D0926"/>
    <w:rsid w:val="002D0BEE"/>
    <w:rsid w:val="002D14D6"/>
    <w:rsid w:val="002D1C82"/>
    <w:rsid w:val="002D2258"/>
    <w:rsid w:val="002D5ED6"/>
    <w:rsid w:val="002D78A0"/>
    <w:rsid w:val="002D7E16"/>
    <w:rsid w:val="002E22B9"/>
    <w:rsid w:val="002E28F9"/>
    <w:rsid w:val="002E4E84"/>
    <w:rsid w:val="002E764C"/>
    <w:rsid w:val="002E7D75"/>
    <w:rsid w:val="002F234D"/>
    <w:rsid w:val="00300777"/>
    <w:rsid w:val="0030227A"/>
    <w:rsid w:val="003036AB"/>
    <w:rsid w:val="00311E86"/>
    <w:rsid w:val="00312771"/>
    <w:rsid w:val="0031572F"/>
    <w:rsid w:val="00316DC4"/>
    <w:rsid w:val="003208FD"/>
    <w:rsid w:val="003353D4"/>
    <w:rsid w:val="003403EB"/>
    <w:rsid w:val="003473E2"/>
    <w:rsid w:val="00347D16"/>
    <w:rsid w:val="003565C8"/>
    <w:rsid w:val="003647BF"/>
    <w:rsid w:val="00364D28"/>
    <w:rsid w:val="00366E6A"/>
    <w:rsid w:val="00372DDC"/>
    <w:rsid w:val="00375F02"/>
    <w:rsid w:val="00380183"/>
    <w:rsid w:val="00382CF1"/>
    <w:rsid w:val="00386146"/>
    <w:rsid w:val="0039389F"/>
    <w:rsid w:val="0039766F"/>
    <w:rsid w:val="003A382E"/>
    <w:rsid w:val="003A6E98"/>
    <w:rsid w:val="003A7743"/>
    <w:rsid w:val="003B5E38"/>
    <w:rsid w:val="003C01BE"/>
    <w:rsid w:val="003D28CD"/>
    <w:rsid w:val="003D3843"/>
    <w:rsid w:val="003D64DD"/>
    <w:rsid w:val="003D7D26"/>
    <w:rsid w:val="003E2A99"/>
    <w:rsid w:val="003F0BA5"/>
    <w:rsid w:val="003F373A"/>
    <w:rsid w:val="003F514E"/>
    <w:rsid w:val="003F6790"/>
    <w:rsid w:val="00402557"/>
    <w:rsid w:val="004127D2"/>
    <w:rsid w:val="00413CF7"/>
    <w:rsid w:val="00414A3A"/>
    <w:rsid w:val="0042306F"/>
    <w:rsid w:val="004237C4"/>
    <w:rsid w:val="00425501"/>
    <w:rsid w:val="00430616"/>
    <w:rsid w:val="00434F81"/>
    <w:rsid w:val="00436749"/>
    <w:rsid w:val="0044071E"/>
    <w:rsid w:val="00441273"/>
    <w:rsid w:val="00441D11"/>
    <w:rsid w:val="00453B89"/>
    <w:rsid w:val="00455428"/>
    <w:rsid w:val="004603D3"/>
    <w:rsid w:val="004603F4"/>
    <w:rsid w:val="00466536"/>
    <w:rsid w:val="00475D96"/>
    <w:rsid w:val="00481A66"/>
    <w:rsid w:val="0048210E"/>
    <w:rsid w:val="004872BC"/>
    <w:rsid w:val="00491C97"/>
    <w:rsid w:val="0049204E"/>
    <w:rsid w:val="00497F3E"/>
    <w:rsid w:val="004A0540"/>
    <w:rsid w:val="004A09F7"/>
    <w:rsid w:val="004A0FBD"/>
    <w:rsid w:val="004A189F"/>
    <w:rsid w:val="004A21F7"/>
    <w:rsid w:val="004A480F"/>
    <w:rsid w:val="004A7113"/>
    <w:rsid w:val="004B1C81"/>
    <w:rsid w:val="004B1FBC"/>
    <w:rsid w:val="004B2392"/>
    <w:rsid w:val="004B381E"/>
    <w:rsid w:val="004B70A8"/>
    <w:rsid w:val="004C768C"/>
    <w:rsid w:val="004D2ED1"/>
    <w:rsid w:val="004D361A"/>
    <w:rsid w:val="004D6FEC"/>
    <w:rsid w:val="004E55AD"/>
    <w:rsid w:val="004F2129"/>
    <w:rsid w:val="004F318F"/>
    <w:rsid w:val="004F4967"/>
    <w:rsid w:val="004F544C"/>
    <w:rsid w:val="004F756C"/>
    <w:rsid w:val="004F775D"/>
    <w:rsid w:val="004F7C0A"/>
    <w:rsid w:val="00500EE2"/>
    <w:rsid w:val="00501A36"/>
    <w:rsid w:val="005056C5"/>
    <w:rsid w:val="00505C4D"/>
    <w:rsid w:val="0050713F"/>
    <w:rsid w:val="00511586"/>
    <w:rsid w:val="005139EC"/>
    <w:rsid w:val="00537EDF"/>
    <w:rsid w:val="00540D09"/>
    <w:rsid w:val="00542A88"/>
    <w:rsid w:val="00542BCB"/>
    <w:rsid w:val="005433D3"/>
    <w:rsid w:val="00543AED"/>
    <w:rsid w:val="00546BE3"/>
    <w:rsid w:val="005479A7"/>
    <w:rsid w:val="00555B75"/>
    <w:rsid w:val="005568C4"/>
    <w:rsid w:val="00572F86"/>
    <w:rsid w:val="00576B33"/>
    <w:rsid w:val="00582BA1"/>
    <w:rsid w:val="005832DB"/>
    <w:rsid w:val="0058356D"/>
    <w:rsid w:val="00585B7D"/>
    <w:rsid w:val="0059220E"/>
    <w:rsid w:val="00595486"/>
    <w:rsid w:val="005977B1"/>
    <w:rsid w:val="005979E8"/>
    <w:rsid w:val="005A12E9"/>
    <w:rsid w:val="005B629B"/>
    <w:rsid w:val="005B76D6"/>
    <w:rsid w:val="005C10BF"/>
    <w:rsid w:val="005C3355"/>
    <w:rsid w:val="005D0596"/>
    <w:rsid w:val="005D1CC6"/>
    <w:rsid w:val="005D2B6E"/>
    <w:rsid w:val="005D4816"/>
    <w:rsid w:val="005E4566"/>
    <w:rsid w:val="005E7C71"/>
    <w:rsid w:val="005F26D2"/>
    <w:rsid w:val="005F3D58"/>
    <w:rsid w:val="005F50E0"/>
    <w:rsid w:val="006047A7"/>
    <w:rsid w:val="0060525F"/>
    <w:rsid w:val="00613FA1"/>
    <w:rsid w:val="00614EA9"/>
    <w:rsid w:val="00626BCF"/>
    <w:rsid w:val="00626CE4"/>
    <w:rsid w:val="0063065E"/>
    <w:rsid w:val="006323EB"/>
    <w:rsid w:val="006351FD"/>
    <w:rsid w:val="00637014"/>
    <w:rsid w:val="00643AC0"/>
    <w:rsid w:val="00644AF0"/>
    <w:rsid w:val="00651BF9"/>
    <w:rsid w:val="00652227"/>
    <w:rsid w:val="00653DFB"/>
    <w:rsid w:val="0065497D"/>
    <w:rsid w:val="00656AAD"/>
    <w:rsid w:val="0066232A"/>
    <w:rsid w:val="006636D5"/>
    <w:rsid w:val="00664F94"/>
    <w:rsid w:val="006676B1"/>
    <w:rsid w:val="00670035"/>
    <w:rsid w:val="00670E48"/>
    <w:rsid w:val="006711E3"/>
    <w:rsid w:val="00681093"/>
    <w:rsid w:val="00687318"/>
    <w:rsid w:val="006A1B75"/>
    <w:rsid w:val="006A316D"/>
    <w:rsid w:val="006B0CE6"/>
    <w:rsid w:val="006B2CC7"/>
    <w:rsid w:val="006B5AB6"/>
    <w:rsid w:val="006B5DC4"/>
    <w:rsid w:val="006B66F3"/>
    <w:rsid w:val="006B7191"/>
    <w:rsid w:val="006B73B8"/>
    <w:rsid w:val="006C0592"/>
    <w:rsid w:val="006C4015"/>
    <w:rsid w:val="006D1531"/>
    <w:rsid w:val="006D46E2"/>
    <w:rsid w:val="006E2992"/>
    <w:rsid w:val="006E49C6"/>
    <w:rsid w:val="006E611D"/>
    <w:rsid w:val="006E7BBE"/>
    <w:rsid w:val="006F0E98"/>
    <w:rsid w:val="006F3BFD"/>
    <w:rsid w:val="006F6B0B"/>
    <w:rsid w:val="006F72FE"/>
    <w:rsid w:val="007017D4"/>
    <w:rsid w:val="00703BD4"/>
    <w:rsid w:val="0070442B"/>
    <w:rsid w:val="00713646"/>
    <w:rsid w:val="00714041"/>
    <w:rsid w:val="00716384"/>
    <w:rsid w:val="007167C2"/>
    <w:rsid w:val="0071718A"/>
    <w:rsid w:val="00720F50"/>
    <w:rsid w:val="00721AB3"/>
    <w:rsid w:val="00727077"/>
    <w:rsid w:val="007338E4"/>
    <w:rsid w:val="00736AD5"/>
    <w:rsid w:val="00737001"/>
    <w:rsid w:val="00737884"/>
    <w:rsid w:val="00746337"/>
    <w:rsid w:val="007502BA"/>
    <w:rsid w:val="00750AEE"/>
    <w:rsid w:val="007532AB"/>
    <w:rsid w:val="007548E0"/>
    <w:rsid w:val="007551B6"/>
    <w:rsid w:val="007600FC"/>
    <w:rsid w:val="0076091A"/>
    <w:rsid w:val="00767C4C"/>
    <w:rsid w:val="00767CD2"/>
    <w:rsid w:val="007720FB"/>
    <w:rsid w:val="007750A5"/>
    <w:rsid w:val="00775C7E"/>
    <w:rsid w:val="007827BC"/>
    <w:rsid w:val="00784754"/>
    <w:rsid w:val="00784B61"/>
    <w:rsid w:val="00784B82"/>
    <w:rsid w:val="0079104E"/>
    <w:rsid w:val="007927CF"/>
    <w:rsid w:val="00793A77"/>
    <w:rsid w:val="00795372"/>
    <w:rsid w:val="00797ED3"/>
    <w:rsid w:val="007A2F02"/>
    <w:rsid w:val="007A4D1E"/>
    <w:rsid w:val="007A684C"/>
    <w:rsid w:val="007B0724"/>
    <w:rsid w:val="007B0CC0"/>
    <w:rsid w:val="007B7940"/>
    <w:rsid w:val="007C2649"/>
    <w:rsid w:val="007D4928"/>
    <w:rsid w:val="007D72DE"/>
    <w:rsid w:val="007D74C6"/>
    <w:rsid w:val="007E08E1"/>
    <w:rsid w:val="007E3C18"/>
    <w:rsid w:val="007E466F"/>
    <w:rsid w:val="007E52EE"/>
    <w:rsid w:val="007E7478"/>
    <w:rsid w:val="007F0D71"/>
    <w:rsid w:val="007F0E1F"/>
    <w:rsid w:val="007F2344"/>
    <w:rsid w:val="00800D1D"/>
    <w:rsid w:val="008047CB"/>
    <w:rsid w:val="008052A2"/>
    <w:rsid w:val="0081117C"/>
    <w:rsid w:val="008148E5"/>
    <w:rsid w:val="00815019"/>
    <w:rsid w:val="008320A3"/>
    <w:rsid w:val="0083297A"/>
    <w:rsid w:val="00835A70"/>
    <w:rsid w:val="00835ACE"/>
    <w:rsid w:val="008361F1"/>
    <w:rsid w:val="00837E37"/>
    <w:rsid w:val="00850D7A"/>
    <w:rsid w:val="00851E1D"/>
    <w:rsid w:val="00853343"/>
    <w:rsid w:val="00856043"/>
    <w:rsid w:val="008565A5"/>
    <w:rsid w:val="00857881"/>
    <w:rsid w:val="00866DA9"/>
    <w:rsid w:val="00867E69"/>
    <w:rsid w:val="00870B19"/>
    <w:rsid w:val="00873549"/>
    <w:rsid w:val="008751B9"/>
    <w:rsid w:val="00875C07"/>
    <w:rsid w:val="00876BF9"/>
    <w:rsid w:val="00885F66"/>
    <w:rsid w:val="00894908"/>
    <w:rsid w:val="00895BD4"/>
    <w:rsid w:val="0089779E"/>
    <w:rsid w:val="008A621E"/>
    <w:rsid w:val="008B1154"/>
    <w:rsid w:val="008B2E8B"/>
    <w:rsid w:val="008B31BE"/>
    <w:rsid w:val="008B4B93"/>
    <w:rsid w:val="008C2640"/>
    <w:rsid w:val="008D0548"/>
    <w:rsid w:val="008D3F1E"/>
    <w:rsid w:val="008D52A3"/>
    <w:rsid w:val="008E1876"/>
    <w:rsid w:val="008E46F9"/>
    <w:rsid w:val="008E4917"/>
    <w:rsid w:val="008E5A60"/>
    <w:rsid w:val="008E72CC"/>
    <w:rsid w:val="008E7D5E"/>
    <w:rsid w:val="008E7D9C"/>
    <w:rsid w:val="008F56EA"/>
    <w:rsid w:val="008F6B70"/>
    <w:rsid w:val="008F7320"/>
    <w:rsid w:val="008F7CAC"/>
    <w:rsid w:val="009000D7"/>
    <w:rsid w:val="009016AC"/>
    <w:rsid w:val="00901979"/>
    <w:rsid w:val="00910C8E"/>
    <w:rsid w:val="0091350E"/>
    <w:rsid w:val="009136DA"/>
    <w:rsid w:val="00913FB3"/>
    <w:rsid w:val="009142E2"/>
    <w:rsid w:val="00914AC3"/>
    <w:rsid w:val="00915AAF"/>
    <w:rsid w:val="009174BF"/>
    <w:rsid w:val="009204CA"/>
    <w:rsid w:val="00920926"/>
    <w:rsid w:val="009215D9"/>
    <w:rsid w:val="0092480F"/>
    <w:rsid w:val="009307D6"/>
    <w:rsid w:val="00931EF9"/>
    <w:rsid w:val="00933C22"/>
    <w:rsid w:val="00941E53"/>
    <w:rsid w:val="009427CE"/>
    <w:rsid w:val="00942B13"/>
    <w:rsid w:val="00944292"/>
    <w:rsid w:val="00950D1F"/>
    <w:rsid w:val="009557DD"/>
    <w:rsid w:val="00973E54"/>
    <w:rsid w:val="00974284"/>
    <w:rsid w:val="00976BB8"/>
    <w:rsid w:val="009841C4"/>
    <w:rsid w:val="00985C1D"/>
    <w:rsid w:val="0099034E"/>
    <w:rsid w:val="00994856"/>
    <w:rsid w:val="009A1388"/>
    <w:rsid w:val="009A4592"/>
    <w:rsid w:val="009A7D98"/>
    <w:rsid w:val="009A7F8D"/>
    <w:rsid w:val="009B39D5"/>
    <w:rsid w:val="009B59E3"/>
    <w:rsid w:val="009B5A4E"/>
    <w:rsid w:val="009C00C3"/>
    <w:rsid w:val="009C096D"/>
    <w:rsid w:val="009C3E42"/>
    <w:rsid w:val="009C6089"/>
    <w:rsid w:val="009C78F7"/>
    <w:rsid w:val="009D5360"/>
    <w:rsid w:val="009D631D"/>
    <w:rsid w:val="009D732C"/>
    <w:rsid w:val="009E07CA"/>
    <w:rsid w:val="009E0CFD"/>
    <w:rsid w:val="009E5315"/>
    <w:rsid w:val="00A00B3F"/>
    <w:rsid w:val="00A0443D"/>
    <w:rsid w:val="00A056FA"/>
    <w:rsid w:val="00A0570E"/>
    <w:rsid w:val="00A0653E"/>
    <w:rsid w:val="00A23F36"/>
    <w:rsid w:val="00A24B20"/>
    <w:rsid w:val="00A26762"/>
    <w:rsid w:val="00A310C9"/>
    <w:rsid w:val="00A31500"/>
    <w:rsid w:val="00A336B4"/>
    <w:rsid w:val="00A40E74"/>
    <w:rsid w:val="00A433C1"/>
    <w:rsid w:val="00A45B36"/>
    <w:rsid w:val="00A5093E"/>
    <w:rsid w:val="00A54377"/>
    <w:rsid w:val="00A5538D"/>
    <w:rsid w:val="00A56884"/>
    <w:rsid w:val="00A61FC6"/>
    <w:rsid w:val="00A63CB2"/>
    <w:rsid w:val="00A70573"/>
    <w:rsid w:val="00A730E2"/>
    <w:rsid w:val="00A8391C"/>
    <w:rsid w:val="00A83AF9"/>
    <w:rsid w:val="00A85DE4"/>
    <w:rsid w:val="00A978C1"/>
    <w:rsid w:val="00AB1C43"/>
    <w:rsid w:val="00AC22C2"/>
    <w:rsid w:val="00AC37FD"/>
    <w:rsid w:val="00AC70E8"/>
    <w:rsid w:val="00AE61D1"/>
    <w:rsid w:val="00AF1EFB"/>
    <w:rsid w:val="00AF4B85"/>
    <w:rsid w:val="00AF5272"/>
    <w:rsid w:val="00B00C7A"/>
    <w:rsid w:val="00B01812"/>
    <w:rsid w:val="00B06035"/>
    <w:rsid w:val="00B063B7"/>
    <w:rsid w:val="00B14799"/>
    <w:rsid w:val="00B22602"/>
    <w:rsid w:val="00B23466"/>
    <w:rsid w:val="00B3260F"/>
    <w:rsid w:val="00B33E06"/>
    <w:rsid w:val="00B42A0D"/>
    <w:rsid w:val="00B44E8C"/>
    <w:rsid w:val="00B467E8"/>
    <w:rsid w:val="00B5727E"/>
    <w:rsid w:val="00B602F4"/>
    <w:rsid w:val="00B61C28"/>
    <w:rsid w:val="00B61D96"/>
    <w:rsid w:val="00B63546"/>
    <w:rsid w:val="00B67BCE"/>
    <w:rsid w:val="00B70567"/>
    <w:rsid w:val="00B70D48"/>
    <w:rsid w:val="00B724A1"/>
    <w:rsid w:val="00B73B98"/>
    <w:rsid w:val="00B76B03"/>
    <w:rsid w:val="00B76D6D"/>
    <w:rsid w:val="00B83EF0"/>
    <w:rsid w:val="00B84FAF"/>
    <w:rsid w:val="00B9226B"/>
    <w:rsid w:val="00B94029"/>
    <w:rsid w:val="00B97B42"/>
    <w:rsid w:val="00BA0932"/>
    <w:rsid w:val="00BA4175"/>
    <w:rsid w:val="00BC0CA8"/>
    <w:rsid w:val="00BC12B3"/>
    <w:rsid w:val="00BC4517"/>
    <w:rsid w:val="00BC7D65"/>
    <w:rsid w:val="00BD0221"/>
    <w:rsid w:val="00BD0633"/>
    <w:rsid w:val="00BD38B0"/>
    <w:rsid w:val="00BD639E"/>
    <w:rsid w:val="00BE61AF"/>
    <w:rsid w:val="00BF04A3"/>
    <w:rsid w:val="00BF118B"/>
    <w:rsid w:val="00BF3464"/>
    <w:rsid w:val="00BF3595"/>
    <w:rsid w:val="00BF3903"/>
    <w:rsid w:val="00BF79AB"/>
    <w:rsid w:val="00C032A6"/>
    <w:rsid w:val="00C04F6C"/>
    <w:rsid w:val="00C068A9"/>
    <w:rsid w:val="00C1160C"/>
    <w:rsid w:val="00C130A3"/>
    <w:rsid w:val="00C24186"/>
    <w:rsid w:val="00C346EB"/>
    <w:rsid w:val="00C374CA"/>
    <w:rsid w:val="00C41BBA"/>
    <w:rsid w:val="00C41DDD"/>
    <w:rsid w:val="00C443A8"/>
    <w:rsid w:val="00C44A5D"/>
    <w:rsid w:val="00C50A3D"/>
    <w:rsid w:val="00C5196B"/>
    <w:rsid w:val="00C51D3A"/>
    <w:rsid w:val="00C5741E"/>
    <w:rsid w:val="00C64B01"/>
    <w:rsid w:val="00C66EA1"/>
    <w:rsid w:val="00C67C27"/>
    <w:rsid w:val="00C8076F"/>
    <w:rsid w:val="00C80DD4"/>
    <w:rsid w:val="00C80DFC"/>
    <w:rsid w:val="00C82AA4"/>
    <w:rsid w:val="00C8627C"/>
    <w:rsid w:val="00C866D6"/>
    <w:rsid w:val="00C87B42"/>
    <w:rsid w:val="00C87F00"/>
    <w:rsid w:val="00CB3C22"/>
    <w:rsid w:val="00CC0B98"/>
    <w:rsid w:val="00CC22B9"/>
    <w:rsid w:val="00CC2D57"/>
    <w:rsid w:val="00CC6040"/>
    <w:rsid w:val="00CC7291"/>
    <w:rsid w:val="00CD2FE6"/>
    <w:rsid w:val="00CD6084"/>
    <w:rsid w:val="00CE3CFE"/>
    <w:rsid w:val="00CE3E52"/>
    <w:rsid w:val="00CE51C9"/>
    <w:rsid w:val="00CF41B3"/>
    <w:rsid w:val="00CF7A17"/>
    <w:rsid w:val="00D06EBA"/>
    <w:rsid w:val="00D0783A"/>
    <w:rsid w:val="00D11EBE"/>
    <w:rsid w:val="00D14952"/>
    <w:rsid w:val="00D171B9"/>
    <w:rsid w:val="00D24191"/>
    <w:rsid w:val="00D243D4"/>
    <w:rsid w:val="00D252EE"/>
    <w:rsid w:val="00D26251"/>
    <w:rsid w:val="00D27D02"/>
    <w:rsid w:val="00D27F06"/>
    <w:rsid w:val="00D31292"/>
    <w:rsid w:val="00D34207"/>
    <w:rsid w:val="00D34FFC"/>
    <w:rsid w:val="00D433FD"/>
    <w:rsid w:val="00D44367"/>
    <w:rsid w:val="00D447BF"/>
    <w:rsid w:val="00D451D2"/>
    <w:rsid w:val="00D52C64"/>
    <w:rsid w:val="00D53B91"/>
    <w:rsid w:val="00D54F67"/>
    <w:rsid w:val="00D63D4B"/>
    <w:rsid w:val="00D66B9B"/>
    <w:rsid w:val="00D675C4"/>
    <w:rsid w:val="00D73754"/>
    <w:rsid w:val="00D76E09"/>
    <w:rsid w:val="00D83D3A"/>
    <w:rsid w:val="00D846C0"/>
    <w:rsid w:val="00D876A4"/>
    <w:rsid w:val="00D901F7"/>
    <w:rsid w:val="00D94B1B"/>
    <w:rsid w:val="00D97BAC"/>
    <w:rsid w:val="00DA2584"/>
    <w:rsid w:val="00DA3670"/>
    <w:rsid w:val="00DA4870"/>
    <w:rsid w:val="00DB67F6"/>
    <w:rsid w:val="00DC62F5"/>
    <w:rsid w:val="00DC6612"/>
    <w:rsid w:val="00DD31B9"/>
    <w:rsid w:val="00DD7876"/>
    <w:rsid w:val="00DD7C1D"/>
    <w:rsid w:val="00DE0F31"/>
    <w:rsid w:val="00DE288D"/>
    <w:rsid w:val="00DE3B44"/>
    <w:rsid w:val="00DF4B8C"/>
    <w:rsid w:val="00E02A6D"/>
    <w:rsid w:val="00E12128"/>
    <w:rsid w:val="00E13BB2"/>
    <w:rsid w:val="00E33CA9"/>
    <w:rsid w:val="00E50F46"/>
    <w:rsid w:val="00E5649C"/>
    <w:rsid w:val="00E56F09"/>
    <w:rsid w:val="00E57520"/>
    <w:rsid w:val="00E6113D"/>
    <w:rsid w:val="00E7765E"/>
    <w:rsid w:val="00E805ED"/>
    <w:rsid w:val="00E923BD"/>
    <w:rsid w:val="00E967CE"/>
    <w:rsid w:val="00EA0B8E"/>
    <w:rsid w:val="00EA226A"/>
    <w:rsid w:val="00EA66B2"/>
    <w:rsid w:val="00EA6A99"/>
    <w:rsid w:val="00EB0205"/>
    <w:rsid w:val="00EB2143"/>
    <w:rsid w:val="00EB323F"/>
    <w:rsid w:val="00EC00E0"/>
    <w:rsid w:val="00EC0E06"/>
    <w:rsid w:val="00EC2B70"/>
    <w:rsid w:val="00ED154B"/>
    <w:rsid w:val="00ED66DE"/>
    <w:rsid w:val="00EE166E"/>
    <w:rsid w:val="00EE22A2"/>
    <w:rsid w:val="00EE3771"/>
    <w:rsid w:val="00EE4D10"/>
    <w:rsid w:val="00EE5106"/>
    <w:rsid w:val="00EE5339"/>
    <w:rsid w:val="00EE7D5E"/>
    <w:rsid w:val="00EF27C2"/>
    <w:rsid w:val="00EF537E"/>
    <w:rsid w:val="00F119DB"/>
    <w:rsid w:val="00F11F5F"/>
    <w:rsid w:val="00F30E1D"/>
    <w:rsid w:val="00F34BFA"/>
    <w:rsid w:val="00F35ABE"/>
    <w:rsid w:val="00F44B44"/>
    <w:rsid w:val="00F639A7"/>
    <w:rsid w:val="00F65813"/>
    <w:rsid w:val="00F6665D"/>
    <w:rsid w:val="00F80819"/>
    <w:rsid w:val="00F81AC7"/>
    <w:rsid w:val="00F82567"/>
    <w:rsid w:val="00F917DE"/>
    <w:rsid w:val="00F925D3"/>
    <w:rsid w:val="00F92EAE"/>
    <w:rsid w:val="00FA0B72"/>
    <w:rsid w:val="00FA3730"/>
    <w:rsid w:val="00FA6EA8"/>
    <w:rsid w:val="00FB0DEA"/>
    <w:rsid w:val="00FB11AF"/>
    <w:rsid w:val="00FB3E27"/>
    <w:rsid w:val="00FB409B"/>
    <w:rsid w:val="00FC3B4F"/>
    <w:rsid w:val="00FC77C6"/>
    <w:rsid w:val="00FD48C6"/>
    <w:rsid w:val="00FD5D5C"/>
    <w:rsid w:val="00FD608C"/>
    <w:rsid w:val="00FE0BFC"/>
    <w:rsid w:val="00FE1357"/>
    <w:rsid w:val="00FE2451"/>
    <w:rsid w:val="00FE3ABA"/>
    <w:rsid w:val="00FE41F7"/>
    <w:rsid w:val="00FF035B"/>
    <w:rsid w:val="00FF5EA2"/>
    <w:rsid w:val="00FF7855"/>
    <w:rsid w:val="01116B5B"/>
    <w:rsid w:val="011A4BA0"/>
    <w:rsid w:val="012C3089"/>
    <w:rsid w:val="01304B2F"/>
    <w:rsid w:val="015C3615"/>
    <w:rsid w:val="019257B2"/>
    <w:rsid w:val="01956FA9"/>
    <w:rsid w:val="01A04B7B"/>
    <w:rsid w:val="01FC3C6F"/>
    <w:rsid w:val="021D3B56"/>
    <w:rsid w:val="022F20C5"/>
    <w:rsid w:val="02577626"/>
    <w:rsid w:val="02791E27"/>
    <w:rsid w:val="02900D23"/>
    <w:rsid w:val="029C0244"/>
    <w:rsid w:val="02AA2DEA"/>
    <w:rsid w:val="02C0541B"/>
    <w:rsid w:val="0306471B"/>
    <w:rsid w:val="030811F9"/>
    <w:rsid w:val="035F0179"/>
    <w:rsid w:val="037C0F8E"/>
    <w:rsid w:val="038C4942"/>
    <w:rsid w:val="03B03729"/>
    <w:rsid w:val="03BB4B7C"/>
    <w:rsid w:val="03BE1924"/>
    <w:rsid w:val="04065143"/>
    <w:rsid w:val="041C4F53"/>
    <w:rsid w:val="046C18CA"/>
    <w:rsid w:val="04782A5C"/>
    <w:rsid w:val="04A76D6B"/>
    <w:rsid w:val="04DA6718"/>
    <w:rsid w:val="05012038"/>
    <w:rsid w:val="051363A6"/>
    <w:rsid w:val="056D5974"/>
    <w:rsid w:val="058877AF"/>
    <w:rsid w:val="05A60880"/>
    <w:rsid w:val="05D536CE"/>
    <w:rsid w:val="05EC4A10"/>
    <w:rsid w:val="06306DBD"/>
    <w:rsid w:val="064623CE"/>
    <w:rsid w:val="06583329"/>
    <w:rsid w:val="067936A8"/>
    <w:rsid w:val="068040DD"/>
    <w:rsid w:val="06A22D3B"/>
    <w:rsid w:val="06D43D99"/>
    <w:rsid w:val="073E0CAD"/>
    <w:rsid w:val="074B7D21"/>
    <w:rsid w:val="075733C7"/>
    <w:rsid w:val="077E4FE7"/>
    <w:rsid w:val="078428B2"/>
    <w:rsid w:val="07847DC5"/>
    <w:rsid w:val="07C70D88"/>
    <w:rsid w:val="07DB10C5"/>
    <w:rsid w:val="07E44B76"/>
    <w:rsid w:val="081D394F"/>
    <w:rsid w:val="082D5096"/>
    <w:rsid w:val="086D3FCE"/>
    <w:rsid w:val="08806655"/>
    <w:rsid w:val="08D82A8D"/>
    <w:rsid w:val="08ED3358"/>
    <w:rsid w:val="08F15F05"/>
    <w:rsid w:val="09017A92"/>
    <w:rsid w:val="092006CB"/>
    <w:rsid w:val="095F2A34"/>
    <w:rsid w:val="09683FC3"/>
    <w:rsid w:val="09D277A4"/>
    <w:rsid w:val="09DB0E1A"/>
    <w:rsid w:val="09DC1E56"/>
    <w:rsid w:val="09FC7948"/>
    <w:rsid w:val="09FE5D13"/>
    <w:rsid w:val="0A4655D0"/>
    <w:rsid w:val="0A4E0D5C"/>
    <w:rsid w:val="0A993CB0"/>
    <w:rsid w:val="0A9B2F98"/>
    <w:rsid w:val="0AA73E6D"/>
    <w:rsid w:val="0AB2576C"/>
    <w:rsid w:val="0ABF0ADF"/>
    <w:rsid w:val="0AC10811"/>
    <w:rsid w:val="0AE0643B"/>
    <w:rsid w:val="0AEB6DA6"/>
    <w:rsid w:val="0AF00064"/>
    <w:rsid w:val="0AFE6082"/>
    <w:rsid w:val="0B0C49DB"/>
    <w:rsid w:val="0B29545B"/>
    <w:rsid w:val="0B55121E"/>
    <w:rsid w:val="0B5E3CE6"/>
    <w:rsid w:val="0BD24151"/>
    <w:rsid w:val="0BE926B2"/>
    <w:rsid w:val="0C082C01"/>
    <w:rsid w:val="0C15097B"/>
    <w:rsid w:val="0C276525"/>
    <w:rsid w:val="0C913275"/>
    <w:rsid w:val="0C946A81"/>
    <w:rsid w:val="0CAF0B0C"/>
    <w:rsid w:val="0CD65AFF"/>
    <w:rsid w:val="0D0E7EBF"/>
    <w:rsid w:val="0D2E4536"/>
    <w:rsid w:val="0D407F92"/>
    <w:rsid w:val="0D777AE7"/>
    <w:rsid w:val="0D994B59"/>
    <w:rsid w:val="0DBE2ED7"/>
    <w:rsid w:val="0DE366A4"/>
    <w:rsid w:val="0DFA7EDE"/>
    <w:rsid w:val="0DFD26F2"/>
    <w:rsid w:val="0E2E41F4"/>
    <w:rsid w:val="0E664FFE"/>
    <w:rsid w:val="0EB05FD0"/>
    <w:rsid w:val="0ED34A1E"/>
    <w:rsid w:val="0EDB7409"/>
    <w:rsid w:val="0F5410B9"/>
    <w:rsid w:val="0F5E7180"/>
    <w:rsid w:val="0F6D0557"/>
    <w:rsid w:val="0F8400ED"/>
    <w:rsid w:val="0F8F6121"/>
    <w:rsid w:val="0F923F92"/>
    <w:rsid w:val="0FC17BF7"/>
    <w:rsid w:val="0FC458FE"/>
    <w:rsid w:val="0FCB5573"/>
    <w:rsid w:val="0FE43AA8"/>
    <w:rsid w:val="0FE65ACF"/>
    <w:rsid w:val="100D3DC7"/>
    <w:rsid w:val="101A1595"/>
    <w:rsid w:val="10353D6A"/>
    <w:rsid w:val="105E098D"/>
    <w:rsid w:val="10867D4B"/>
    <w:rsid w:val="10964E7D"/>
    <w:rsid w:val="10A866E2"/>
    <w:rsid w:val="10CC3BDA"/>
    <w:rsid w:val="10D2429F"/>
    <w:rsid w:val="11633031"/>
    <w:rsid w:val="11BA00CB"/>
    <w:rsid w:val="11C02DE6"/>
    <w:rsid w:val="11E21FA2"/>
    <w:rsid w:val="12292C0D"/>
    <w:rsid w:val="12A23F03"/>
    <w:rsid w:val="12BA07A5"/>
    <w:rsid w:val="12BC3A2A"/>
    <w:rsid w:val="12D30D98"/>
    <w:rsid w:val="12FF63A7"/>
    <w:rsid w:val="130A52D4"/>
    <w:rsid w:val="1315760F"/>
    <w:rsid w:val="133A66B6"/>
    <w:rsid w:val="133C2560"/>
    <w:rsid w:val="135352C8"/>
    <w:rsid w:val="135764BB"/>
    <w:rsid w:val="13637E9E"/>
    <w:rsid w:val="136B03EE"/>
    <w:rsid w:val="1378530F"/>
    <w:rsid w:val="137D20DD"/>
    <w:rsid w:val="13890654"/>
    <w:rsid w:val="139519BE"/>
    <w:rsid w:val="139B04F8"/>
    <w:rsid w:val="13C60FC5"/>
    <w:rsid w:val="14043E1B"/>
    <w:rsid w:val="14141333"/>
    <w:rsid w:val="14596EF8"/>
    <w:rsid w:val="14C40A84"/>
    <w:rsid w:val="14D55FC8"/>
    <w:rsid w:val="14D85834"/>
    <w:rsid w:val="14E01108"/>
    <w:rsid w:val="14EB78B4"/>
    <w:rsid w:val="152E58F9"/>
    <w:rsid w:val="153A4E1D"/>
    <w:rsid w:val="155E0108"/>
    <w:rsid w:val="156A1281"/>
    <w:rsid w:val="158D298E"/>
    <w:rsid w:val="15946B1F"/>
    <w:rsid w:val="15AD7D28"/>
    <w:rsid w:val="15F11529"/>
    <w:rsid w:val="16090A2E"/>
    <w:rsid w:val="160B59D6"/>
    <w:rsid w:val="161B26F8"/>
    <w:rsid w:val="16242F86"/>
    <w:rsid w:val="16324CE7"/>
    <w:rsid w:val="164E68F5"/>
    <w:rsid w:val="16735A68"/>
    <w:rsid w:val="16C50E37"/>
    <w:rsid w:val="16D73F24"/>
    <w:rsid w:val="1714448E"/>
    <w:rsid w:val="172274D1"/>
    <w:rsid w:val="17432860"/>
    <w:rsid w:val="17821D42"/>
    <w:rsid w:val="17A45372"/>
    <w:rsid w:val="17FB4AC6"/>
    <w:rsid w:val="18103030"/>
    <w:rsid w:val="18236BB0"/>
    <w:rsid w:val="18290F19"/>
    <w:rsid w:val="185A062C"/>
    <w:rsid w:val="18B720B1"/>
    <w:rsid w:val="18BD2212"/>
    <w:rsid w:val="18C4127F"/>
    <w:rsid w:val="18F949C2"/>
    <w:rsid w:val="1913779F"/>
    <w:rsid w:val="193D7458"/>
    <w:rsid w:val="19515C84"/>
    <w:rsid w:val="196249C6"/>
    <w:rsid w:val="198E0A2D"/>
    <w:rsid w:val="198E63DF"/>
    <w:rsid w:val="19D07087"/>
    <w:rsid w:val="1A1E0B68"/>
    <w:rsid w:val="1A2C6F3D"/>
    <w:rsid w:val="1A332C1B"/>
    <w:rsid w:val="1A613E3C"/>
    <w:rsid w:val="1A813304"/>
    <w:rsid w:val="1A984691"/>
    <w:rsid w:val="1AC34875"/>
    <w:rsid w:val="1ADB4033"/>
    <w:rsid w:val="1ADB4BBB"/>
    <w:rsid w:val="1AF1138B"/>
    <w:rsid w:val="1B194E82"/>
    <w:rsid w:val="1B3B42DC"/>
    <w:rsid w:val="1B4B2BB7"/>
    <w:rsid w:val="1B527BA1"/>
    <w:rsid w:val="1B7A3AD2"/>
    <w:rsid w:val="1BA33B30"/>
    <w:rsid w:val="1BEF1DBC"/>
    <w:rsid w:val="1C081724"/>
    <w:rsid w:val="1C294915"/>
    <w:rsid w:val="1C347C3D"/>
    <w:rsid w:val="1C467966"/>
    <w:rsid w:val="1C7627A8"/>
    <w:rsid w:val="1C7B2A6C"/>
    <w:rsid w:val="1C890F78"/>
    <w:rsid w:val="1CA7004B"/>
    <w:rsid w:val="1CC23042"/>
    <w:rsid w:val="1CD265E3"/>
    <w:rsid w:val="1CDB7760"/>
    <w:rsid w:val="1CE56310"/>
    <w:rsid w:val="1CEB5EEC"/>
    <w:rsid w:val="1D52211B"/>
    <w:rsid w:val="1D5C4302"/>
    <w:rsid w:val="1D661B61"/>
    <w:rsid w:val="1D7415CA"/>
    <w:rsid w:val="1D884CA0"/>
    <w:rsid w:val="1D9046E0"/>
    <w:rsid w:val="1D993248"/>
    <w:rsid w:val="1D9B6263"/>
    <w:rsid w:val="1DB44D35"/>
    <w:rsid w:val="1DC30EF6"/>
    <w:rsid w:val="1DF73DBA"/>
    <w:rsid w:val="1DFF63FC"/>
    <w:rsid w:val="1E1B5C34"/>
    <w:rsid w:val="1E6E39E4"/>
    <w:rsid w:val="1E6F46E7"/>
    <w:rsid w:val="1E7F328D"/>
    <w:rsid w:val="1E8343C0"/>
    <w:rsid w:val="1E9015BF"/>
    <w:rsid w:val="1E905086"/>
    <w:rsid w:val="1EAD70B1"/>
    <w:rsid w:val="1EB438ED"/>
    <w:rsid w:val="1EC766EB"/>
    <w:rsid w:val="1ED13687"/>
    <w:rsid w:val="1EEA585B"/>
    <w:rsid w:val="1F0D1A3A"/>
    <w:rsid w:val="1F633997"/>
    <w:rsid w:val="1F7C4007"/>
    <w:rsid w:val="1F843F20"/>
    <w:rsid w:val="1F873805"/>
    <w:rsid w:val="1F9B142B"/>
    <w:rsid w:val="1FCB7321"/>
    <w:rsid w:val="1FF45820"/>
    <w:rsid w:val="200937E1"/>
    <w:rsid w:val="200E7ECE"/>
    <w:rsid w:val="20154252"/>
    <w:rsid w:val="20444D71"/>
    <w:rsid w:val="207A731C"/>
    <w:rsid w:val="20A00500"/>
    <w:rsid w:val="21215ACB"/>
    <w:rsid w:val="212D3BE6"/>
    <w:rsid w:val="21365F48"/>
    <w:rsid w:val="21647EB5"/>
    <w:rsid w:val="217A0713"/>
    <w:rsid w:val="217E7FF9"/>
    <w:rsid w:val="21A139A2"/>
    <w:rsid w:val="21BE623B"/>
    <w:rsid w:val="22101283"/>
    <w:rsid w:val="221B06D8"/>
    <w:rsid w:val="223B7A3D"/>
    <w:rsid w:val="22457843"/>
    <w:rsid w:val="226C3081"/>
    <w:rsid w:val="22D1574F"/>
    <w:rsid w:val="22EA6E50"/>
    <w:rsid w:val="22EF16B0"/>
    <w:rsid w:val="22FF58C1"/>
    <w:rsid w:val="231F0396"/>
    <w:rsid w:val="23370D5D"/>
    <w:rsid w:val="234E0561"/>
    <w:rsid w:val="23726847"/>
    <w:rsid w:val="237714D0"/>
    <w:rsid w:val="23D80BAA"/>
    <w:rsid w:val="240A13AA"/>
    <w:rsid w:val="241330F4"/>
    <w:rsid w:val="241C627E"/>
    <w:rsid w:val="246758CA"/>
    <w:rsid w:val="24754C9B"/>
    <w:rsid w:val="24756B03"/>
    <w:rsid w:val="24B06541"/>
    <w:rsid w:val="24C30DBE"/>
    <w:rsid w:val="251A604B"/>
    <w:rsid w:val="25333423"/>
    <w:rsid w:val="25B05E10"/>
    <w:rsid w:val="260841AC"/>
    <w:rsid w:val="260C4E4A"/>
    <w:rsid w:val="26362C2B"/>
    <w:rsid w:val="2657483C"/>
    <w:rsid w:val="267A3AE1"/>
    <w:rsid w:val="26821741"/>
    <w:rsid w:val="2699534C"/>
    <w:rsid w:val="26B33E5E"/>
    <w:rsid w:val="26B413A6"/>
    <w:rsid w:val="27350D84"/>
    <w:rsid w:val="27601BD3"/>
    <w:rsid w:val="27694DFF"/>
    <w:rsid w:val="277221BA"/>
    <w:rsid w:val="277E771F"/>
    <w:rsid w:val="278640A9"/>
    <w:rsid w:val="27871D57"/>
    <w:rsid w:val="278746A9"/>
    <w:rsid w:val="27887609"/>
    <w:rsid w:val="27BB68D4"/>
    <w:rsid w:val="282D5BE7"/>
    <w:rsid w:val="284050AF"/>
    <w:rsid w:val="29063351"/>
    <w:rsid w:val="292105E6"/>
    <w:rsid w:val="29212EF3"/>
    <w:rsid w:val="29282243"/>
    <w:rsid w:val="299737C2"/>
    <w:rsid w:val="299D1B83"/>
    <w:rsid w:val="29A75A20"/>
    <w:rsid w:val="29FB300B"/>
    <w:rsid w:val="2A1362CD"/>
    <w:rsid w:val="2A240154"/>
    <w:rsid w:val="2A2A71C7"/>
    <w:rsid w:val="2A322FF9"/>
    <w:rsid w:val="2A6427C4"/>
    <w:rsid w:val="2A6C7CB3"/>
    <w:rsid w:val="2A731377"/>
    <w:rsid w:val="2A774FBE"/>
    <w:rsid w:val="2A7A680A"/>
    <w:rsid w:val="2A912D70"/>
    <w:rsid w:val="2A933A68"/>
    <w:rsid w:val="2AD81E7C"/>
    <w:rsid w:val="2B0601B0"/>
    <w:rsid w:val="2B297A1E"/>
    <w:rsid w:val="2B525D26"/>
    <w:rsid w:val="2B621E54"/>
    <w:rsid w:val="2B81627C"/>
    <w:rsid w:val="2BBF02A2"/>
    <w:rsid w:val="2BCA5E93"/>
    <w:rsid w:val="2C0E343B"/>
    <w:rsid w:val="2C1B44DF"/>
    <w:rsid w:val="2C287856"/>
    <w:rsid w:val="2C3D23FC"/>
    <w:rsid w:val="2C4E170E"/>
    <w:rsid w:val="2CC966C2"/>
    <w:rsid w:val="2CCE7294"/>
    <w:rsid w:val="2CEA3932"/>
    <w:rsid w:val="2D30627E"/>
    <w:rsid w:val="2D3A641F"/>
    <w:rsid w:val="2D456ACB"/>
    <w:rsid w:val="2D5156DC"/>
    <w:rsid w:val="2D7F1F53"/>
    <w:rsid w:val="2DCB19DF"/>
    <w:rsid w:val="2E0C588C"/>
    <w:rsid w:val="2E1F43F0"/>
    <w:rsid w:val="2E553102"/>
    <w:rsid w:val="2E7E15EC"/>
    <w:rsid w:val="2E8F79F0"/>
    <w:rsid w:val="2EB505D6"/>
    <w:rsid w:val="2EB52E1E"/>
    <w:rsid w:val="2ED07739"/>
    <w:rsid w:val="2ED41E73"/>
    <w:rsid w:val="2EF94752"/>
    <w:rsid w:val="2F0D5165"/>
    <w:rsid w:val="2F312BC6"/>
    <w:rsid w:val="2F331354"/>
    <w:rsid w:val="2F49229F"/>
    <w:rsid w:val="2F803809"/>
    <w:rsid w:val="2FB24B08"/>
    <w:rsid w:val="2FB519F8"/>
    <w:rsid w:val="2FE04CAD"/>
    <w:rsid w:val="300A7867"/>
    <w:rsid w:val="300C5CE4"/>
    <w:rsid w:val="300F116A"/>
    <w:rsid w:val="30102E96"/>
    <w:rsid w:val="305172ED"/>
    <w:rsid w:val="305C71BA"/>
    <w:rsid w:val="30733AC2"/>
    <w:rsid w:val="308E4566"/>
    <w:rsid w:val="30962C05"/>
    <w:rsid w:val="30B25622"/>
    <w:rsid w:val="30BC4302"/>
    <w:rsid w:val="31751BCF"/>
    <w:rsid w:val="31AB2767"/>
    <w:rsid w:val="31B47A11"/>
    <w:rsid w:val="31C140A9"/>
    <w:rsid w:val="31F20C40"/>
    <w:rsid w:val="320C6CF2"/>
    <w:rsid w:val="32176345"/>
    <w:rsid w:val="3246189C"/>
    <w:rsid w:val="325C2E46"/>
    <w:rsid w:val="3261731A"/>
    <w:rsid w:val="328104C3"/>
    <w:rsid w:val="32A6232D"/>
    <w:rsid w:val="32AD42E8"/>
    <w:rsid w:val="333D16EA"/>
    <w:rsid w:val="334B5FCE"/>
    <w:rsid w:val="335A3B75"/>
    <w:rsid w:val="3374774E"/>
    <w:rsid w:val="33843EDA"/>
    <w:rsid w:val="33922CCC"/>
    <w:rsid w:val="33984515"/>
    <w:rsid w:val="33BD1CCA"/>
    <w:rsid w:val="33F07B55"/>
    <w:rsid w:val="341C46FE"/>
    <w:rsid w:val="343740DF"/>
    <w:rsid w:val="34431BE6"/>
    <w:rsid w:val="344A4316"/>
    <w:rsid w:val="34811092"/>
    <w:rsid w:val="3497300A"/>
    <w:rsid w:val="34B243A8"/>
    <w:rsid w:val="34BC0857"/>
    <w:rsid w:val="34BD4AC8"/>
    <w:rsid w:val="34C95D1E"/>
    <w:rsid w:val="34CB0381"/>
    <w:rsid w:val="34CB038F"/>
    <w:rsid w:val="34EE697E"/>
    <w:rsid w:val="34FC127B"/>
    <w:rsid w:val="353243CF"/>
    <w:rsid w:val="356D653A"/>
    <w:rsid w:val="357B4FBF"/>
    <w:rsid w:val="35A73AE2"/>
    <w:rsid w:val="35B72340"/>
    <w:rsid w:val="367E6A2C"/>
    <w:rsid w:val="368B53A8"/>
    <w:rsid w:val="369E2E03"/>
    <w:rsid w:val="36AD0DE7"/>
    <w:rsid w:val="36C82883"/>
    <w:rsid w:val="36FA194B"/>
    <w:rsid w:val="37010B73"/>
    <w:rsid w:val="37036225"/>
    <w:rsid w:val="370F2AF6"/>
    <w:rsid w:val="371D71D5"/>
    <w:rsid w:val="37310D69"/>
    <w:rsid w:val="376128A1"/>
    <w:rsid w:val="37CE3A78"/>
    <w:rsid w:val="37D22E73"/>
    <w:rsid w:val="37E55A7D"/>
    <w:rsid w:val="37F418C0"/>
    <w:rsid w:val="389B3E3A"/>
    <w:rsid w:val="38CE5539"/>
    <w:rsid w:val="38D35B05"/>
    <w:rsid w:val="390213D6"/>
    <w:rsid w:val="39452614"/>
    <w:rsid w:val="39476A4D"/>
    <w:rsid w:val="397A4EB9"/>
    <w:rsid w:val="3A187234"/>
    <w:rsid w:val="3A656BD7"/>
    <w:rsid w:val="3A8237A2"/>
    <w:rsid w:val="3A8B1394"/>
    <w:rsid w:val="3A9159DA"/>
    <w:rsid w:val="3ABD5B64"/>
    <w:rsid w:val="3B1A2922"/>
    <w:rsid w:val="3B421FAE"/>
    <w:rsid w:val="3B61419F"/>
    <w:rsid w:val="3B8A5523"/>
    <w:rsid w:val="3B94575F"/>
    <w:rsid w:val="3BAF6C9E"/>
    <w:rsid w:val="3BB55322"/>
    <w:rsid w:val="3BC11E4F"/>
    <w:rsid w:val="3BC14022"/>
    <w:rsid w:val="3BF00E80"/>
    <w:rsid w:val="3BF17FD2"/>
    <w:rsid w:val="3BF9135B"/>
    <w:rsid w:val="3BFA1322"/>
    <w:rsid w:val="3C79426D"/>
    <w:rsid w:val="3CBF75A8"/>
    <w:rsid w:val="3CC2311F"/>
    <w:rsid w:val="3CC83B58"/>
    <w:rsid w:val="3D056C0E"/>
    <w:rsid w:val="3D0B1874"/>
    <w:rsid w:val="3D3046D0"/>
    <w:rsid w:val="3D3E1603"/>
    <w:rsid w:val="3D5E6A59"/>
    <w:rsid w:val="3D6C066D"/>
    <w:rsid w:val="3D6C354C"/>
    <w:rsid w:val="3D9D115F"/>
    <w:rsid w:val="3D9F0D50"/>
    <w:rsid w:val="3DB577C8"/>
    <w:rsid w:val="3DD56650"/>
    <w:rsid w:val="3DD668B7"/>
    <w:rsid w:val="3DDF14AB"/>
    <w:rsid w:val="3DE55BC0"/>
    <w:rsid w:val="3E0F4946"/>
    <w:rsid w:val="3E4D6C79"/>
    <w:rsid w:val="3EC479CA"/>
    <w:rsid w:val="3ECD205A"/>
    <w:rsid w:val="3EEF1624"/>
    <w:rsid w:val="3EFE6CB8"/>
    <w:rsid w:val="3F1B7CC9"/>
    <w:rsid w:val="3F236178"/>
    <w:rsid w:val="3F287306"/>
    <w:rsid w:val="3F2C7A9C"/>
    <w:rsid w:val="3F724C4C"/>
    <w:rsid w:val="3F817BE2"/>
    <w:rsid w:val="3FAD7307"/>
    <w:rsid w:val="3FB65568"/>
    <w:rsid w:val="3FC01BA7"/>
    <w:rsid w:val="3FD37F2E"/>
    <w:rsid w:val="3FD66430"/>
    <w:rsid w:val="3FE322A9"/>
    <w:rsid w:val="401976C0"/>
    <w:rsid w:val="40362BFB"/>
    <w:rsid w:val="403B4922"/>
    <w:rsid w:val="40D64F83"/>
    <w:rsid w:val="40EA24E3"/>
    <w:rsid w:val="411E583D"/>
    <w:rsid w:val="412474B4"/>
    <w:rsid w:val="413B6930"/>
    <w:rsid w:val="41626FAD"/>
    <w:rsid w:val="416E0FF5"/>
    <w:rsid w:val="41733044"/>
    <w:rsid w:val="419C183F"/>
    <w:rsid w:val="41AB06FF"/>
    <w:rsid w:val="41AE2ACA"/>
    <w:rsid w:val="41E826A8"/>
    <w:rsid w:val="41F82B7F"/>
    <w:rsid w:val="42286913"/>
    <w:rsid w:val="42554C9E"/>
    <w:rsid w:val="42AC1515"/>
    <w:rsid w:val="42BB2FD3"/>
    <w:rsid w:val="42BD3910"/>
    <w:rsid w:val="43191069"/>
    <w:rsid w:val="43431C8E"/>
    <w:rsid w:val="43444CDE"/>
    <w:rsid w:val="434D13E8"/>
    <w:rsid w:val="43562F12"/>
    <w:rsid w:val="43676918"/>
    <w:rsid w:val="43BA664C"/>
    <w:rsid w:val="43E14096"/>
    <w:rsid w:val="44267760"/>
    <w:rsid w:val="4451389F"/>
    <w:rsid w:val="44534198"/>
    <w:rsid w:val="44894224"/>
    <w:rsid w:val="44C520D2"/>
    <w:rsid w:val="44F409EE"/>
    <w:rsid w:val="44F623BE"/>
    <w:rsid w:val="44FA4020"/>
    <w:rsid w:val="45225848"/>
    <w:rsid w:val="45233A59"/>
    <w:rsid w:val="45246D0C"/>
    <w:rsid w:val="452A50A9"/>
    <w:rsid w:val="453C36E7"/>
    <w:rsid w:val="45490A70"/>
    <w:rsid w:val="46025566"/>
    <w:rsid w:val="460634D9"/>
    <w:rsid w:val="464E6D8D"/>
    <w:rsid w:val="466B4023"/>
    <w:rsid w:val="46717179"/>
    <w:rsid w:val="468022A9"/>
    <w:rsid w:val="46C25783"/>
    <w:rsid w:val="46C438CC"/>
    <w:rsid w:val="46F04847"/>
    <w:rsid w:val="4712734D"/>
    <w:rsid w:val="472015C5"/>
    <w:rsid w:val="472D383F"/>
    <w:rsid w:val="47524F8F"/>
    <w:rsid w:val="47594DD5"/>
    <w:rsid w:val="47670111"/>
    <w:rsid w:val="47B10ED5"/>
    <w:rsid w:val="47C203C0"/>
    <w:rsid w:val="47E23CD2"/>
    <w:rsid w:val="47E4536A"/>
    <w:rsid w:val="47FB3476"/>
    <w:rsid w:val="48075D0D"/>
    <w:rsid w:val="48123895"/>
    <w:rsid w:val="481B7622"/>
    <w:rsid w:val="4858606B"/>
    <w:rsid w:val="485B6027"/>
    <w:rsid w:val="48672CDE"/>
    <w:rsid w:val="48A34109"/>
    <w:rsid w:val="48B52945"/>
    <w:rsid w:val="48E84156"/>
    <w:rsid w:val="48F70D8F"/>
    <w:rsid w:val="4919370F"/>
    <w:rsid w:val="494F09CE"/>
    <w:rsid w:val="49A30E92"/>
    <w:rsid w:val="49BC17E5"/>
    <w:rsid w:val="49C2364E"/>
    <w:rsid w:val="49DA664D"/>
    <w:rsid w:val="49DF5051"/>
    <w:rsid w:val="49FC0CA2"/>
    <w:rsid w:val="49FD4672"/>
    <w:rsid w:val="4A374F66"/>
    <w:rsid w:val="4A3F66CA"/>
    <w:rsid w:val="4A4A70E5"/>
    <w:rsid w:val="4A6507F3"/>
    <w:rsid w:val="4A6C3FF3"/>
    <w:rsid w:val="4A7074E6"/>
    <w:rsid w:val="4A954AFA"/>
    <w:rsid w:val="4ADB1C6E"/>
    <w:rsid w:val="4B081C04"/>
    <w:rsid w:val="4B19108A"/>
    <w:rsid w:val="4B412A2E"/>
    <w:rsid w:val="4B485087"/>
    <w:rsid w:val="4B485899"/>
    <w:rsid w:val="4B5F485A"/>
    <w:rsid w:val="4B6E2149"/>
    <w:rsid w:val="4B8571F6"/>
    <w:rsid w:val="4BA444E1"/>
    <w:rsid w:val="4BD568D2"/>
    <w:rsid w:val="4BE91B44"/>
    <w:rsid w:val="4BFC0F93"/>
    <w:rsid w:val="4C267EB8"/>
    <w:rsid w:val="4C5B36B0"/>
    <w:rsid w:val="4C626053"/>
    <w:rsid w:val="4C6C5110"/>
    <w:rsid w:val="4C737D8F"/>
    <w:rsid w:val="4C881EA7"/>
    <w:rsid w:val="4C8A61CA"/>
    <w:rsid w:val="4CAD7041"/>
    <w:rsid w:val="4CE9496F"/>
    <w:rsid w:val="4CF66EC7"/>
    <w:rsid w:val="4D6647AA"/>
    <w:rsid w:val="4D6C2C14"/>
    <w:rsid w:val="4D9F0D26"/>
    <w:rsid w:val="4DA22C3E"/>
    <w:rsid w:val="4DB26D0E"/>
    <w:rsid w:val="4E076A4E"/>
    <w:rsid w:val="4E1C4B05"/>
    <w:rsid w:val="4E667815"/>
    <w:rsid w:val="4E6B5C05"/>
    <w:rsid w:val="4EEF2BAA"/>
    <w:rsid w:val="4F017406"/>
    <w:rsid w:val="4F032173"/>
    <w:rsid w:val="4F210C82"/>
    <w:rsid w:val="4F576479"/>
    <w:rsid w:val="4F740204"/>
    <w:rsid w:val="4F9C21B7"/>
    <w:rsid w:val="4F9E0FFB"/>
    <w:rsid w:val="4FAD65A4"/>
    <w:rsid w:val="4FB67D50"/>
    <w:rsid w:val="4FE12EFE"/>
    <w:rsid w:val="5007712F"/>
    <w:rsid w:val="500E2560"/>
    <w:rsid w:val="506908AC"/>
    <w:rsid w:val="508A71AB"/>
    <w:rsid w:val="50A71329"/>
    <w:rsid w:val="50CE7104"/>
    <w:rsid w:val="511B14A3"/>
    <w:rsid w:val="51524939"/>
    <w:rsid w:val="51614E07"/>
    <w:rsid w:val="51CA05DB"/>
    <w:rsid w:val="51CE0DF8"/>
    <w:rsid w:val="51DE731C"/>
    <w:rsid w:val="52506E66"/>
    <w:rsid w:val="52714BBF"/>
    <w:rsid w:val="52A02332"/>
    <w:rsid w:val="52CB1C18"/>
    <w:rsid w:val="52DF6E55"/>
    <w:rsid w:val="52E032EB"/>
    <w:rsid w:val="52E13224"/>
    <w:rsid w:val="533E0756"/>
    <w:rsid w:val="534670FE"/>
    <w:rsid w:val="5353291C"/>
    <w:rsid w:val="536B6DD3"/>
    <w:rsid w:val="53831DB6"/>
    <w:rsid w:val="53883164"/>
    <w:rsid w:val="53C12A3A"/>
    <w:rsid w:val="54001E97"/>
    <w:rsid w:val="541A6B74"/>
    <w:rsid w:val="543C553C"/>
    <w:rsid w:val="5460346A"/>
    <w:rsid w:val="54AD31B0"/>
    <w:rsid w:val="54C9269D"/>
    <w:rsid w:val="54D33F07"/>
    <w:rsid w:val="54E357E5"/>
    <w:rsid w:val="551035D4"/>
    <w:rsid w:val="555078E4"/>
    <w:rsid w:val="555D5DAE"/>
    <w:rsid w:val="558F6864"/>
    <w:rsid w:val="55AD2626"/>
    <w:rsid w:val="55C97686"/>
    <w:rsid w:val="55F840E6"/>
    <w:rsid w:val="56070B67"/>
    <w:rsid w:val="56293E72"/>
    <w:rsid w:val="568A7A26"/>
    <w:rsid w:val="569B6710"/>
    <w:rsid w:val="56A92453"/>
    <w:rsid w:val="56BC543F"/>
    <w:rsid w:val="56CA2A58"/>
    <w:rsid w:val="56D04C9A"/>
    <w:rsid w:val="56EB4C88"/>
    <w:rsid w:val="57146E16"/>
    <w:rsid w:val="574377D6"/>
    <w:rsid w:val="57452DFA"/>
    <w:rsid w:val="57476B02"/>
    <w:rsid w:val="576059FD"/>
    <w:rsid w:val="57625F88"/>
    <w:rsid w:val="576C1B60"/>
    <w:rsid w:val="57872663"/>
    <w:rsid w:val="578C2AC8"/>
    <w:rsid w:val="57A93A66"/>
    <w:rsid w:val="57AD097E"/>
    <w:rsid w:val="57BB52E5"/>
    <w:rsid w:val="57E2582F"/>
    <w:rsid w:val="57FD4212"/>
    <w:rsid w:val="5806024B"/>
    <w:rsid w:val="58097F77"/>
    <w:rsid w:val="5847659A"/>
    <w:rsid w:val="585D6D6F"/>
    <w:rsid w:val="58602119"/>
    <w:rsid w:val="58721997"/>
    <w:rsid w:val="58A47801"/>
    <w:rsid w:val="58D63522"/>
    <w:rsid w:val="58F504FD"/>
    <w:rsid w:val="58F56144"/>
    <w:rsid w:val="59001841"/>
    <w:rsid w:val="590C49DB"/>
    <w:rsid w:val="599D3E45"/>
    <w:rsid w:val="59F60F42"/>
    <w:rsid w:val="5A143A54"/>
    <w:rsid w:val="5A5062B5"/>
    <w:rsid w:val="5A536046"/>
    <w:rsid w:val="5A6B12CF"/>
    <w:rsid w:val="5A6D053B"/>
    <w:rsid w:val="5A830916"/>
    <w:rsid w:val="5A9108F9"/>
    <w:rsid w:val="5AA97D68"/>
    <w:rsid w:val="5AB0107A"/>
    <w:rsid w:val="5AB13F69"/>
    <w:rsid w:val="5ABF4165"/>
    <w:rsid w:val="5B6501DC"/>
    <w:rsid w:val="5B682E1D"/>
    <w:rsid w:val="5BC2175C"/>
    <w:rsid w:val="5BD76A57"/>
    <w:rsid w:val="5BDA73EE"/>
    <w:rsid w:val="5BFF5101"/>
    <w:rsid w:val="5C05626B"/>
    <w:rsid w:val="5C2C6DA9"/>
    <w:rsid w:val="5C6857F2"/>
    <w:rsid w:val="5C731FE9"/>
    <w:rsid w:val="5C9B4A4E"/>
    <w:rsid w:val="5CA00208"/>
    <w:rsid w:val="5CAF672D"/>
    <w:rsid w:val="5CC00311"/>
    <w:rsid w:val="5CDE38E5"/>
    <w:rsid w:val="5CE623A6"/>
    <w:rsid w:val="5D102778"/>
    <w:rsid w:val="5D5A1919"/>
    <w:rsid w:val="5D5C3430"/>
    <w:rsid w:val="5D6613D8"/>
    <w:rsid w:val="5D9B16B3"/>
    <w:rsid w:val="5DAB72F2"/>
    <w:rsid w:val="5DB437D9"/>
    <w:rsid w:val="5DBF4193"/>
    <w:rsid w:val="5DCA566A"/>
    <w:rsid w:val="5E34642C"/>
    <w:rsid w:val="5E3E55D6"/>
    <w:rsid w:val="5E55291A"/>
    <w:rsid w:val="5E576232"/>
    <w:rsid w:val="5EBE4741"/>
    <w:rsid w:val="5F2314F4"/>
    <w:rsid w:val="5F3D3160"/>
    <w:rsid w:val="5F6148BB"/>
    <w:rsid w:val="5F702903"/>
    <w:rsid w:val="5F9E76A8"/>
    <w:rsid w:val="601D49D4"/>
    <w:rsid w:val="60216D9D"/>
    <w:rsid w:val="604D6CA0"/>
    <w:rsid w:val="6060152E"/>
    <w:rsid w:val="60B568CE"/>
    <w:rsid w:val="60C90CA0"/>
    <w:rsid w:val="60EC47CA"/>
    <w:rsid w:val="61066029"/>
    <w:rsid w:val="611002A2"/>
    <w:rsid w:val="61100C7C"/>
    <w:rsid w:val="61183208"/>
    <w:rsid w:val="611B4D00"/>
    <w:rsid w:val="611F5B46"/>
    <w:rsid w:val="61231912"/>
    <w:rsid w:val="613B451E"/>
    <w:rsid w:val="615F5E32"/>
    <w:rsid w:val="616F4676"/>
    <w:rsid w:val="617A14D2"/>
    <w:rsid w:val="61D32EBB"/>
    <w:rsid w:val="61D94A46"/>
    <w:rsid w:val="62011984"/>
    <w:rsid w:val="62073803"/>
    <w:rsid w:val="62302E8D"/>
    <w:rsid w:val="62895247"/>
    <w:rsid w:val="62895C03"/>
    <w:rsid w:val="62D7067F"/>
    <w:rsid w:val="62F4775F"/>
    <w:rsid w:val="635D6D13"/>
    <w:rsid w:val="636401DD"/>
    <w:rsid w:val="637E5648"/>
    <w:rsid w:val="63903CFE"/>
    <w:rsid w:val="639954E5"/>
    <w:rsid w:val="63D70E55"/>
    <w:rsid w:val="63E51E20"/>
    <w:rsid w:val="640C6088"/>
    <w:rsid w:val="64414496"/>
    <w:rsid w:val="647C49E8"/>
    <w:rsid w:val="649033D5"/>
    <w:rsid w:val="64C54FE7"/>
    <w:rsid w:val="64DC2144"/>
    <w:rsid w:val="64F8160D"/>
    <w:rsid w:val="650563E5"/>
    <w:rsid w:val="655C3E3B"/>
    <w:rsid w:val="656F5983"/>
    <w:rsid w:val="659A4CC9"/>
    <w:rsid w:val="65A56A28"/>
    <w:rsid w:val="65A8308D"/>
    <w:rsid w:val="65BB296C"/>
    <w:rsid w:val="65C22E73"/>
    <w:rsid w:val="65CE01AF"/>
    <w:rsid w:val="65CE39DB"/>
    <w:rsid w:val="65EA51C3"/>
    <w:rsid w:val="66111B00"/>
    <w:rsid w:val="661B0470"/>
    <w:rsid w:val="663211BC"/>
    <w:rsid w:val="668236EF"/>
    <w:rsid w:val="66867098"/>
    <w:rsid w:val="668B156B"/>
    <w:rsid w:val="669B4398"/>
    <w:rsid w:val="669B6CC7"/>
    <w:rsid w:val="66DA7F06"/>
    <w:rsid w:val="66FA170F"/>
    <w:rsid w:val="67027E32"/>
    <w:rsid w:val="67133653"/>
    <w:rsid w:val="67193649"/>
    <w:rsid w:val="676B38B6"/>
    <w:rsid w:val="677A36C6"/>
    <w:rsid w:val="679071AF"/>
    <w:rsid w:val="679E59F3"/>
    <w:rsid w:val="67B218BD"/>
    <w:rsid w:val="67B64D79"/>
    <w:rsid w:val="67BB2253"/>
    <w:rsid w:val="6834309C"/>
    <w:rsid w:val="68755B9F"/>
    <w:rsid w:val="688F6C46"/>
    <w:rsid w:val="689B1A5E"/>
    <w:rsid w:val="68A7140B"/>
    <w:rsid w:val="68AE5CC2"/>
    <w:rsid w:val="68B91C26"/>
    <w:rsid w:val="68BF16D5"/>
    <w:rsid w:val="68C0776D"/>
    <w:rsid w:val="69121062"/>
    <w:rsid w:val="693B4915"/>
    <w:rsid w:val="694954DA"/>
    <w:rsid w:val="696B3743"/>
    <w:rsid w:val="696F3C60"/>
    <w:rsid w:val="69774DEE"/>
    <w:rsid w:val="698B3D07"/>
    <w:rsid w:val="699C6A74"/>
    <w:rsid w:val="69C829FD"/>
    <w:rsid w:val="69D6609B"/>
    <w:rsid w:val="69D70213"/>
    <w:rsid w:val="69E93359"/>
    <w:rsid w:val="6A18619D"/>
    <w:rsid w:val="6A5D06C9"/>
    <w:rsid w:val="6A7C6AA6"/>
    <w:rsid w:val="6B112BE3"/>
    <w:rsid w:val="6B267573"/>
    <w:rsid w:val="6B622380"/>
    <w:rsid w:val="6B7A26D3"/>
    <w:rsid w:val="6BDF73C5"/>
    <w:rsid w:val="6BF85146"/>
    <w:rsid w:val="6C050D60"/>
    <w:rsid w:val="6C1459C7"/>
    <w:rsid w:val="6C252B59"/>
    <w:rsid w:val="6C3E0E44"/>
    <w:rsid w:val="6C54249F"/>
    <w:rsid w:val="6C737DF8"/>
    <w:rsid w:val="6C936F46"/>
    <w:rsid w:val="6D002358"/>
    <w:rsid w:val="6D011F37"/>
    <w:rsid w:val="6D0E591F"/>
    <w:rsid w:val="6D2830A5"/>
    <w:rsid w:val="6D3717BD"/>
    <w:rsid w:val="6D72422B"/>
    <w:rsid w:val="6D890F5B"/>
    <w:rsid w:val="6DDC7044"/>
    <w:rsid w:val="6E9A7F51"/>
    <w:rsid w:val="6E9E147B"/>
    <w:rsid w:val="6EA31613"/>
    <w:rsid w:val="6EBA25EE"/>
    <w:rsid w:val="6ECC0DF0"/>
    <w:rsid w:val="6EEF128B"/>
    <w:rsid w:val="6F054AD9"/>
    <w:rsid w:val="6F187A01"/>
    <w:rsid w:val="6F632D3B"/>
    <w:rsid w:val="6F716059"/>
    <w:rsid w:val="6F8856B3"/>
    <w:rsid w:val="6FA812C7"/>
    <w:rsid w:val="6FF76B1B"/>
    <w:rsid w:val="702B6044"/>
    <w:rsid w:val="704108A5"/>
    <w:rsid w:val="705D5D30"/>
    <w:rsid w:val="70635296"/>
    <w:rsid w:val="709F34C8"/>
    <w:rsid w:val="70DA22B3"/>
    <w:rsid w:val="71020BF9"/>
    <w:rsid w:val="710959BC"/>
    <w:rsid w:val="71140D53"/>
    <w:rsid w:val="711D3696"/>
    <w:rsid w:val="71462B1A"/>
    <w:rsid w:val="714724E3"/>
    <w:rsid w:val="716370E2"/>
    <w:rsid w:val="71A603FE"/>
    <w:rsid w:val="71B45861"/>
    <w:rsid w:val="71C736BF"/>
    <w:rsid w:val="71F94048"/>
    <w:rsid w:val="72197054"/>
    <w:rsid w:val="721E1DF9"/>
    <w:rsid w:val="723958F2"/>
    <w:rsid w:val="72455CA8"/>
    <w:rsid w:val="7248745C"/>
    <w:rsid w:val="72770FAF"/>
    <w:rsid w:val="72840130"/>
    <w:rsid w:val="728A6597"/>
    <w:rsid w:val="72AA5134"/>
    <w:rsid w:val="72AB1C1C"/>
    <w:rsid w:val="72CF199A"/>
    <w:rsid w:val="73070F41"/>
    <w:rsid w:val="73143000"/>
    <w:rsid w:val="73202BC0"/>
    <w:rsid w:val="73276C61"/>
    <w:rsid w:val="732E3F05"/>
    <w:rsid w:val="733E4317"/>
    <w:rsid w:val="73641404"/>
    <w:rsid w:val="73671D6A"/>
    <w:rsid w:val="736F1051"/>
    <w:rsid w:val="73BA26A3"/>
    <w:rsid w:val="73DB0F24"/>
    <w:rsid w:val="73DD6918"/>
    <w:rsid w:val="73F66AEA"/>
    <w:rsid w:val="74103B68"/>
    <w:rsid w:val="7412226B"/>
    <w:rsid w:val="742B2DEF"/>
    <w:rsid w:val="743A48C1"/>
    <w:rsid w:val="743C05F4"/>
    <w:rsid w:val="744D16CC"/>
    <w:rsid w:val="74934FC6"/>
    <w:rsid w:val="74AC33F8"/>
    <w:rsid w:val="74E7277C"/>
    <w:rsid w:val="75177D06"/>
    <w:rsid w:val="752D10CA"/>
    <w:rsid w:val="75641433"/>
    <w:rsid w:val="757D1D22"/>
    <w:rsid w:val="759B26A3"/>
    <w:rsid w:val="75B2136A"/>
    <w:rsid w:val="75C552BE"/>
    <w:rsid w:val="75CE37B0"/>
    <w:rsid w:val="75E67616"/>
    <w:rsid w:val="76204199"/>
    <w:rsid w:val="762333A3"/>
    <w:rsid w:val="762B5310"/>
    <w:rsid w:val="76496126"/>
    <w:rsid w:val="766A674E"/>
    <w:rsid w:val="76827B79"/>
    <w:rsid w:val="768667E7"/>
    <w:rsid w:val="76B71164"/>
    <w:rsid w:val="76D153E9"/>
    <w:rsid w:val="76EF37B0"/>
    <w:rsid w:val="77482748"/>
    <w:rsid w:val="775F6D85"/>
    <w:rsid w:val="778B21E7"/>
    <w:rsid w:val="77E4102A"/>
    <w:rsid w:val="77E75E1C"/>
    <w:rsid w:val="77F43DEC"/>
    <w:rsid w:val="77FC299F"/>
    <w:rsid w:val="781B2C0D"/>
    <w:rsid w:val="782A6BBD"/>
    <w:rsid w:val="78B052EF"/>
    <w:rsid w:val="7940394E"/>
    <w:rsid w:val="796E31AB"/>
    <w:rsid w:val="79E7110C"/>
    <w:rsid w:val="79F44AF7"/>
    <w:rsid w:val="79FC054C"/>
    <w:rsid w:val="7A1A5814"/>
    <w:rsid w:val="7A2F0C8B"/>
    <w:rsid w:val="7A2F6941"/>
    <w:rsid w:val="7A6B00FD"/>
    <w:rsid w:val="7A775E16"/>
    <w:rsid w:val="7ABE0DB2"/>
    <w:rsid w:val="7AE26E86"/>
    <w:rsid w:val="7AE32401"/>
    <w:rsid w:val="7B136B01"/>
    <w:rsid w:val="7B4144AF"/>
    <w:rsid w:val="7B627E53"/>
    <w:rsid w:val="7B7D6308"/>
    <w:rsid w:val="7B8C2B1D"/>
    <w:rsid w:val="7B9B6D46"/>
    <w:rsid w:val="7BC17B25"/>
    <w:rsid w:val="7BCD1F27"/>
    <w:rsid w:val="7BD75F7D"/>
    <w:rsid w:val="7BEB0748"/>
    <w:rsid w:val="7BEB0808"/>
    <w:rsid w:val="7C227F9E"/>
    <w:rsid w:val="7C241F29"/>
    <w:rsid w:val="7C4B205E"/>
    <w:rsid w:val="7C6D3C5C"/>
    <w:rsid w:val="7C7032C3"/>
    <w:rsid w:val="7C871B58"/>
    <w:rsid w:val="7C9D26AC"/>
    <w:rsid w:val="7CB15958"/>
    <w:rsid w:val="7CE52752"/>
    <w:rsid w:val="7CF55E9A"/>
    <w:rsid w:val="7D0669AF"/>
    <w:rsid w:val="7D0F24D0"/>
    <w:rsid w:val="7D1015CF"/>
    <w:rsid w:val="7D1D1225"/>
    <w:rsid w:val="7D33153D"/>
    <w:rsid w:val="7D423C52"/>
    <w:rsid w:val="7D4812F5"/>
    <w:rsid w:val="7D686630"/>
    <w:rsid w:val="7D7A4A4E"/>
    <w:rsid w:val="7D8F56EA"/>
    <w:rsid w:val="7D997FFF"/>
    <w:rsid w:val="7DB83D44"/>
    <w:rsid w:val="7DF26CC5"/>
    <w:rsid w:val="7E1B4825"/>
    <w:rsid w:val="7E210EBC"/>
    <w:rsid w:val="7E28224C"/>
    <w:rsid w:val="7E4D2938"/>
    <w:rsid w:val="7E7B57F1"/>
    <w:rsid w:val="7EC06E60"/>
    <w:rsid w:val="7ED423B0"/>
    <w:rsid w:val="7F284FBF"/>
    <w:rsid w:val="7F642651"/>
    <w:rsid w:val="7FBB2DDD"/>
    <w:rsid w:val="7FCC7660"/>
    <w:rsid w:val="7FD74CA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qFormat="1" w:uiPriority="99" w:semiHidden="0" w:name="footnote text"/>
    <w:lsdException w:qFormat="1" w:uiPriority="0"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0" w:semiHidden="0" w:name="annotation reference"/>
    <w:lsdException w:uiPriority="99" w:name="line number"/>
    <w:lsdException w:qFormat="1" w:uiPriority="0" w:semiHidden="0"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iPriority="99" w:semiHidden="0"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5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55"/>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8"/>
    <w:unhideWhenUsed/>
    <w:qFormat/>
    <w:uiPriority w:val="0"/>
    <w:pPr>
      <w:keepNext/>
      <w:keepLines/>
      <w:spacing w:before="260" w:after="260" w:line="416" w:lineRule="auto"/>
      <w:outlineLvl w:val="2"/>
    </w:pPr>
    <w:rPr>
      <w:b/>
      <w:bCs/>
      <w:szCs w:val="32"/>
    </w:rPr>
  </w:style>
  <w:style w:type="paragraph" w:styleId="5">
    <w:name w:val="heading 4"/>
    <w:basedOn w:val="1"/>
    <w:next w:val="1"/>
    <w:link w:val="62"/>
    <w:unhideWhenUsed/>
    <w:qFormat/>
    <w:uiPriority w:val="0"/>
    <w:pPr>
      <w:keepNext/>
      <w:keepLines/>
      <w:spacing w:before="280" w:after="290" w:line="376" w:lineRule="auto"/>
      <w:ind w:left="2125" w:hanging="1417"/>
      <w:jc w:val="left"/>
      <w:outlineLvl w:val="3"/>
    </w:pPr>
    <w:rPr>
      <w:rFonts w:ascii="Cambria" w:hAnsi="Cambria" w:cs="Times New Roman"/>
      <w:b/>
      <w:bCs/>
      <w:sz w:val="28"/>
      <w:szCs w:val="28"/>
      <w:lang w:val="zh-CN"/>
    </w:rPr>
  </w:style>
  <w:style w:type="paragraph" w:styleId="6">
    <w:name w:val="heading 5"/>
    <w:basedOn w:val="1"/>
    <w:next w:val="7"/>
    <w:link w:val="63"/>
    <w:qFormat/>
    <w:uiPriority w:val="0"/>
    <w:pPr>
      <w:keepNext/>
      <w:keepLines/>
      <w:tabs>
        <w:tab w:val="left" w:pos="1008"/>
        <w:tab w:val="left" w:pos="3652"/>
      </w:tabs>
      <w:spacing w:line="360" w:lineRule="auto"/>
      <w:ind w:left="1008" w:hanging="1008"/>
      <w:jc w:val="left"/>
      <w:outlineLvl w:val="4"/>
    </w:pPr>
    <w:rPr>
      <w:rFonts w:ascii="Garamond" w:hAnsi="Garamond" w:eastAsia="黑体" w:cs="Times New Roman"/>
      <w:kern w:val="20"/>
      <w:sz w:val="28"/>
      <w:szCs w:val="21"/>
      <w:lang w:val="zh-CN"/>
    </w:rPr>
  </w:style>
  <w:style w:type="paragraph" w:styleId="8">
    <w:name w:val="heading 6"/>
    <w:basedOn w:val="1"/>
    <w:next w:val="9"/>
    <w:link w:val="64"/>
    <w:qFormat/>
    <w:uiPriority w:val="0"/>
    <w:pPr>
      <w:keepNext/>
      <w:keepLines/>
      <w:tabs>
        <w:tab w:val="left" w:pos="1152"/>
        <w:tab w:val="left" w:pos="3652"/>
      </w:tabs>
      <w:spacing w:line="240" w:lineRule="atLeast"/>
      <w:ind w:left="1152" w:hanging="1152"/>
      <w:jc w:val="left"/>
      <w:outlineLvl w:val="5"/>
    </w:pPr>
    <w:rPr>
      <w:rFonts w:ascii="Garamond" w:hAnsi="Garamond" w:cs="Times New Roman"/>
      <w:i/>
      <w:kern w:val="20"/>
      <w:sz w:val="22"/>
      <w:szCs w:val="21"/>
      <w:lang w:val="zh-CN"/>
    </w:rPr>
  </w:style>
  <w:style w:type="paragraph" w:styleId="10">
    <w:name w:val="heading 7"/>
    <w:basedOn w:val="1"/>
    <w:next w:val="9"/>
    <w:link w:val="65"/>
    <w:qFormat/>
    <w:uiPriority w:val="0"/>
    <w:pPr>
      <w:keepNext/>
      <w:keepLines/>
      <w:tabs>
        <w:tab w:val="left" w:pos="1296"/>
        <w:tab w:val="left" w:pos="3652"/>
      </w:tabs>
      <w:spacing w:line="240" w:lineRule="atLeast"/>
      <w:ind w:left="1296" w:hanging="1296"/>
      <w:jc w:val="left"/>
      <w:outlineLvl w:val="6"/>
    </w:pPr>
    <w:rPr>
      <w:rFonts w:ascii="Garamond" w:hAnsi="Garamond" w:cs="Times New Roman"/>
      <w:smallCaps/>
      <w:kern w:val="20"/>
      <w:sz w:val="23"/>
      <w:szCs w:val="21"/>
      <w:lang w:val="zh-CN"/>
    </w:rPr>
  </w:style>
  <w:style w:type="paragraph" w:styleId="11">
    <w:name w:val="heading 8"/>
    <w:basedOn w:val="1"/>
    <w:next w:val="9"/>
    <w:link w:val="66"/>
    <w:qFormat/>
    <w:uiPriority w:val="0"/>
    <w:pPr>
      <w:keepNext/>
      <w:keepLines/>
      <w:tabs>
        <w:tab w:val="left" w:pos="1440"/>
        <w:tab w:val="left" w:pos="3652"/>
      </w:tabs>
      <w:spacing w:line="240" w:lineRule="atLeast"/>
      <w:ind w:left="1440" w:hanging="1440"/>
      <w:jc w:val="left"/>
      <w:outlineLvl w:val="7"/>
    </w:pPr>
    <w:rPr>
      <w:rFonts w:ascii="Garamond" w:hAnsi="Garamond" w:cs="Times New Roman"/>
      <w:i/>
      <w:kern w:val="20"/>
      <w:sz w:val="22"/>
      <w:szCs w:val="21"/>
      <w:lang w:val="zh-CN"/>
    </w:rPr>
  </w:style>
  <w:style w:type="paragraph" w:styleId="12">
    <w:name w:val="heading 9"/>
    <w:basedOn w:val="1"/>
    <w:next w:val="9"/>
    <w:link w:val="67"/>
    <w:qFormat/>
    <w:uiPriority w:val="0"/>
    <w:pPr>
      <w:keepNext/>
      <w:keepLines/>
      <w:tabs>
        <w:tab w:val="left" w:pos="1584"/>
        <w:tab w:val="left" w:pos="3652"/>
      </w:tabs>
      <w:spacing w:line="240" w:lineRule="atLeast"/>
      <w:ind w:left="1584" w:hanging="1584"/>
      <w:jc w:val="left"/>
      <w:outlineLvl w:val="8"/>
    </w:pPr>
    <w:rPr>
      <w:rFonts w:ascii="Garamond" w:hAnsi="Garamond" w:cs="Times New Roman"/>
      <w:kern w:val="20"/>
      <w:sz w:val="22"/>
      <w:szCs w:val="21"/>
      <w:lang w:val="zh-CN"/>
    </w:rPr>
  </w:style>
  <w:style w:type="character" w:default="1" w:styleId="41">
    <w:name w:val="Default Paragraph Font"/>
    <w:semiHidden/>
    <w:unhideWhenUsed/>
    <w:qFormat/>
    <w:uiPriority w:val="1"/>
  </w:style>
  <w:style w:type="table" w:default="1" w:styleId="39">
    <w:name w:val="Normal Table"/>
    <w:semiHidden/>
    <w:unhideWhenUsed/>
    <w:uiPriority w:val="99"/>
    <w:tblPr>
      <w:tblCellMar>
        <w:top w:w="0" w:type="dxa"/>
        <w:left w:w="108" w:type="dxa"/>
        <w:bottom w:w="0" w:type="dxa"/>
        <w:right w:w="108" w:type="dxa"/>
      </w:tblCellMar>
    </w:tblPr>
  </w:style>
  <w:style w:type="paragraph" w:styleId="7">
    <w:name w:val="Body Text Indent"/>
    <w:basedOn w:val="1"/>
    <w:link w:val="82"/>
    <w:unhideWhenUsed/>
    <w:qFormat/>
    <w:uiPriority w:val="0"/>
    <w:pPr>
      <w:spacing w:after="120" w:line="276" w:lineRule="auto"/>
      <w:ind w:left="420" w:leftChars="200"/>
      <w:jc w:val="left"/>
    </w:pPr>
    <w:rPr>
      <w:rFonts w:ascii="Calibri" w:hAnsi="Calibri" w:cs="Times New Roman"/>
      <w:lang w:val="zh-CN"/>
    </w:rPr>
  </w:style>
  <w:style w:type="paragraph" w:styleId="9">
    <w:name w:val="Body Text"/>
    <w:basedOn w:val="1"/>
    <w:link w:val="84"/>
    <w:qFormat/>
    <w:uiPriority w:val="0"/>
    <w:pPr>
      <w:widowControl/>
      <w:tabs>
        <w:tab w:val="left" w:pos="3652"/>
      </w:tabs>
      <w:spacing w:after="120" w:line="360" w:lineRule="auto"/>
      <w:jc w:val="left"/>
    </w:pPr>
    <w:rPr>
      <w:rFonts w:ascii="宋体" w:hAnsi="宋体" w:cs="Times New Roman"/>
      <w:kern w:val="0"/>
      <w:szCs w:val="21"/>
      <w:lang w:val="zh-CN"/>
    </w:rPr>
  </w:style>
  <w:style w:type="paragraph" w:styleId="13">
    <w:name w:val="toc 7"/>
    <w:basedOn w:val="1"/>
    <w:next w:val="1"/>
    <w:unhideWhenUsed/>
    <w:qFormat/>
    <w:uiPriority w:val="39"/>
    <w:pPr>
      <w:ind w:left="2520" w:leftChars="1200"/>
    </w:pPr>
  </w:style>
  <w:style w:type="paragraph" w:styleId="14">
    <w:name w:val="Normal Indent"/>
    <w:basedOn w:val="1"/>
    <w:qFormat/>
    <w:uiPriority w:val="99"/>
    <w:pPr>
      <w:tabs>
        <w:tab w:val="left" w:pos="3652"/>
      </w:tabs>
      <w:spacing w:after="120" w:line="360" w:lineRule="auto"/>
      <w:ind w:firstLine="425"/>
    </w:pPr>
    <w:rPr>
      <w:rFonts w:ascii="宋体" w:hAnsi="宋体" w:cs="Times New Roman"/>
      <w:szCs w:val="21"/>
    </w:rPr>
  </w:style>
  <w:style w:type="paragraph" w:styleId="15">
    <w:name w:val="caption"/>
    <w:basedOn w:val="1"/>
    <w:next w:val="1"/>
    <w:link w:val="162"/>
    <w:qFormat/>
    <w:uiPriority w:val="0"/>
    <w:pPr>
      <w:tabs>
        <w:tab w:val="left" w:pos="3652"/>
      </w:tabs>
      <w:spacing w:before="120" w:after="240" w:line="360" w:lineRule="auto"/>
      <w:jc w:val="left"/>
    </w:pPr>
    <w:rPr>
      <w:rFonts w:ascii="Arial" w:hAnsi="Arial" w:eastAsia="黑体" w:cs="Times New Roman"/>
      <w:szCs w:val="21"/>
      <w:lang w:val="zh-CN"/>
    </w:rPr>
  </w:style>
  <w:style w:type="paragraph" w:styleId="16">
    <w:name w:val="Document Map"/>
    <w:basedOn w:val="1"/>
    <w:link w:val="57"/>
    <w:unhideWhenUsed/>
    <w:qFormat/>
    <w:uiPriority w:val="99"/>
    <w:rPr>
      <w:rFonts w:ascii="宋体"/>
      <w:sz w:val="18"/>
      <w:szCs w:val="18"/>
    </w:rPr>
  </w:style>
  <w:style w:type="paragraph" w:styleId="17">
    <w:name w:val="annotation text"/>
    <w:basedOn w:val="1"/>
    <w:link w:val="87"/>
    <w:unhideWhenUsed/>
    <w:qFormat/>
    <w:uiPriority w:val="0"/>
    <w:pPr>
      <w:jc w:val="left"/>
    </w:pPr>
  </w:style>
  <w:style w:type="paragraph" w:styleId="18">
    <w:name w:val="toc 5"/>
    <w:basedOn w:val="1"/>
    <w:next w:val="1"/>
    <w:unhideWhenUsed/>
    <w:qFormat/>
    <w:uiPriority w:val="39"/>
    <w:pPr>
      <w:ind w:left="1680" w:leftChars="800"/>
    </w:pPr>
  </w:style>
  <w:style w:type="paragraph" w:styleId="19">
    <w:name w:val="toc 3"/>
    <w:basedOn w:val="1"/>
    <w:next w:val="1"/>
    <w:unhideWhenUsed/>
    <w:qFormat/>
    <w:uiPriority w:val="39"/>
    <w:pPr>
      <w:ind w:left="840" w:leftChars="400"/>
    </w:pPr>
  </w:style>
  <w:style w:type="paragraph" w:styleId="20">
    <w:name w:val="Plain Text"/>
    <w:basedOn w:val="1"/>
    <w:link w:val="90"/>
    <w:qFormat/>
    <w:uiPriority w:val="0"/>
    <w:pPr>
      <w:tabs>
        <w:tab w:val="left" w:pos="3652"/>
      </w:tabs>
      <w:spacing w:line="360" w:lineRule="auto"/>
    </w:pPr>
    <w:rPr>
      <w:rFonts w:ascii="宋体" w:hAnsi="Courier New" w:cs="Times New Roman"/>
      <w:szCs w:val="21"/>
      <w:lang w:val="zh-CN"/>
    </w:rPr>
  </w:style>
  <w:style w:type="paragraph" w:styleId="21">
    <w:name w:val="toc 8"/>
    <w:basedOn w:val="1"/>
    <w:next w:val="1"/>
    <w:unhideWhenUsed/>
    <w:qFormat/>
    <w:uiPriority w:val="39"/>
    <w:pPr>
      <w:ind w:left="2940" w:leftChars="1400"/>
    </w:pPr>
  </w:style>
  <w:style w:type="paragraph" w:styleId="22">
    <w:name w:val="Date"/>
    <w:basedOn w:val="1"/>
    <w:next w:val="1"/>
    <w:link w:val="92"/>
    <w:qFormat/>
    <w:uiPriority w:val="0"/>
    <w:pPr>
      <w:tabs>
        <w:tab w:val="left" w:pos="3652"/>
      </w:tabs>
      <w:spacing w:line="360" w:lineRule="auto"/>
      <w:ind w:left="100" w:leftChars="2500"/>
    </w:pPr>
    <w:rPr>
      <w:rFonts w:ascii="宋体" w:hAnsi="宋体" w:cs="Times New Roman"/>
      <w:szCs w:val="21"/>
      <w:lang w:val="zh-CN"/>
    </w:rPr>
  </w:style>
  <w:style w:type="paragraph" w:styleId="23">
    <w:name w:val="Body Text Indent 2"/>
    <w:basedOn w:val="1"/>
    <w:link w:val="94"/>
    <w:unhideWhenUsed/>
    <w:qFormat/>
    <w:uiPriority w:val="0"/>
    <w:pPr>
      <w:tabs>
        <w:tab w:val="left" w:pos="804"/>
        <w:tab w:val="left" w:pos="8748"/>
      </w:tabs>
      <w:spacing w:after="200" w:line="360" w:lineRule="auto"/>
      <w:ind w:left="94" w:leftChars="45" w:firstLine="301"/>
      <w:jc w:val="left"/>
    </w:pPr>
    <w:rPr>
      <w:rFonts w:ascii="宋体" w:hAnsi="宋体" w:cs="黑体"/>
    </w:rPr>
  </w:style>
  <w:style w:type="paragraph" w:styleId="24">
    <w:name w:val="Balloon Text"/>
    <w:basedOn w:val="1"/>
    <w:link w:val="95"/>
    <w:unhideWhenUsed/>
    <w:qFormat/>
    <w:uiPriority w:val="99"/>
    <w:pPr>
      <w:jc w:val="left"/>
    </w:pPr>
    <w:rPr>
      <w:rFonts w:ascii="Times New Roman" w:hAnsi="Times New Roman" w:cs="Times New Roman"/>
      <w:kern w:val="0"/>
      <w:sz w:val="18"/>
      <w:szCs w:val="18"/>
      <w:lang w:val="zh-CN"/>
    </w:rPr>
  </w:style>
  <w:style w:type="paragraph" w:styleId="25">
    <w:name w:val="footer"/>
    <w:basedOn w:val="1"/>
    <w:link w:val="51"/>
    <w:unhideWhenUsed/>
    <w:qFormat/>
    <w:uiPriority w:val="99"/>
    <w:pPr>
      <w:tabs>
        <w:tab w:val="center" w:pos="4153"/>
        <w:tab w:val="right" w:pos="8306"/>
      </w:tabs>
      <w:snapToGrid w:val="0"/>
      <w:jc w:val="left"/>
    </w:pPr>
    <w:rPr>
      <w:sz w:val="18"/>
      <w:szCs w:val="18"/>
    </w:rPr>
  </w:style>
  <w:style w:type="paragraph" w:styleId="26">
    <w:name w:val="header"/>
    <w:basedOn w:val="1"/>
    <w:link w:val="50"/>
    <w:unhideWhenUsed/>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unhideWhenUsed/>
    <w:qFormat/>
    <w:uiPriority w:val="39"/>
  </w:style>
  <w:style w:type="paragraph" w:styleId="28">
    <w:name w:val="toc 4"/>
    <w:basedOn w:val="1"/>
    <w:next w:val="1"/>
    <w:unhideWhenUsed/>
    <w:qFormat/>
    <w:uiPriority w:val="39"/>
    <w:pPr>
      <w:ind w:left="1260" w:leftChars="600"/>
    </w:pPr>
  </w:style>
  <w:style w:type="paragraph" w:styleId="29">
    <w:name w:val="Subtitle"/>
    <w:basedOn w:val="1"/>
    <w:link w:val="97"/>
    <w:qFormat/>
    <w:uiPriority w:val="0"/>
    <w:pPr>
      <w:tabs>
        <w:tab w:val="left" w:pos="3652"/>
      </w:tabs>
      <w:spacing w:before="240" w:after="240" w:line="312" w:lineRule="auto"/>
      <w:jc w:val="center"/>
    </w:pPr>
    <w:rPr>
      <w:rFonts w:ascii="Arial Black" w:hAnsi="Arial Black" w:eastAsia="黑体" w:cs="Times New Roman"/>
      <w:b/>
      <w:kern w:val="28"/>
      <w:sz w:val="72"/>
      <w:szCs w:val="21"/>
      <w:lang w:val="zh-CN"/>
    </w:rPr>
  </w:style>
  <w:style w:type="paragraph" w:styleId="30">
    <w:name w:val="footnote text"/>
    <w:basedOn w:val="1"/>
    <w:unhideWhenUsed/>
    <w:qFormat/>
    <w:uiPriority w:val="99"/>
    <w:pPr>
      <w:snapToGrid w:val="0"/>
      <w:jc w:val="left"/>
    </w:pPr>
    <w:rPr>
      <w:sz w:val="18"/>
      <w:szCs w:val="18"/>
    </w:rPr>
  </w:style>
  <w:style w:type="paragraph" w:styleId="31">
    <w:name w:val="toc 6"/>
    <w:basedOn w:val="1"/>
    <w:next w:val="1"/>
    <w:unhideWhenUsed/>
    <w:qFormat/>
    <w:uiPriority w:val="39"/>
    <w:pPr>
      <w:ind w:left="2100" w:leftChars="1000"/>
    </w:pPr>
  </w:style>
  <w:style w:type="paragraph" w:styleId="32">
    <w:name w:val="Body Text Indent 3"/>
    <w:basedOn w:val="1"/>
    <w:link w:val="99"/>
    <w:qFormat/>
    <w:uiPriority w:val="0"/>
    <w:pPr>
      <w:widowControl/>
      <w:tabs>
        <w:tab w:val="left" w:pos="3652"/>
      </w:tabs>
      <w:spacing w:line="360" w:lineRule="auto"/>
      <w:ind w:left="698" w:firstLine="2"/>
    </w:pPr>
    <w:rPr>
      <w:rFonts w:ascii="楷体_GB2312" w:hAnsi="宋体" w:eastAsia="楷体_GB2312" w:cs="Times New Roman"/>
      <w:color w:val="000000"/>
      <w:kern w:val="0"/>
      <w:szCs w:val="21"/>
      <w:shd w:val="pct10" w:color="auto" w:fill="FFFFFF"/>
      <w:lang w:val="zh-CN"/>
    </w:rPr>
  </w:style>
  <w:style w:type="paragraph" w:styleId="33">
    <w:name w:val="toc 2"/>
    <w:basedOn w:val="1"/>
    <w:next w:val="1"/>
    <w:unhideWhenUsed/>
    <w:qFormat/>
    <w:uiPriority w:val="39"/>
    <w:pPr>
      <w:ind w:left="420" w:leftChars="200"/>
    </w:pPr>
  </w:style>
  <w:style w:type="paragraph" w:styleId="34">
    <w:name w:val="toc 9"/>
    <w:basedOn w:val="1"/>
    <w:next w:val="1"/>
    <w:unhideWhenUsed/>
    <w:qFormat/>
    <w:uiPriority w:val="39"/>
    <w:pPr>
      <w:ind w:left="3360" w:leftChars="1600"/>
    </w:pPr>
  </w:style>
  <w:style w:type="paragraph" w:styleId="35">
    <w:name w:val="Body Text 2"/>
    <w:basedOn w:val="1"/>
    <w:link w:val="101"/>
    <w:qFormat/>
    <w:uiPriority w:val="0"/>
    <w:pPr>
      <w:widowControl/>
      <w:tabs>
        <w:tab w:val="left" w:pos="3652"/>
      </w:tabs>
      <w:spacing w:line="360" w:lineRule="auto"/>
      <w:jc w:val="left"/>
    </w:pPr>
    <w:rPr>
      <w:rFonts w:ascii="宋体" w:hAnsi="宋体" w:eastAsia="楷体_GB2312" w:cs="Times New Roman"/>
      <w:kern w:val="0"/>
      <w:szCs w:val="21"/>
      <w:lang w:val="zh-CN"/>
    </w:rPr>
  </w:style>
  <w:style w:type="paragraph" w:styleId="36">
    <w:name w:val="Normal (Web)"/>
    <w:basedOn w:val="1"/>
    <w:qFormat/>
    <w:uiPriority w:val="99"/>
    <w:pPr>
      <w:widowControl/>
      <w:tabs>
        <w:tab w:val="left" w:pos="3652"/>
      </w:tabs>
      <w:spacing w:before="100" w:beforeAutospacing="1" w:after="100" w:afterAutospacing="1" w:line="360" w:lineRule="auto"/>
      <w:jc w:val="left"/>
    </w:pPr>
    <w:rPr>
      <w:rFonts w:ascii="宋体" w:hAnsi="宋体" w:cs="宋体"/>
      <w:kern w:val="0"/>
      <w:szCs w:val="21"/>
    </w:rPr>
  </w:style>
  <w:style w:type="paragraph" w:styleId="37">
    <w:name w:val="Title"/>
    <w:basedOn w:val="1"/>
    <w:next w:val="1"/>
    <w:link w:val="56"/>
    <w:qFormat/>
    <w:uiPriority w:val="10"/>
    <w:pPr>
      <w:spacing w:before="240" w:after="60"/>
      <w:jc w:val="center"/>
      <w:outlineLvl w:val="0"/>
    </w:pPr>
    <w:rPr>
      <w:rFonts w:asciiTheme="majorHAnsi" w:hAnsiTheme="majorHAnsi" w:eastAsiaTheme="majorEastAsia" w:cstheme="majorBidi"/>
      <w:b/>
      <w:bCs/>
      <w:sz w:val="32"/>
      <w:szCs w:val="32"/>
    </w:rPr>
  </w:style>
  <w:style w:type="paragraph" w:styleId="38">
    <w:name w:val="annotation subject"/>
    <w:basedOn w:val="17"/>
    <w:next w:val="17"/>
    <w:link w:val="88"/>
    <w:unhideWhenUsed/>
    <w:qFormat/>
    <w:uiPriority w:val="0"/>
    <w:pPr>
      <w:spacing w:after="200" w:line="276" w:lineRule="auto"/>
    </w:pPr>
    <w:rPr>
      <w:rFonts w:ascii="Calibri" w:hAnsi="Calibri" w:cs="Times New Roman"/>
      <w:b/>
      <w:bCs/>
      <w:lang w:val="zh-CN"/>
    </w:rPr>
  </w:style>
  <w:style w:type="table" w:styleId="40">
    <w:name w:val="Table Grid"/>
    <w:basedOn w:val="39"/>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2">
    <w:name w:val="Strong"/>
    <w:qFormat/>
    <w:uiPriority w:val="0"/>
    <w:rPr>
      <w:b/>
      <w:bCs/>
    </w:rPr>
  </w:style>
  <w:style w:type="character" w:styleId="43">
    <w:name w:val="endnote reference"/>
    <w:qFormat/>
    <w:uiPriority w:val="0"/>
    <w:rPr>
      <w:vertAlign w:val="superscript"/>
    </w:rPr>
  </w:style>
  <w:style w:type="character" w:styleId="44">
    <w:name w:val="page number"/>
    <w:basedOn w:val="41"/>
    <w:unhideWhenUsed/>
    <w:qFormat/>
    <w:uiPriority w:val="0"/>
  </w:style>
  <w:style w:type="character" w:styleId="45">
    <w:name w:val="FollowedHyperlink"/>
    <w:unhideWhenUsed/>
    <w:qFormat/>
    <w:uiPriority w:val="99"/>
    <w:rPr>
      <w:color w:val="800080"/>
      <w:u w:val="single"/>
    </w:rPr>
  </w:style>
  <w:style w:type="character" w:styleId="46">
    <w:name w:val="Emphasis"/>
    <w:qFormat/>
    <w:uiPriority w:val="0"/>
    <w:rPr>
      <w:i/>
      <w:iCs/>
    </w:rPr>
  </w:style>
  <w:style w:type="character" w:styleId="47">
    <w:name w:val="Hyperlink"/>
    <w:basedOn w:val="41"/>
    <w:unhideWhenUsed/>
    <w:qFormat/>
    <w:uiPriority w:val="99"/>
    <w:rPr>
      <w:color w:val="0000FF" w:themeColor="hyperlink"/>
      <w:u w:val="single"/>
      <w14:textFill>
        <w14:solidFill>
          <w14:schemeClr w14:val="hlink"/>
        </w14:solidFill>
      </w14:textFill>
    </w:rPr>
  </w:style>
  <w:style w:type="character" w:styleId="48">
    <w:name w:val="annotation reference"/>
    <w:unhideWhenUsed/>
    <w:qFormat/>
    <w:uiPriority w:val="0"/>
    <w:rPr>
      <w:sz w:val="21"/>
      <w:szCs w:val="21"/>
    </w:rPr>
  </w:style>
  <w:style w:type="character" w:styleId="49">
    <w:name w:val="footnote reference"/>
    <w:basedOn w:val="41"/>
    <w:unhideWhenUsed/>
    <w:qFormat/>
    <w:uiPriority w:val="99"/>
    <w:rPr>
      <w:vertAlign w:val="superscript"/>
    </w:rPr>
  </w:style>
  <w:style w:type="character" w:customStyle="1" w:styleId="50">
    <w:name w:val="页眉 Char"/>
    <w:basedOn w:val="41"/>
    <w:link w:val="26"/>
    <w:qFormat/>
    <w:uiPriority w:val="0"/>
    <w:rPr>
      <w:sz w:val="18"/>
      <w:szCs w:val="18"/>
    </w:rPr>
  </w:style>
  <w:style w:type="character" w:customStyle="1" w:styleId="51">
    <w:name w:val="页脚 Char"/>
    <w:basedOn w:val="41"/>
    <w:link w:val="25"/>
    <w:qFormat/>
    <w:uiPriority w:val="99"/>
    <w:rPr>
      <w:sz w:val="18"/>
      <w:szCs w:val="18"/>
    </w:rPr>
  </w:style>
  <w:style w:type="paragraph" w:styleId="52">
    <w:name w:val="List Paragraph"/>
    <w:basedOn w:val="1"/>
    <w:link w:val="59"/>
    <w:qFormat/>
    <w:uiPriority w:val="34"/>
    <w:pPr>
      <w:ind w:firstLine="420" w:firstLineChars="200"/>
    </w:pPr>
  </w:style>
  <w:style w:type="paragraph" w:customStyle="1" w:styleId="53">
    <w:name w:val="标题10"/>
    <w:basedOn w:val="52"/>
    <w:link w:val="60"/>
    <w:qFormat/>
    <w:uiPriority w:val="0"/>
    <w:pPr>
      <w:numPr>
        <w:ilvl w:val="0"/>
        <w:numId w:val="1"/>
      </w:numPr>
      <w:spacing w:before="120" w:after="120" w:line="360" w:lineRule="auto"/>
      <w:ind w:firstLine="0" w:firstLineChars="0"/>
      <w:jc w:val="left"/>
    </w:pPr>
    <w:rPr>
      <w:b/>
    </w:rPr>
  </w:style>
  <w:style w:type="character" w:customStyle="1" w:styleId="54">
    <w:name w:val="标题 1 Char"/>
    <w:basedOn w:val="41"/>
    <w:link w:val="2"/>
    <w:qFormat/>
    <w:uiPriority w:val="0"/>
    <w:rPr>
      <w:b/>
      <w:bCs/>
      <w:kern w:val="44"/>
      <w:sz w:val="44"/>
      <w:szCs w:val="44"/>
    </w:rPr>
  </w:style>
  <w:style w:type="character" w:customStyle="1" w:styleId="55">
    <w:name w:val="标题 2 Char"/>
    <w:basedOn w:val="41"/>
    <w:link w:val="3"/>
    <w:qFormat/>
    <w:uiPriority w:val="0"/>
    <w:rPr>
      <w:rFonts w:asciiTheme="majorHAnsi" w:hAnsiTheme="majorHAnsi" w:eastAsiaTheme="majorEastAsia" w:cstheme="majorBidi"/>
      <w:b/>
      <w:bCs/>
      <w:sz w:val="32"/>
      <w:szCs w:val="32"/>
    </w:rPr>
  </w:style>
  <w:style w:type="character" w:customStyle="1" w:styleId="56">
    <w:name w:val="标题 Char"/>
    <w:basedOn w:val="41"/>
    <w:link w:val="37"/>
    <w:qFormat/>
    <w:uiPriority w:val="10"/>
    <w:rPr>
      <w:rFonts w:asciiTheme="majorHAnsi" w:hAnsiTheme="majorHAnsi" w:eastAsiaTheme="majorEastAsia" w:cstheme="majorBidi"/>
      <w:b/>
      <w:bCs/>
      <w:sz w:val="32"/>
      <w:szCs w:val="32"/>
    </w:rPr>
  </w:style>
  <w:style w:type="character" w:customStyle="1" w:styleId="57">
    <w:name w:val="文档结构图 Char"/>
    <w:basedOn w:val="41"/>
    <w:link w:val="16"/>
    <w:semiHidden/>
    <w:qFormat/>
    <w:uiPriority w:val="99"/>
    <w:rPr>
      <w:rFonts w:ascii="宋体" w:eastAsia="宋体"/>
      <w:sz w:val="18"/>
      <w:szCs w:val="18"/>
    </w:rPr>
  </w:style>
  <w:style w:type="character" w:customStyle="1" w:styleId="58">
    <w:name w:val="标题 3 Char1"/>
    <w:basedOn w:val="41"/>
    <w:link w:val="4"/>
    <w:qFormat/>
    <w:uiPriority w:val="0"/>
    <w:rPr>
      <w:b/>
      <w:bCs/>
      <w:sz w:val="24"/>
      <w:szCs w:val="32"/>
    </w:rPr>
  </w:style>
  <w:style w:type="character" w:customStyle="1" w:styleId="59">
    <w:name w:val="列出段落 Char"/>
    <w:basedOn w:val="41"/>
    <w:link w:val="52"/>
    <w:qFormat/>
    <w:uiPriority w:val="34"/>
  </w:style>
  <w:style w:type="character" w:customStyle="1" w:styleId="60">
    <w:name w:val="标题10 字符"/>
    <w:basedOn w:val="59"/>
    <w:link w:val="53"/>
    <w:qFormat/>
    <w:uiPriority w:val="0"/>
    <w:rPr>
      <w:b/>
      <w:sz w:val="24"/>
    </w:rPr>
  </w:style>
  <w:style w:type="character" w:customStyle="1" w:styleId="61">
    <w:name w:val="Unresolved Mention"/>
    <w:basedOn w:val="41"/>
    <w:semiHidden/>
    <w:unhideWhenUsed/>
    <w:qFormat/>
    <w:uiPriority w:val="99"/>
    <w:rPr>
      <w:color w:val="808080"/>
      <w:shd w:val="clear" w:color="auto" w:fill="E6E6E6"/>
    </w:rPr>
  </w:style>
  <w:style w:type="character" w:customStyle="1" w:styleId="62">
    <w:name w:val="标题 4 Char1"/>
    <w:basedOn w:val="41"/>
    <w:link w:val="5"/>
    <w:qFormat/>
    <w:uiPriority w:val="0"/>
    <w:rPr>
      <w:rFonts w:ascii="Cambria" w:hAnsi="Cambria" w:eastAsia="宋体" w:cs="Times New Roman"/>
      <w:b/>
      <w:bCs/>
      <w:sz w:val="28"/>
      <w:szCs w:val="28"/>
      <w:lang w:val="zh-CN" w:eastAsia="zh-CN"/>
    </w:rPr>
  </w:style>
  <w:style w:type="character" w:customStyle="1" w:styleId="63">
    <w:name w:val="标题 5 Char1"/>
    <w:basedOn w:val="41"/>
    <w:link w:val="6"/>
    <w:qFormat/>
    <w:uiPriority w:val="0"/>
    <w:rPr>
      <w:rFonts w:ascii="Garamond" w:hAnsi="Garamond" w:eastAsia="黑体" w:cs="Times New Roman"/>
      <w:kern w:val="20"/>
      <w:sz w:val="28"/>
      <w:szCs w:val="21"/>
      <w:lang w:val="zh-CN" w:eastAsia="zh-CN"/>
    </w:rPr>
  </w:style>
  <w:style w:type="character" w:customStyle="1" w:styleId="64">
    <w:name w:val="标题 6 Char1"/>
    <w:basedOn w:val="41"/>
    <w:link w:val="8"/>
    <w:qFormat/>
    <w:uiPriority w:val="0"/>
    <w:rPr>
      <w:rFonts w:ascii="Garamond" w:hAnsi="Garamond" w:eastAsia="宋体" w:cs="Times New Roman"/>
      <w:i/>
      <w:kern w:val="20"/>
      <w:sz w:val="22"/>
      <w:szCs w:val="21"/>
      <w:lang w:val="zh-CN" w:eastAsia="zh-CN"/>
    </w:rPr>
  </w:style>
  <w:style w:type="character" w:customStyle="1" w:styleId="65">
    <w:name w:val="标题 7 Char1"/>
    <w:basedOn w:val="41"/>
    <w:link w:val="10"/>
    <w:qFormat/>
    <w:uiPriority w:val="0"/>
    <w:rPr>
      <w:rFonts w:ascii="Garamond" w:hAnsi="Garamond" w:eastAsia="宋体" w:cs="Times New Roman"/>
      <w:smallCaps/>
      <w:kern w:val="20"/>
      <w:sz w:val="23"/>
      <w:szCs w:val="21"/>
      <w:lang w:val="zh-CN" w:eastAsia="zh-CN"/>
    </w:rPr>
  </w:style>
  <w:style w:type="character" w:customStyle="1" w:styleId="66">
    <w:name w:val="标题 8 Char1"/>
    <w:basedOn w:val="41"/>
    <w:link w:val="11"/>
    <w:qFormat/>
    <w:uiPriority w:val="0"/>
    <w:rPr>
      <w:rFonts w:ascii="Garamond" w:hAnsi="Garamond" w:eastAsia="宋体" w:cs="Times New Roman"/>
      <w:i/>
      <w:kern w:val="20"/>
      <w:sz w:val="22"/>
      <w:szCs w:val="21"/>
      <w:lang w:val="zh-CN" w:eastAsia="zh-CN"/>
    </w:rPr>
  </w:style>
  <w:style w:type="character" w:customStyle="1" w:styleId="67">
    <w:name w:val="标题 9 Char1"/>
    <w:basedOn w:val="41"/>
    <w:link w:val="12"/>
    <w:qFormat/>
    <w:uiPriority w:val="0"/>
    <w:rPr>
      <w:rFonts w:ascii="Garamond" w:hAnsi="Garamond" w:eastAsia="宋体" w:cs="Times New Roman"/>
      <w:kern w:val="20"/>
      <w:sz w:val="22"/>
      <w:szCs w:val="21"/>
      <w:lang w:val="zh-CN" w:eastAsia="zh-CN"/>
    </w:rPr>
  </w:style>
  <w:style w:type="character" w:customStyle="1" w:styleId="68">
    <w:name w:val="页眉 字符1"/>
    <w:basedOn w:val="41"/>
    <w:qFormat/>
    <w:uiPriority w:val="0"/>
    <w:rPr>
      <w:sz w:val="18"/>
      <w:szCs w:val="18"/>
    </w:rPr>
  </w:style>
  <w:style w:type="character" w:customStyle="1" w:styleId="69">
    <w:name w:val="页脚 字符1"/>
    <w:basedOn w:val="41"/>
    <w:qFormat/>
    <w:uiPriority w:val="0"/>
    <w:rPr>
      <w:sz w:val="18"/>
      <w:szCs w:val="18"/>
    </w:rPr>
  </w:style>
  <w:style w:type="paragraph" w:customStyle="1" w:styleId="70">
    <w:name w:val="标题3"/>
    <w:basedOn w:val="52"/>
    <w:qFormat/>
    <w:uiPriority w:val="0"/>
    <w:pPr>
      <w:numPr>
        <w:ilvl w:val="0"/>
        <w:numId w:val="2"/>
      </w:numPr>
      <w:spacing w:before="120" w:after="120" w:line="360" w:lineRule="auto"/>
      <w:ind w:firstLine="0" w:firstLineChars="0"/>
      <w:jc w:val="left"/>
    </w:pPr>
    <w:rPr>
      <w:b/>
    </w:rPr>
  </w:style>
  <w:style w:type="character" w:customStyle="1" w:styleId="71">
    <w:name w:val="标题 1 字符1"/>
    <w:basedOn w:val="41"/>
    <w:qFormat/>
    <w:uiPriority w:val="0"/>
    <w:rPr>
      <w:b/>
      <w:bCs/>
      <w:kern w:val="44"/>
      <w:sz w:val="44"/>
      <w:szCs w:val="44"/>
    </w:rPr>
  </w:style>
  <w:style w:type="character" w:customStyle="1" w:styleId="72">
    <w:name w:val="标题 2 字符1"/>
    <w:basedOn w:val="41"/>
    <w:qFormat/>
    <w:uiPriority w:val="0"/>
    <w:rPr>
      <w:rFonts w:asciiTheme="majorHAnsi" w:hAnsiTheme="majorHAnsi" w:eastAsiaTheme="majorEastAsia" w:cstheme="majorBidi"/>
      <w:b/>
      <w:bCs/>
      <w:sz w:val="32"/>
      <w:szCs w:val="32"/>
    </w:rPr>
  </w:style>
  <w:style w:type="character" w:customStyle="1" w:styleId="73">
    <w:name w:val="标题 字符1"/>
    <w:basedOn w:val="41"/>
    <w:qFormat/>
    <w:uiPriority w:val="10"/>
    <w:rPr>
      <w:rFonts w:asciiTheme="majorHAnsi" w:hAnsiTheme="majorHAnsi" w:eastAsiaTheme="majorEastAsia" w:cstheme="majorBidi"/>
      <w:b/>
      <w:bCs/>
      <w:sz w:val="32"/>
      <w:szCs w:val="32"/>
    </w:rPr>
  </w:style>
  <w:style w:type="character" w:customStyle="1" w:styleId="74">
    <w:name w:val="文档结构图 字符1"/>
    <w:basedOn w:val="41"/>
    <w:semiHidden/>
    <w:qFormat/>
    <w:uiPriority w:val="99"/>
    <w:rPr>
      <w:rFonts w:ascii="宋体" w:eastAsia="宋体"/>
      <w:sz w:val="18"/>
      <w:szCs w:val="18"/>
    </w:rPr>
  </w:style>
  <w:style w:type="character" w:customStyle="1" w:styleId="75">
    <w:name w:val="标题 3 Char"/>
    <w:basedOn w:val="41"/>
    <w:qFormat/>
    <w:uiPriority w:val="0"/>
    <w:rPr>
      <w:b/>
      <w:bCs/>
      <w:sz w:val="32"/>
      <w:szCs w:val="32"/>
    </w:rPr>
  </w:style>
  <w:style w:type="character" w:customStyle="1" w:styleId="76">
    <w:name w:val="标题 4 Char"/>
    <w:basedOn w:val="41"/>
    <w:qFormat/>
    <w:uiPriority w:val="0"/>
    <w:rPr>
      <w:rFonts w:asciiTheme="majorHAnsi" w:hAnsiTheme="majorHAnsi" w:eastAsiaTheme="majorEastAsia" w:cstheme="majorBidi"/>
      <w:b/>
      <w:bCs/>
      <w:sz w:val="28"/>
      <w:szCs w:val="28"/>
    </w:rPr>
  </w:style>
  <w:style w:type="character" w:customStyle="1" w:styleId="77">
    <w:name w:val="标题 5 Char"/>
    <w:basedOn w:val="41"/>
    <w:qFormat/>
    <w:uiPriority w:val="0"/>
    <w:rPr>
      <w:b/>
      <w:bCs/>
      <w:sz w:val="28"/>
      <w:szCs w:val="28"/>
    </w:rPr>
  </w:style>
  <w:style w:type="character" w:customStyle="1" w:styleId="78">
    <w:name w:val="标题 6 Char"/>
    <w:basedOn w:val="41"/>
    <w:semiHidden/>
    <w:qFormat/>
    <w:uiPriority w:val="9"/>
    <w:rPr>
      <w:rFonts w:asciiTheme="majorHAnsi" w:hAnsiTheme="majorHAnsi" w:eastAsiaTheme="majorEastAsia" w:cstheme="majorBidi"/>
      <w:b/>
      <w:bCs/>
      <w:sz w:val="24"/>
      <w:szCs w:val="24"/>
    </w:rPr>
  </w:style>
  <w:style w:type="character" w:customStyle="1" w:styleId="79">
    <w:name w:val="标题 7 Char"/>
    <w:basedOn w:val="41"/>
    <w:semiHidden/>
    <w:qFormat/>
    <w:uiPriority w:val="9"/>
    <w:rPr>
      <w:b/>
      <w:bCs/>
      <w:sz w:val="24"/>
      <w:szCs w:val="24"/>
    </w:rPr>
  </w:style>
  <w:style w:type="character" w:customStyle="1" w:styleId="80">
    <w:name w:val="标题 8 Char"/>
    <w:basedOn w:val="41"/>
    <w:semiHidden/>
    <w:qFormat/>
    <w:uiPriority w:val="9"/>
    <w:rPr>
      <w:rFonts w:asciiTheme="majorHAnsi" w:hAnsiTheme="majorHAnsi" w:eastAsiaTheme="majorEastAsia" w:cstheme="majorBidi"/>
      <w:sz w:val="24"/>
      <w:szCs w:val="24"/>
    </w:rPr>
  </w:style>
  <w:style w:type="character" w:customStyle="1" w:styleId="81">
    <w:name w:val="标题 9 Char"/>
    <w:basedOn w:val="41"/>
    <w:semiHidden/>
    <w:qFormat/>
    <w:uiPriority w:val="9"/>
    <w:rPr>
      <w:rFonts w:asciiTheme="majorHAnsi" w:hAnsiTheme="majorHAnsi" w:eastAsiaTheme="majorEastAsia" w:cstheme="majorBidi"/>
      <w:szCs w:val="21"/>
    </w:rPr>
  </w:style>
  <w:style w:type="character" w:customStyle="1" w:styleId="82">
    <w:name w:val="正文文本缩进 Char1"/>
    <w:basedOn w:val="41"/>
    <w:link w:val="7"/>
    <w:qFormat/>
    <w:uiPriority w:val="0"/>
    <w:rPr>
      <w:rFonts w:ascii="Calibri" w:hAnsi="Calibri" w:eastAsia="宋体" w:cs="Times New Roman"/>
      <w:lang w:val="zh-CN" w:eastAsia="zh-CN"/>
    </w:rPr>
  </w:style>
  <w:style w:type="character" w:customStyle="1" w:styleId="83">
    <w:name w:val="正文文本缩进 Char"/>
    <w:basedOn w:val="41"/>
    <w:qFormat/>
    <w:uiPriority w:val="0"/>
  </w:style>
  <w:style w:type="character" w:customStyle="1" w:styleId="84">
    <w:name w:val="正文文本 Char1"/>
    <w:basedOn w:val="41"/>
    <w:link w:val="9"/>
    <w:qFormat/>
    <w:uiPriority w:val="0"/>
    <w:rPr>
      <w:rFonts w:ascii="宋体" w:hAnsi="宋体" w:eastAsia="宋体" w:cs="Times New Roman"/>
      <w:kern w:val="0"/>
      <w:szCs w:val="21"/>
      <w:lang w:val="zh-CN" w:eastAsia="zh-CN"/>
    </w:rPr>
  </w:style>
  <w:style w:type="character" w:customStyle="1" w:styleId="85">
    <w:name w:val="正文文本 Char"/>
    <w:basedOn w:val="41"/>
    <w:semiHidden/>
    <w:qFormat/>
    <w:uiPriority w:val="99"/>
  </w:style>
  <w:style w:type="character" w:customStyle="1" w:styleId="86">
    <w:name w:val="批注文字 字符"/>
    <w:basedOn w:val="41"/>
    <w:qFormat/>
    <w:uiPriority w:val="0"/>
  </w:style>
  <w:style w:type="character" w:customStyle="1" w:styleId="87">
    <w:name w:val="批注文字 Char"/>
    <w:basedOn w:val="41"/>
    <w:link w:val="17"/>
    <w:qFormat/>
    <w:uiPriority w:val="0"/>
  </w:style>
  <w:style w:type="character" w:customStyle="1" w:styleId="88">
    <w:name w:val="批注主题 Char1"/>
    <w:basedOn w:val="86"/>
    <w:link w:val="38"/>
    <w:qFormat/>
    <w:uiPriority w:val="0"/>
    <w:rPr>
      <w:rFonts w:ascii="Calibri" w:hAnsi="Calibri" w:eastAsia="宋体" w:cs="Times New Roman"/>
      <w:b/>
      <w:bCs/>
      <w:lang w:val="zh-CN" w:eastAsia="zh-CN"/>
    </w:rPr>
  </w:style>
  <w:style w:type="character" w:customStyle="1" w:styleId="89">
    <w:name w:val="批注主题 Char"/>
    <w:basedOn w:val="87"/>
    <w:semiHidden/>
    <w:qFormat/>
    <w:uiPriority w:val="99"/>
    <w:rPr>
      <w:b/>
      <w:bCs/>
    </w:rPr>
  </w:style>
  <w:style w:type="character" w:customStyle="1" w:styleId="90">
    <w:name w:val="纯文本 Char1"/>
    <w:basedOn w:val="41"/>
    <w:link w:val="20"/>
    <w:qFormat/>
    <w:uiPriority w:val="0"/>
    <w:rPr>
      <w:rFonts w:ascii="宋体" w:hAnsi="Courier New" w:eastAsia="宋体" w:cs="Times New Roman"/>
      <w:szCs w:val="21"/>
      <w:lang w:val="zh-CN" w:eastAsia="zh-CN"/>
    </w:rPr>
  </w:style>
  <w:style w:type="character" w:customStyle="1" w:styleId="91">
    <w:name w:val="纯文本 Char"/>
    <w:basedOn w:val="41"/>
    <w:semiHidden/>
    <w:qFormat/>
    <w:uiPriority w:val="99"/>
    <w:rPr>
      <w:rFonts w:ascii="宋体" w:hAnsi="Courier New" w:eastAsia="宋体" w:cs="Courier New"/>
      <w:szCs w:val="21"/>
    </w:rPr>
  </w:style>
  <w:style w:type="character" w:customStyle="1" w:styleId="92">
    <w:name w:val="日期 Char1"/>
    <w:basedOn w:val="41"/>
    <w:link w:val="22"/>
    <w:qFormat/>
    <w:uiPriority w:val="0"/>
    <w:rPr>
      <w:rFonts w:ascii="宋体" w:hAnsi="宋体" w:eastAsia="宋体" w:cs="Times New Roman"/>
      <w:szCs w:val="21"/>
      <w:lang w:val="zh-CN" w:eastAsia="zh-CN"/>
    </w:rPr>
  </w:style>
  <w:style w:type="character" w:customStyle="1" w:styleId="93">
    <w:name w:val="日期 Char"/>
    <w:basedOn w:val="41"/>
    <w:semiHidden/>
    <w:qFormat/>
    <w:uiPriority w:val="99"/>
  </w:style>
  <w:style w:type="character" w:customStyle="1" w:styleId="94">
    <w:name w:val="正文文本缩进 2 Char"/>
    <w:basedOn w:val="41"/>
    <w:link w:val="23"/>
    <w:qFormat/>
    <w:uiPriority w:val="0"/>
    <w:rPr>
      <w:rFonts w:ascii="宋体" w:hAnsi="宋体" w:eastAsia="宋体" w:cs="黑体"/>
    </w:rPr>
  </w:style>
  <w:style w:type="character" w:customStyle="1" w:styleId="95">
    <w:name w:val="批注框文本 Char1"/>
    <w:basedOn w:val="41"/>
    <w:link w:val="24"/>
    <w:qFormat/>
    <w:uiPriority w:val="99"/>
    <w:rPr>
      <w:rFonts w:ascii="Times New Roman" w:hAnsi="Times New Roman" w:eastAsia="宋体" w:cs="Times New Roman"/>
      <w:kern w:val="0"/>
      <w:sz w:val="18"/>
      <w:szCs w:val="18"/>
      <w:lang w:val="zh-CN" w:eastAsia="zh-CN"/>
    </w:rPr>
  </w:style>
  <w:style w:type="character" w:customStyle="1" w:styleId="96">
    <w:name w:val="批注框文本 Char"/>
    <w:basedOn w:val="41"/>
    <w:semiHidden/>
    <w:qFormat/>
    <w:uiPriority w:val="99"/>
    <w:rPr>
      <w:sz w:val="18"/>
      <w:szCs w:val="18"/>
    </w:rPr>
  </w:style>
  <w:style w:type="character" w:customStyle="1" w:styleId="97">
    <w:name w:val="副标题 Char1"/>
    <w:basedOn w:val="41"/>
    <w:link w:val="29"/>
    <w:qFormat/>
    <w:uiPriority w:val="0"/>
    <w:rPr>
      <w:rFonts w:ascii="Arial Black" w:hAnsi="Arial Black" w:eastAsia="黑体" w:cs="Times New Roman"/>
      <w:b/>
      <w:kern w:val="28"/>
      <w:sz w:val="72"/>
      <w:szCs w:val="21"/>
      <w:lang w:val="zh-CN" w:eastAsia="zh-CN"/>
    </w:rPr>
  </w:style>
  <w:style w:type="character" w:customStyle="1" w:styleId="98">
    <w:name w:val="副标题 Char"/>
    <w:basedOn w:val="41"/>
    <w:qFormat/>
    <w:uiPriority w:val="11"/>
    <w:rPr>
      <w:rFonts w:eastAsia="宋体" w:asciiTheme="majorHAnsi" w:hAnsiTheme="majorHAnsi" w:cstheme="majorBidi"/>
      <w:b/>
      <w:bCs/>
      <w:kern w:val="28"/>
      <w:sz w:val="32"/>
      <w:szCs w:val="32"/>
    </w:rPr>
  </w:style>
  <w:style w:type="character" w:customStyle="1" w:styleId="99">
    <w:name w:val="正文文本缩进 3 Char1"/>
    <w:basedOn w:val="41"/>
    <w:link w:val="32"/>
    <w:qFormat/>
    <w:uiPriority w:val="0"/>
    <w:rPr>
      <w:rFonts w:ascii="楷体_GB2312" w:hAnsi="宋体" w:eastAsia="楷体_GB2312" w:cs="Times New Roman"/>
      <w:color w:val="000000"/>
      <w:kern w:val="0"/>
      <w:szCs w:val="21"/>
      <w:lang w:val="zh-CN" w:eastAsia="zh-CN"/>
    </w:rPr>
  </w:style>
  <w:style w:type="character" w:customStyle="1" w:styleId="100">
    <w:name w:val="正文文本缩进 3 Char"/>
    <w:basedOn w:val="41"/>
    <w:semiHidden/>
    <w:qFormat/>
    <w:uiPriority w:val="99"/>
    <w:rPr>
      <w:sz w:val="16"/>
      <w:szCs w:val="16"/>
    </w:rPr>
  </w:style>
  <w:style w:type="character" w:customStyle="1" w:styleId="101">
    <w:name w:val="正文文本 2 Char1"/>
    <w:basedOn w:val="41"/>
    <w:link w:val="35"/>
    <w:qFormat/>
    <w:uiPriority w:val="0"/>
    <w:rPr>
      <w:rFonts w:ascii="宋体" w:hAnsi="宋体" w:eastAsia="楷体_GB2312" w:cs="Times New Roman"/>
      <w:kern w:val="0"/>
      <w:szCs w:val="21"/>
      <w:lang w:val="zh-CN" w:eastAsia="zh-CN"/>
    </w:rPr>
  </w:style>
  <w:style w:type="character" w:customStyle="1" w:styleId="102">
    <w:name w:val="正文文本 2 Char"/>
    <w:basedOn w:val="41"/>
    <w:semiHidden/>
    <w:qFormat/>
    <w:uiPriority w:val="99"/>
  </w:style>
  <w:style w:type="paragraph" w:customStyle="1" w:styleId="103">
    <w:name w:val="列出段落1"/>
    <w:basedOn w:val="1"/>
    <w:qFormat/>
    <w:uiPriority w:val="34"/>
    <w:pPr>
      <w:spacing w:after="200" w:line="276" w:lineRule="auto"/>
      <w:ind w:firstLine="420" w:firstLineChars="200"/>
      <w:jc w:val="left"/>
    </w:pPr>
    <w:rPr>
      <w:rFonts w:ascii="Calibri" w:hAnsi="Calibri" w:cs="Times New Roman"/>
    </w:rPr>
  </w:style>
  <w:style w:type="paragraph" w:customStyle="1" w:styleId="104">
    <w:name w:val="TOC 标题1"/>
    <w:basedOn w:val="2"/>
    <w:next w:val="1"/>
    <w:unhideWhenUsed/>
    <w:qFormat/>
    <w:uiPriority w:val="39"/>
    <w:pPr>
      <w:widowControl/>
      <w:spacing w:before="480" w:after="0" w:line="276" w:lineRule="auto"/>
      <w:ind w:left="425" w:hanging="425"/>
      <w:jc w:val="left"/>
      <w:outlineLvl w:val="9"/>
    </w:pPr>
    <w:rPr>
      <w:rFonts w:ascii="Cambria" w:hAnsi="Cambria" w:cs="Times New Roman"/>
      <w:color w:val="365F90"/>
      <w:kern w:val="0"/>
      <w:sz w:val="28"/>
      <w:szCs w:val="28"/>
      <w:lang w:val="zh-CN"/>
    </w:rPr>
  </w:style>
  <w:style w:type="paragraph" w:customStyle="1" w:styleId="105">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微软雅黑" w:hAnsi="微软雅黑" w:eastAsia="微软雅黑" w:cs="宋体"/>
      <w:kern w:val="0"/>
      <w:sz w:val="20"/>
      <w:szCs w:val="20"/>
    </w:rPr>
  </w:style>
  <w:style w:type="paragraph" w:customStyle="1" w:styleId="106">
    <w:name w:val="xl67"/>
    <w:basedOn w:val="1"/>
    <w:qFormat/>
    <w:uiPriority w:val="0"/>
    <w:pPr>
      <w:widowControl/>
      <w:spacing w:before="100" w:beforeAutospacing="1" w:after="100" w:afterAutospacing="1"/>
      <w:jc w:val="left"/>
      <w:textAlignment w:val="center"/>
    </w:pPr>
    <w:rPr>
      <w:rFonts w:ascii="宋体" w:hAnsi="宋体" w:cs="宋体"/>
      <w:kern w:val="0"/>
      <w:szCs w:val="24"/>
    </w:rPr>
  </w:style>
  <w:style w:type="paragraph" w:customStyle="1" w:styleId="107">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微软雅黑" w:hAnsi="微软雅黑" w:eastAsia="微软雅黑" w:cs="宋体"/>
      <w:kern w:val="0"/>
      <w:sz w:val="20"/>
      <w:szCs w:val="20"/>
    </w:rPr>
  </w:style>
  <w:style w:type="paragraph" w:customStyle="1" w:styleId="108">
    <w:name w:val="xl6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宋体" w:hAnsi="宋体" w:cs="宋体"/>
      <w:kern w:val="0"/>
      <w:szCs w:val="24"/>
    </w:rPr>
  </w:style>
  <w:style w:type="paragraph" w:customStyle="1" w:styleId="109">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宋体" w:hAnsi="宋体" w:cs="宋体"/>
      <w:kern w:val="0"/>
      <w:szCs w:val="24"/>
    </w:rPr>
  </w:style>
  <w:style w:type="paragraph" w:customStyle="1" w:styleId="110">
    <w:name w:val="列出段落2"/>
    <w:basedOn w:val="1"/>
    <w:qFormat/>
    <w:uiPriority w:val="34"/>
    <w:pPr>
      <w:ind w:firstLine="420" w:firstLineChars="200"/>
    </w:pPr>
    <w:rPr>
      <w:rFonts w:ascii="Calibri" w:hAnsi="Calibri" w:cs="Times New Roman"/>
    </w:rPr>
  </w:style>
  <w:style w:type="paragraph" w:customStyle="1" w:styleId="111">
    <w:name w:val="列出段落3"/>
    <w:basedOn w:val="1"/>
    <w:qFormat/>
    <w:uiPriority w:val="34"/>
    <w:pPr>
      <w:ind w:firstLine="420" w:firstLineChars="200"/>
    </w:pPr>
    <w:rPr>
      <w:rFonts w:ascii="Calibri" w:hAnsi="Calibri" w:cs="Times New Roman"/>
    </w:rPr>
  </w:style>
  <w:style w:type="paragraph" w:customStyle="1" w:styleId="112">
    <w:name w:val="TOC 标题2"/>
    <w:basedOn w:val="2"/>
    <w:next w:val="1"/>
    <w:unhideWhenUsed/>
    <w:qFormat/>
    <w:uiPriority w:val="39"/>
    <w:pPr>
      <w:widowControl/>
      <w:spacing w:before="480" w:after="0" w:line="276" w:lineRule="auto"/>
      <w:jc w:val="left"/>
      <w:outlineLvl w:val="9"/>
    </w:pPr>
    <w:rPr>
      <w:rFonts w:ascii="Cambria" w:hAnsi="Cambria" w:cs="黑体"/>
      <w:color w:val="365F90"/>
      <w:kern w:val="0"/>
      <w:sz w:val="28"/>
      <w:szCs w:val="28"/>
      <w:lang w:val="zh-CN"/>
    </w:rPr>
  </w:style>
  <w:style w:type="paragraph" w:customStyle="1" w:styleId="113">
    <w:name w:val="基准篇头"/>
    <w:basedOn w:val="1"/>
    <w:next w:val="1"/>
    <w:qFormat/>
    <w:uiPriority w:val="0"/>
    <w:pPr>
      <w:keepNext/>
      <w:keepLines/>
      <w:widowControl/>
      <w:tabs>
        <w:tab w:val="left" w:pos="3652"/>
      </w:tabs>
      <w:overflowPunct w:val="0"/>
      <w:autoSpaceDE w:val="0"/>
      <w:autoSpaceDN w:val="0"/>
      <w:adjustRightInd w:val="0"/>
      <w:spacing w:before="360" w:after="120" w:line="360" w:lineRule="exact"/>
      <w:textAlignment w:val="baseline"/>
    </w:pPr>
    <w:rPr>
      <w:rFonts w:ascii="Arial" w:hAnsi="Arial" w:cs="Times New Roman"/>
      <w:b/>
      <w:kern w:val="28"/>
      <w:sz w:val="28"/>
      <w:szCs w:val="21"/>
    </w:rPr>
  </w:style>
  <w:style w:type="paragraph" w:customStyle="1" w:styleId="114">
    <w:name w:val="附录标题1"/>
    <w:basedOn w:val="2"/>
    <w:next w:val="7"/>
    <w:qFormat/>
    <w:uiPriority w:val="0"/>
    <w:pPr>
      <w:tabs>
        <w:tab w:val="left" w:pos="360"/>
        <w:tab w:val="left" w:pos="851"/>
        <w:tab w:val="left" w:pos="1134"/>
      </w:tabs>
      <w:spacing w:line="360" w:lineRule="auto"/>
      <w:ind w:left="432" w:hanging="432"/>
      <w:jc w:val="center"/>
    </w:pPr>
    <w:rPr>
      <w:rFonts w:ascii="宋体" w:hAnsi="宋体" w:eastAsia="黑体" w:cs="Times New Roman"/>
      <w:bCs w:val="0"/>
      <w:sz w:val="36"/>
      <w:szCs w:val="36"/>
      <w:lang w:val="zh-CN"/>
    </w:rPr>
  </w:style>
  <w:style w:type="paragraph" w:customStyle="1" w:styleId="115">
    <w:name w:val="修订1"/>
    <w:qFormat/>
    <w:uiPriority w:val="0"/>
    <w:rPr>
      <w:rFonts w:ascii="Times New Roman" w:hAnsi="Times New Roman" w:eastAsia="宋体" w:cs="Times New Roman"/>
      <w:kern w:val="2"/>
      <w:sz w:val="21"/>
      <w:szCs w:val="24"/>
      <w:lang w:val="en-US" w:eastAsia="zh-CN" w:bidi="ar-SA"/>
    </w:rPr>
  </w:style>
  <w:style w:type="paragraph" w:customStyle="1" w:styleId="116">
    <w:name w:val="p0"/>
    <w:basedOn w:val="1"/>
    <w:qFormat/>
    <w:uiPriority w:val="0"/>
    <w:pPr>
      <w:widowControl/>
      <w:jc w:val="left"/>
    </w:pPr>
    <w:rPr>
      <w:rFonts w:ascii="Times New Roman" w:hAnsi="Times New Roman" w:cs="Times New Roman"/>
      <w:kern w:val="0"/>
      <w:sz w:val="20"/>
      <w:szCs w:val="20"/>
    </w:rPr>
  </w:style>
  <w:style w:type="paragraph" w:customStyle="1" w:styleId="117">
    <w:name w:val="落款"/>
    <w:basedOn w:val="1"/>
    <w:qFormat/>
    <w:uiPriority w:val="0"/>
    <w:pPr>
      <w:tabs>
        <w:tab w:val="left" w:pos="3652"/>
      </w:tabs>
      <w:spacing w:line="360" w:lineRule="auto"/>
      <w:jc w:val="center"/>
    </w:pPr>
    <w:rPr>
      <w:rFonts w:ascii="Garamond" w:hAnsi="Garamond" w:cs="Times New Roman"/>
      <w:b/>
      <w:szCs w:val="21"/>
    </w:rPr>
  </w:style>
  <w:style w:type="paragraph" w:customStyle="1" w:styleId="118">
    <w:name w:val="Numbered list 2.3"/>
    <w:basedOn w:val="4"/>
    <w:next w:val="14"/>
    <w:qFormat/>
    <w:uiPriority w:val="0"/>
    <w:pPr>
      <w:widowControl/>
      <w:tabs>
        <w:tab w:val="left" w:pos="360"/>
        <w:tab w:val="left" w:pos="1080"/>
        <w:tab w:val="left" w:pos="1135"/>
        <w:tab w:val="left" w:pos="3652"/>
      </w:tabs>
      <w:spacing w:before="240" w:after="60" w:line="360" w:lineRule="auto"/>
      <w:ind w:left="360" w:hanging="360"/>
      <w:jc w:val="left"/>
    </w:pPr>
    <w:rPr>
      <w:rFonts w:ascii="Arial" w:hAnsi="Arial" w:cs="Times New Roman"/>
      <w:bCs w:val="0"/>
      <w:szCs w:val="21"/>
      <w:lang w:val="zh-CN"/>
    </w:rPr>
  </w:style>
  <w:style w:type="paragraph" w:customStyle="1" w:styleId="119">
    <w:name w:val="Numbered list 2.4"/>
    <w:basedOn w:val="5"/>
    <w:next w:val="14"/>
    <w:qFormat/>
    <w:uiPriority w:val="0"/>
    <w:pPr>
      <w:widowControl/>
      <w:tabs>
        <w:tab w:val="left" w:pos="360"/>
        <w:tab w:val="left" w:pos="426"/>
        <w:tab w:val="left" w:pos="1080"/>
        <w:tab w:val="left" w:pos="1800"/>
        <w:tab w:val="left" w:pos="1845"/>
        <w:tab w:val="left" w:pos="3652"/>
      </w:tabs>
      <w:spacing w:before="240" w:after="60" w:line="360" w:lineRule="auto"/>
      <w:ind w:left="360" w:hanging="360"/>
    </w:pPr>
    <w:rPr>
      <w:rFonts w:ascii="Arial" w:hAnsi="Arial"/>
      <w:bCs w:val="0"/>
      <w:kern w:val="0"/>
      <w:sz w:val="21"/>
      <w:szCs w:val="21"/>
    </w:rPr>
  </w:style>
  <w:style w:type="paragraph" w:customStyle="1" w:styleId="120">
    <w:name w:val="日期1"/>
    <w:basedOn w:val="1"/>
    <w:qFormat/>
    <w:uiPriority w:val="0"/>
    <w:pPr>
      <w:widowControl/>
      <w:tabs>
        <w:tab w:val="left" w:pos="3652"/>
      </w:tabs>
      <w:overflowPunct w:val="0"/>
      <w:autoSpaceDE w:val="0"/>
      <w:autoSpaceDN w:val="0"/>
      <w:adjustRightInd w:val="0"/>
      <w:spacing w:before="5400" w:line="360" w:lineRule="auto"/>
      <w:jc w:val="center"/>
      <w:textAlignment w:val="baseline"/>
    </w:pPr>
    <w:rPr>
      <w:rFonts w:ascii="宋体" w:hAnsi="宋体" w:cs="Times New Roman"/>
      <w:b/>
      <w:kern w:val="0"/>
      <w:szCs w:val="21"/>
    </w:rPr>
  </w:style>
  <w:style w:type="paragraph" w:customStyle="1" w:styleId="121">
    <w:name w:val="附录标题 2"/>
    <w:basedOn w:val="3"/>
    <w:next w:val="7"/>
    <w:qFormat/>
    <w:uiPriority w:val="0"/>
    <w:pPr>
      <w:tabs>
        <w:tab w:val="left" w:pos="540"/>
        <w:tab w:val="left" w:pos="1276"/>
      </w:tabs>
      <w:spacing w:line="360" w:lineRule="auto"/>
      <w:ind w:left="851"/>
    </w:pPr>
    <w:rPr>
      <w:rFonts w:ascii="宋体" w:hAnsi="宋体" w:eastAsia="宋体" w:cs="Times New Roman"/>
      <w:bCs w:val="0"/>
      <w:szCs w:val="21"/>
      <w:shd w:val="pct10" w:color="auto" w:fill="FFFFFF"/>
      <w:lang w:val="zh-CN"/>
    </w:rPr>
  </w:style>
  <w:style w:type="paragraph" w:customStyle="1" w:styleId="122">
    <w:name w:val="Char"/>
    <w:basedOn w:val="1"/>
    <w:qFormat/>
    <w:uiPriority w:val="0"/>
    <w:pPr>
      <w:tabs>
        <w:tab w:val="left" w:pos="420"/>
      </w:tabs>
      <w:adjustRightInd w:val="0"/>
      <w:spacing w:line="360" w:lineRule="auto"/>
    </w:pPr>
    <w:rPr>
      <w:rFonts w:ascii="Times New Roman" w:hAnsi="Times New Roman" w:cs="Times New Roman"/>
      <w:kern w:val="0"/>
      <w:szCs w:val="24"/>
    </w:rPr>
  </w:style>
  <w:style w:type="paragraph" w:customStyle="1" w:styleId="123">
    <w:name w:val="正文 + 左  2 字符"/>
    <w:basedOn w:val="1"/>
    <w:qFormat/>
    <w:uiPriority w:val="0"/>
    <w:pPr>
      <w:tabs>
        <w:tab w:val="left" w:pos="3652"/>
      </w:tabs>
      <w:spacing w:line="360" w:lineRule="auto"/>
      <w:ind w:left="480" w:leftChars="200"/>
    </w:pPr>
    <w:rPr>
      <w:rFonts w:ascii="宋体" w:hAnsi="宋体" w:cs="Times New Roman"/>
      <w:szCs w:val="21"/>
    </w:rPr>
  </w:style>
  <w:style w:type="paragraph" w:customStyle="1" w:styleId="124">
    <w:name w:val="正文 + Courier New"/>
    <w:basedOn w:val="1"/>
    <w:qFormat/>
    <w:uiPriority w:val="0"/>
    <w:pPr>
      <w:spacing w:line="360" w:lineRule="auto"/>
    </w:pPr>
    <w:rPr>
      <w:rFonts w:ascii="Courier New" w:hAnsi="Courier New" w:cs="Times New Roman"/>
      <w:color w:val="7F007F"/>
      <w:kern w:val="0"/>
      <w:sz w:val="20"/>
      <w:szCs w:val="24"/>
    </w:rPr>
  </w:style>
  <w:style w:type="paragraph" w:customStyle="1" w:styleId="125">
    <w:name w:val="Default"/>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paragraph" w:customStyle="1" w:styleId="126">
    <w:name w:val="分类缩进正文文字"/>
    <w:basedOn w:val="7"/>
    <w:qFormat/>
    <w:uiPriority w:val="0"/>
    <w:pPr>
      <w:tabs>
        <w:tab w:val="left" w:pos="510"/>
      </w:tabs>
      <w:spacing w:line="360" w:lineRule="auto"/>
      <w:ind w:left="510" w:leftChars="0" w:hanging="510"/>
      <w:jc w:val="both"/>
    </w:pPr>
    <w:rPr>
      <w:rFonts w:ascii="Garamond" w:hAnsi="Garamond"/>
      <w:szCs w:val="21"/>
    </w:rPr>
  </w:style>
  <w:style w:type="paragraph" w:customStyle="1" w:styleId="127">
    <w:name w:val="[说明]"/>
    <w:basedOn w:val="1"/>
    <w:next w:val="1"/>
    <w:qFormat/>
    <w:uiPriority w:val="0"/>
    <w:pPr>
      <w:keepNext/>
      <w:spacing w:before="60" w:after="60" w:line="60" w:lineRule="atLeast"/>
    </w:pPr>
    <w:rPr>
      <w:rFonts w:ascii="宋体" w:hAnsi="宋体" w:eastAsia="楷体_GB2312" w:cs="Times New Roman"/>
      <w:b/>
      <w:i/>
      <w:szCs w:val="24"/>
    </w:rPr>
  </w:style>
  <w:style w:type="paragraph" w:customStyle="1" w:styleId="128">
    <w:name w:val="信息标题2"/>
    <w:basedOn w:val="15"/>
    <w:next w:val="15"/>
    <w:qFormat/>
    <w:uiPriority w:val="0"/>
    <w:pPr>
      <w:outlineLvl w:val="0"/>
    </w:pPr>
    <w:rPr>
      <w:rFonts w:ascii="Arial Black" w:hAnsi="Arial Black"/>
      <w:sz w:val="30"/>
    </w:rPr>
  </w:style>
  <w:style w:type="paragraph" w:customStyle="1" w:styleId="129">
    <w:name w:val="样式 标题 2 + 楷体_GB2312 行距: 1.5 倍行距"/>
    <w:basedOn w:val="3"/>
    <w:qFormat/>
    <w:uiPriority w:val="0"/>
    <w:pPr>
      <w:widowControl/>
      <w:tabs>
        <w:tab w:val="left" w:pos="540"/>
        <w:tab w:val="left" w:pos="576"/>
      </w:tabs>
      <w:overflowPunct w:val="0"/>
      <w:autoSpaceDE w:val="0"/>
      <w:autoSpaceDN w:val="0"/>
      <w:adjustRightInd w:val="0"/>
      <w:spacing w:before="240" w:after="240" w:line="360" w:lineRule="auto"/>
      <w:ind w:left="576" w:hanging="576"/>
      <w:textAlignment w:val="baseline"/>
    </w:pPr>
    <w:rPr>
      <w:rFonts w:ascii="宋体" w:hAnsi="宋体" w:eastAsia="宋体" w:cs="宋体"/>
      <w:kern w:val="0"/>
      <w:sz w:val="28"/>
      <w:szCs w:val="28"/>
      <w:shd w:val="pct10" w:color="auto" w:fill="FFFFFF"/>
      <w:lang w:val="zh-CN" w:eastAsia="en-US"/>
    </w:rPr>
  </w:style>
  <w:style w:type="paragraph" w:customStyle="1" w:styleId="130">
    <w:name w:val="标题4"/>
    <w:basedOn w:val="5"/>
    <w:qFormat/>
    <w:uiPriority w:val="0"/>
    <w:pPr>
      <w:tabs>
        <w:tab w:val="left" w:pos="1845"/>
        <w:tab w:val="left" w:pos="3652"/>
      </w:tabs>
      <w:spacing w:line="372" w:lineRule="auto"/>
      <w:jc w:val="both"/>
    </w:pPr>
    <w:rPr>
      <w:rFonts w:ascii="Arial" w:hAnsi="Arial"/>
      <w:szCs w:val="24"/>
    </w:rPr>
  </w:style>
  <w:style w:type="paragraph" w:customStyle="1" w:styleId="131">
    <w:name w:val="表格栏头"/>
    <w:basedOn w:val="132"/>
    <w:next w:val="1"/>
    <w:qFormat/>
    <w:uiPriority w:val="0"/>
    <w:pPr>
      <w:widowControl/>
      <w:tabs>
        <w:tab w:val="left" w:pos="840"/>
      </w:tabs>
      <w:overflowPunct w:val="0"/>
      <w:autoSpaceDE w:val="0"/>
      <w:autoSpaceDN w:val="0"/>
      <w:adjustRightInd w:val="0"/>
      <w:spacing w:before="60" w:after="60" w:line="240" w:lineRule="auto"/>
      <w:ind w:left="0" w:firstLine="0"/>
      <w:jc w:val="left"/>
      <w:textAlignment w:val="baseline"/>
    </w:pPr>
    <w:rPr>
      <w:b/>
      <w:kern w:val="0"/>
      <w:szCs w:val="20"/>
    </w:rPr>
  </w:style>
  <w:style w:type="paragraph" w:customStyle="1" w:styleId="132">
    <w:name w:val="表格正文"/>
    <w:basedOn w:val="1"/>
    <w:link w:val="157"/>
    <w:qFormat/>
    <w:uiPriority w:val="0"/>
    <w:pPr>
      <w:tabs>
        <w:tab w:val="left" w:pos="840"/>
      </w:tabs>
      <w:spacing w:line="360" w:lineRule="auto"/>
      <w:ind w:left="840" w:hanging="420"/>
    </w:pPr>
    <w:rPr>
      <w:rFonts w:ascii="Times New Roman" w:hAnsi="Times New Roman" w:cs="Times New Roman"/>
      <w:szCs w:val="24"/>
      <w:lang w:val="zh-CN"/>
    </w:rPr>
  </w:style>
  <w:style w:type="paragraph" w:customStyle="1" w:styleId="133">
    <w:name w:val="表格标题"/>
    <w:basedOn w:val="1"/>
    <w:qFormat/>
    <w:uiPriority w:val="0"/>
    <w:pPr>
      <w:spacing w:beforeLines="50" w:after="200" w:afterLines="50" w:line="0" w:lineRule="atLeast"/>
      <w:jc w:val="center"/>
    </w:pPr>
    <w:rPr>
      <w:rFonts w:ascii="Times New Roman" w:hAnsi="Times New Roman" w:eastAsia="楷体_GB2312" w:cs="Times New Roman"/>
      <w:b/>
      <w:kern w:val="0"/>
      <w:szCs w:val="24"/>
    </w:rPr>
  </w:style>
  <w:style w:type="paragraph" w:customStyle="1" w:styleId="134">
    <w:name w:val="封页公司名称"/>
    <w:basedOn w:val="1"/>
    <w:qFormat/>
    <w:uiPriority w:val="0"/>
    <w:pPr>
      <w:jc w:val="center"/>
    </w:pPr>
    <w:rPr>
      <w:rFonts w:ascii="黑体" w:hAnsi="Times New Roman" w:eastAsia="黑体" w:cs="宋体"/>
      <w:b/>
      <w:bCs/>
      <w:szCs w:val="20"/>
    </w:rPr>
  </w:style>
  <w:style w:type="paragraph" w:customStyle="1" w:styleId="135">
    <w:name w:val="目录标题"/>
    <w:basedOn w:val="15"/>
    <w:qFormat/>
    <w:uiPriority w:val="0"/>
    <w:pPr>
      <w:jc w:val="center"/>
    </w:pPr>
    <w:rPr>
      <w:b/>
      <w:sz w:val="72"/>
      <w:szCs w:val="72"/>
    </w:rPr>
  </w:style>
  <w:style w:type="paragraph" w:customStyle="1" w:styleId="136">
    <w:name w:val="标题5"/>
    <w:basedOn w:val="1"/>
    <w:next w:val="8"/>
    <w:qFormat/>
    <w:uiPriority w:val="0"/>
    <w:pPr>
      <w:tabs>
        <w:tab w:val="left" w:pos="3652"/>
      </w:tabs>
      <w:spacing w:line="360" w:lineRule="auto"/>
      <w:outlineLvl w:val="4"/>
    </w:pPr>
    <w:rPr>
      <w:rFonts w:ascii="宋体" w:hAnsi="宋体" w:cs="Times New Roman"/>
      <w:szCs w:val="21"/>
    </w:rPr>
  </w:style>
  <w:style w:type="paragraph" w:customStyle="1" w:styleId="137">
    <w:name w:val="批注主题1"/>
    <w:basedOn w:val="17"/>
    <w:next w:val="17"/>
    <w:qFormat/>
    <w:uiPriority w:val="0"/>
    <w:pPr>
      <w:tabs>
        <w:tab w:val="left" w:pos="3652"/>
      </w:tabs>
      <w:spacing w:line="360" w:lineRule="auto"/>
      <w:jc w:val="both"/>
    </w:pPr>
    <w:rPr>
      <w:rFonts w:ascii="宋体" w:hAnsi="宋体" w:cs="Times New Roman"/>
      <w:b/>
      <w:bCs/>
      <w:sz w:val="20"/>
      <w:szCs w:val="20"/>
      <w:lang w:val="zh-CN"/>
    </w:rPr>
  </w:style>
  <w:style w:type="paragraph" w:customStyle="1" w:styleId="138">
    <w:name w:val="Table Text"/>
    <w:basedOn w:val="1"/>
    <w:qFormat/>
    <w:uiPriority w:val="0"/>
    <w:pPr>
      <w:tabs>
        <w:tab w:val="left" w:pos="3652"/>
      </w:tabs>
      <w:spacing w:line="360" w:lineRule="auto"/>
    </w:pPr>
    <w:rPr>
      <w:rFonts w:ascii="宋体" w:hAnsi="宋体" w:cs="Times New Roman"/>
      <w:szCs w:val="21"/>
    </w:rPr>
  </w:style>
  <w:style w:type="paragraph" w:customStyle="1" w:styleId="139">
    <w:name w:val="默认段落字体 Para Char1 Char"/>
    <w:basedOn w:val="1"/>
    <w:qFormat/>
    <w:uiPriority w:val="0"/>
    <w:pPr>
      <w:adjustRightInd w:val="0"/>
      <w:spacing w:line="360" w:lineRule="auto"/>
    </w:pPr>
    <w:rPr>
      <w:rFonts w:ascii="Times New Roman" w:hAnsi="Times New Roman" w:cs="Times New Roman"/>
      <w:kern w:val="0"/>
      <w:szCs w:val="24"/>
    </w:rPr>
  </w:style>
  <w:style w:type="paragraph" w:customStyle="1" w:styleId="140">
    <w:name w:val="Numbered list 2.2"/>
    <w:basedOn w:val="3"/>
    <w:next w:val="1"/>
    <w:qFormat/>
    <w:uiPriority w:val="0"/>
    <w:pPr>
      <w:widowControl/>
      <w:tabs>
        <w:tab w:val="left" w:pos="360"/>
        <w:tab w:val="left" w:pos="540"/>
        <w:tab w:val="left" w:pos="720"/>
        <w:tab w:val="left" w:pos="993"/>
      </w:tabs>
      <w:spacing w:before="240" w:after="60" w:line="360" w:lineRule="auto"/>
      <w:ind w:left="360" w:hanging="360"/>
      <w:jc w:val="left"/>
    </w:pPr>
    <w:rPr>
      <w:rFonts w:ascii="宋体" w:hAnsi="宋体" w:eastAsia="宋体" w:cs="Times New Roman"/>
      <w:bCs w:val="0"/>
      <w:kern w:val="0"/>
      <w:sz w:val="28"/>
      <w:szCs w:val="21"/>
      <w:shd w:val="pct10" w:color="auto" w:fill="FFFFFF"/>
      <w:lang w:val="zh-CN"/>
    </w:rPr>
  </w:style>
  <w:style w:type="paragraph" w:customStyle="1" w:styleId="141">
    <w:name w:val="1"/>
    <w:basedOn w:val="1"/>
    <w:next w:val="23"/>
    <w:qFormat/>
    <w:uiPriority w:val="0"/>
    <w:pPr>
      <w:tabs>
        <w:tab w:val="left" w:pos="3652"/>
      </w:tabs>
      <w:spacing w:line="360" w:lineRule="auto"/>
      <w:ind w:left="360" w:leftChars="150" w:firstLine="540" w:firstLineChars="225"/>
    </w:pPr>
    <w:rPr>
      <w:rFonts w:ascii="宋体" w:hAnsi="宋体" w:cs="Times New Roman"/>
      <w:szCs w:val="21"/>
    </w:rPr>
  </w:style>
  <w:style w:type="paragraph" w:customStyle="1" w:styleId="142">
    <w:name w:val="Cover Title2"/>
    <w:basedOn w:val="1"/>
    <w:qFormat/>
    <w:uiPriority w:val="0"/>
    <w:pPr>
      <w:tabs>
        <w:tab w:val="left" w:pos="3652"/>
      </w:tabs>
      <w:spacing w:line="360" w:lineRule="auto"/>
      <w:jc w:val="left"/>
    </w:pPr>
    <w:rPr>
      <w:rFonts w:ascii="宋体" w:hAnsi="宋体" w:cs="Times New Roman"/>
      <w:b/>
      <w:szCs w:val="21"/>
    </w:rPr>
  </w:style>
  <w:style w:type="paragraph" w:customStyle="1" w:styleId="143">
    <w:name w:val="Version"/>
    <w:basedOn w:val="1"/>
    <w:qFormat/>
    <w:uiPriority w:val="0"/>
    <w:pPr>
      <w:widowControl/>
      <w:tabs>
        <w:tab w:val="left" w:pos="3652"/>
      </w:tabs>
      <w:overflowPunct w:val="0"/>
      <w:autoSpaceDE w:val="0"/>
      <w:autoSpaceDN w:val="0"/>
      <w:adjustRightInd w:val="0"/>
      <w:spacing w:after="240" w:line="360" w:lineRule="auto"/>
      <w:jc w:val="center"/>
      <w:textAlignment w:val="baseline"/>
    </w:pPr>
    <w:rPr>
      <w:rFonts w:ascii="宋体" w:hAnsi="宋体" w:cs="Times New Roman"/>
      <w:b/>
      <w:kern w:val="0"/>
      <w:szCs w:val="21"/>
    </w:rPr>
  </w:style>
  <w:style w:type="paragraph" w:customStyle="1" w:styleId="144">
    <w:name w:val="Baosteel Narrative Test Body"/>
    <w:basedOn w:val="1"/>
    <w:qFormat/>
    <w:uiPriority w:val="0"/>
    <w:pPr>
      <w:adjustRightInd w:val="0"/>
      <w:snapToGrid w:val="0"/>
      <w:spacing w:after="120" w:line="360" w:lineRule="auto"/>
      <w:jc w:val="left"/>
      <w:outlineLvl w:val="4"/>
    </w:pPr>
    <w:rPr>
      <w:rFonts w:ascii="Times New Roman" w:hAnsi="Times New Roman" w:cs="Times New Roman"/>
      <w:szCs w:val="24"/>
    </w:rPr>
  </w:style>
  <w:style w:type="paragraph" w:customStyle="1" w:styleId="145">
    <w:name w:val="Style Heading 3H3h33rd level第一节 + 黑体 Line spacing:  single"/>
    <w:basedOn w:val="4"/>
    <w:qFormat/>
    <w:uiPriority w:val="0"/>
    <w:pPr>
      <w:tabs>
        <w:tab w:val="left" w:pos="709"/>
      </w:tabs>
      <w:adjustRightInd w:val="0"/>
      <w:spacing w:before="20" w:after="20" w:line="360" w:lineRule="auto"/>
      <w:ind w:left="940" w:leftChars="100" w:right="220" w:rightChars="100" w:hanging="720"/>
    </w:pPr>
    <w:rPr>
      <w:rFonts w:ascii="黑体" w:hAnsi="宋体" w:eastAsia="黑体" w:cs="宋体"/>
      <w:bCs w:val="0"/>
      <w:sz w:val="28"/>
      <w:szCs w:val="20"/>
      <w:lang w:val="zh-CN"/>
    </w:rPr>
  </w:style>
  <w:style w:type="paragraph" w:customStyle="1" w:styleId="146">
    <w:name w:val="Numbered list 2.1"/>
    <w:basedOn w:val="2"/>
    <w:next w:val="1"/>
    <w:qFormat/>
    <w:uiPriority w:val="0"/>
    <w:pPr>
      <w:widowControl/>
      <w:tabs>
        <w:tab w:val="left" w:pos="720"/>
        <w:tab w:val="left" w:pos="851"/>
      </w:tabs>
      <w:spacing w:before="240" w:after="60" w:line="360" w:lineRule="auto"/>
      <w:ind w:left="360" w:hanging="360"/>
      <w:jc w:val="left"/>
    </w:pPr>
    <w:rPr>
      <w:rFonts w:ascii="Arial" w:hAnsi="Arial" w:eastAsia="黑体" w:cs="Times New Roman"/>
      <w:bCs w:val="0"/>
      <w:kern w:val="28"/>
      <w:sz w:val="30"/>
      <w:szCs w:val="36"/>
      <w:lang w:val="zh-CN"/>
    </w:rPr>
  </w:style>
  <w:style w:type="paragraph" w:customStyle="1" w:styleId="147">
    <w:name w:val="Table Heading"/>
    <w:basedOn w:val="1"/>
    <w:qFormat/>
    <w:uiPriority w:val="0"/>
    <w:pPr>
      <w:keepNext/>
      <w:widowControl/>
      <w:tabs>
        <w:tab w:val="left" w:pos="3652"/>
      </w:tabs>
      <w:overflowPunct w:val="0"/>
      <w:autoSpaceDE w:val="0"/>
      <w:autoSpaceDN w:val="0"/>
      <w:adjustRightInd w:val="0"/>
      <w:spacing w:before="60" w:after="60" w:line="360" w:lineRule="auto"/>
      <w:jc w:val="center"/>
    </w:pPr>
    <w:rPr>
      <w:rFonts w:ascii="Arial" w:hAnsi="Arial" w:cs="Times New Roman"/>
      <w:b/>
      <w:kern w:val="0"/>
      <w:szCs w:val="21"/>
      <w:lang w:eastAsia="en-US"/>
    </w:rPr>
  </w:style>
  <w:style w:type="paragraph" w:customStyle="1" w:styleId="148">
    <w:name w:val="题目副题"/>
    <w:basedOn w:val="29"/>
    <w:qFormat/>
    <w:uiPriority w:val="0"/>
    <w:rPr>
      <w:rFonts w:eastAsia="幼圆"/>
      <w:sz w:val="36"/>
    </w:rPr>
  </w:style>
  <w:style w:type="paragraph" w:customStyle="1" w:styleId="149">
    <w:name w:val="Baosteel Narrative Bullet"/>
    <w:basedOn w:val="1"/>
    <w:qFormat/>
    <w:uiPriority w:val="0"/>
    <w:pPr>
      <w:widowControl/>
      <w:tabs>
        <w:tab w:val="left" w:pos="425"/>
      </w:tabs>
      <w:spacing w:line="360" w:lineRule="auto"/>
      <w:ind w:left="851" w:hanging="425"/>
    </w:pPr>
    <w:rPr>
      <w:rFonts w:ascii="Arial Unicode MS" w:hAnsi="Arial Unicode MS" w:cs="Times New Roman"/>
      <w:kern w:val="0"/>
      <w:szCs w:val="20"/>
    </w:rPr>
  </w:style>
  <w:style w:type="paragraph" w:customStyle="1" w:styleId="150">
    <w:name w:val="Cover-Title"/>
    <w:qFormat/>
    <w:uiPriority w:val="0"/>
    <w:pPr>
      <w:shd w:val="pct25" w:color="auto" w:fill="auto"/>
      <w:spacing w:after="960"/>
      <w:ind w:left="578" w:hanging="578"/>
      <w:jc w:val="center"/>
    </w:pPr>
    <w:rPr>
      <w:rFonts w:ascii="Arial" w:hAnsi="Arial" w:eastAsia="宋体" w:cs="Times New Roman"/>
      <w:b/>
      <w:sz w:val="32"/>
      <w:szCs w:val="28"/>
      <w:lang w:val="en-US" w:eastAsia="en-US" w:bidi="ar-SA"/>
    </w:rPr>
  </w:style>
  <w:style w:type="paragraph" w:customStyle="1" w:styleId="151">
    <w:name w:val="样式 标题 1 + 楷体_GB2312 小四 行距: 1.5 倍行距"/>
    <w:basedOn w:val="2"/>
    <w:qFormat/>
    <w:uiPriority w:val="0"/>
    <w:pPr>
      <w:tabs>
        <w:tab w:val="left" w:pos="425"/>
        <w:tab w:val="left" w:pos="851"/>
      </w:tabs>
      <w:spacing w:before="0" w:after="0" w:line="360" w:lineRule="auto"/>
      <w:ind w:right="238"/>
      <w:jc w:val="center"/>
    </w:pPr>
    <w:rPr>
      <w:rFonts w:ascii="宋体" w:hAnsi="宋体" w:cs="宋体"/>
      <w:kern w:val="2"/>
      <w:sz w:val="30"/>
      <w:szCs w:val="30"/>
      <w:lang w:val="zh-CN"/>
    </w:rPr>
  </w:style>
  <w:style w:type="paragraph" w:customStyle="1" w:styleId="152">
    <w:name w:val="段"/>
    <w:qFormat/>
    <w:uiPriority w:val="0"/>
    <w:pPr>
      <w:tabs>
        <w:tab w:val="left" w:pos="420"/>
      </w:tabs>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53">
    <w:name w:val="批注框文本1"/>
    <w:basedOn w:val="1"/>
    <w:qFormat/>
    <w:uiPriority w:val="0"/>
    <w:pPr>
      <w:tabs>
        <w:tab w:val="left" w:pos="3652"/>
      </w:tabs>
      <w:spacing w:line="360" w:lineRule="auto"/>
    </w:pPr>
    <w:rPr>
      <w:rFonts w:ascii="Tahoma" w:hAnsi="Tahoma" w:cs="Tahoma"/>
      <w:sz w:val="16"/>
      <w:szCs w:val="16"/>
    </w:rPr>
  </w:style>
  <w:style w:type="paragraph" w:customStyle="1" w:styleId="154">
    <w:name w:val="分类正文"/>
    <w:basedOn w:val="1"/>
    <w:qFormat/>
    <w:uiPriority w:val="0"/>
    <w:pPr>
      <w:tabs>
        <w:tab w:val="left" w:pos="3652"/>
      </w:tabs>
      <w:spacing w:line="360" w:lineRule="auto"/>
      <w:ind w:left="425" w:hanging="425"/>
    </w:pPr>
    <w:rPr>
      <w:rFonts w:ascii="Garamond" w:hAnsi="Garamond" w:cs="Times New Roman"/>
      <w:szCs w:val="21"/>
    </w:rPr>
  </w:style>
  <w:style w:type="paragraph" w:customStyle="1" w:styleId="155">
    <w:name w:val="日期2"/>
    <w:basedOn w:val="1"/>
    <w:qFormat/>
    <w:uiPriority w:val="0"/>
    <w:pPr>
      <w:widowControl/>
      <w:tabs>
        <w:tab w:val="left" w:pos="3652"/>
      </w:tabs>
      <w:overflowPunct w:val="0"/>
      <w:autoSpaceDE w:val="0"/>
      <w:autoSpaceDN w:val="0"/>
      <w:adjustRightInd w:val="0"/>
      <w:spacing w:before="5400" w:line="360" w:lineRule="auto"/>
      <w:jc w:val="center"/>
      <w:textAlignment w:val="baseline"/>
    </w:pPr>
    <w:rPr>
      <w:rFonts w:ascii="宋体" w:hAnsi="宋体" w:cs="Times New Roman"/>
      <w:b/>
      <w:kern w:val="0"/>
      <w:szCs w:val="21"/>
    </w:rPr>
  </w:style>
  <w:style w:type="paragraph" w:customStyle="1" w:styleId="156">
    <w:name w:val="Char1"/>
    <w:basedOn w:val="1"/>
    <w:qFormat/>
    <w:uiPriority w:val="0"/>
    <w:pPr>
      <w:adjustRightInd w:val="0"/>
      <w:spacing w:line="360" w:lineRule="auto"/>
    </w:pPr>
    <w:rPr>
      <w:rFonts w:ascii="Times New Roman" w:hAnsi="Times New Roman" w:cs="Times New Roman"/>
      <w:kern w:val="0"/>
      <w:szCs w:val="24"/>
    </w:rPr>
  </w:style>
  <w:style w:type="character" w:customStyle="1" w:styleId="157">
    <w:name w:val="表格正文 Char"/>
    <w:link w:val="132"/>
    <w:qFormat/>
    <w:uiPriority w:val="0"/>
    <w:rPr>
      <w:rFonts w:ascii="Times New Roman" w:hAnsi="Times New Roman" w:eastAsia="宋体" w:cs="Times New Roman"/>
      <w:sz w:val="24"/>
      <w:szCs w:val="24"/>
      <w:lang w:val="zh-CN" w:eastAsia="zh-CN"/>
    </w:rPr>
  </w:style>
  <w:style w:type="character" w:customStyle="1" w:styleId="158">
    <w:name w:val="a"/>
    <w:basedOn w:val="41"/>
    <w:qFormat/>
    <w:uiPriority w:val="0"/>
  </w:style>
  <w:style w:type="character" w:customStyle="1" w:styleId="159">
    <w:name w:val="ISMS-封面-内容"/>
    <w:qFormat/>
    <w:uiPriority w:val="0"/>
    <w:rPr>
      <w:rFonts w:ascii="宋体" w:hAnsi="宋体"/>
      <w:sz w:val="21"/>
    </w:rPr>
  </w:style>
  <w:style w:type="character" w:customStyle="1" w:styleId="160">
    <w:name w:val="Project Name"/>
    <w:qFormat/>
    <w:uiPriority w:val="0"/>
    <w:rPr>
      <w:rFonts w:eastAsia="宋体"/>
      <w:b/>
      <w:sz w:val="36"/>
    </w:rPr>
  </w:style>
  <w:style w:type="character" w:customStyle="1" w:styleId="161">
    <w:name w:val="Title Name"/>
    <w:qFormat/>
    <w:uiPriority w:val="0"/>
    <w:rPr>
      <w:rFonts w:eastAsia="宋体"/>
      <w:b/>
      <w:sz w:val="44"/>
      <w:szCs w:val="28"/>
    </w:rPr>
  </w:style>
  <w:style w:type="character" w:customStyle="1" w:styleId="162">
    <w:name w:val="题注 Char"/>
    <w:link w:val="15"/>
    <w:qFormat/>
    <w:uiPriority w:val="0"/>
    <w:rPr>
      <w:rFonts w:ascii="Arial" w:hAnsi="Arial" w:eastAsia="黑体" w:cs="Times New Roman"/>
      <w:szCs w:val="21"/>
      <w:lang w:val="zh-CN" w:eastAsia="zh-CN"/>
    </w:rPr>
  </w:style>
  <w:style w:type="paragraph" w:customStyle="1" w:styleId="163">
    <w:name w:val="TableCell"/>
    <w:basedOn w:val="1"/>
    <w:qFormat/>
    <w:uiPriority w:val="0"/>
    <w:pPr>
      <w:widowControl/>
      <w:spacing w:before="60" w:after="60"/>
      <w:jc w:val="left"/>
    </w:pPr>
    <w:rPr>
      <w:rFonts w:ascii="Garamond" w:hAnsi="Garamond" w:cs="Times New Roman"/>
      <w:kern w:val="0"/>
      <w:sz w:val="20"/>
      <w:szCs w:val="20"/>
    </w:rPr>
  </w:style>
  <w:style w:type="paragraph" w:customStyle="1" w:styleId="164">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65">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b/>
      <w:bCs/>
      <w:color w:val="000000"/>
      <w:kern w:val="0"/>
      <w:szCs w:val="21"/>
    </w:rPr>
  </w:style>
  <w:style w:type="paragraph" w:customStyle="1" w:styleId="166">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character" w:customStyle="1" w:styleId="167">
    <w:name w:val="apple-converted-space"/>
    <w:basedOn w:val="41"/>
    <w:qFormat/>
    <w:uiPriority w:val="0"/>
  </w:style>
  <w:style w:type="paragraph" w:customStyle="1" w:styleId="168">
    <w:name w:val="font6"/>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69">
    <w:name w:val="font7"/>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70">
    <w:name w:val="xl9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71">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72">
    <w:name w:val="xl9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73">
    <w:name w:val="xl9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74">
    <w:name w:val="xl9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75">
    <w:name w:val="xl95"/>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宋体" w:hAnsi="宋体" w:cs="宋体"/>
      <w:color w:val="000000"/>
      <w:kern w:val="0"/>
      <w:sz w:val="20"/>
      <w:szCs w:val="20"/>
    </w:rPr>
  </w:style>
  <w:style w:type="paragraph" w:customStyle="1" w:styleId="176">
    <w:name w:val="xl96"/>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color w:val="000000"/>
      <w:kern w:val="0"/>
      <w:sz w:val="20"/>
      <w:szCs w:val="20"/>
    </w:rPr>
  </w:style>
  <w:style w:type="paragraph" w:customStyle="1" w:styleId="177">
    <w:name w:val="xl97"/>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kern w:val="0"/>
      <w:sz w:val="20"/>
      <w:szCs w:val="20"/>
    </w:rPr>
  </w:style>
  <w:style w:type="paragraph" w:customStyle="1" w:styleId="178">
    <w:name w:val="xl98"/>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宋体" w:hAnsi="宋体" w:cs="宋体"/>
      <w:kern w:val="0"/>
      <w:sz w:val="20"/>
      <w:szCs w:val="20"/>
    </w:rPr>
  </w:style>
  <w:style w:type="paragraph" w:customStyle="1" w:styleId="179">
    <w:name w:val="xl9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80">
    <w:name w:val="xl10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81">
    <w:name w:val="xl10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82">
    <w:name w:val="xl10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83">
    <w:name w:val="修订2"/>
    <w:hidden/>
    <w:semiHidden/>
    <w:qFormat/>
    <w:uiPriority w:val="99"/>
    <w:rPr>
      <w:rFonts w:ascii="Calibri" w:hAnsi="Calibri" w:eastAsia="宋体" w:cs="Times New Roman"/>
      <w:kern w:val="2"/>
      <w:sz w:val="21"/>
      <w:szCs w:val="22"/>
      <w:lang w:val="en-US" w:eastAsia="zh-CN" w:bidi="ar-SA"/>
    </w:rPr>
  </w:style>
  <w:style w:type="paragraph" w:customStyle="1" w:styleId="184">
    <w:name w:val="msonormal"/>
    <w:basedOn w:val="1"/>
    <w:qFormat/>
    <w:uiPriority w:val="0"/>
    <w:pPr>
      <w:widowControl/>
      <w:spacing w:before="100" w:beforeAutospacing="1" w:after="100" w:afterAutospacing="1"/>
      <w:jc w:val="left"/>
    </w:pPr>
    <w:rPr>
      <w:rFonts w:ascii="宋体" w:hAnsi="宋体" w:cs="宋体"/>
      <w:kern w:val="0"/>
      <w:szCs w:val="24"/>
    </w:rPr>
  </w:style>
  <w:style w:type="paragraph" w:customStyle="1" w:styleId="185">
    <w:name w:val="xl10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宋体" w:hAnsi="宋体" w:cs="宋体"/>
      <w:color w:val="000000"/>
      <w:kern w:val="0"/>
      <w:sz w:val="20"/>
      <w:szCs w:val="20"/>
    </w:rPr>
  </w:style>
  <w:style w:type="paragraph" w:customStyle="1" w:styleId="186">
    <w:name w:val="xl104"/>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kern w:val="0"/>
      <w:sz w:val="20"/>
      <w:szCs w:val="20"/>
    </w:rPr>
  </w:style>
  <w:style w:type="paragraph" w:customStyle="1" w:styleId="187">
    <w:name w:val="xl105"/>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宋体" w:hAnsi="宋体" w:cs="宋体"/>
      <w:kern w:val="0"/>
      <w:sz w:val="20"/>
      <w:szCs w:val="20"/>
    </w:rPr>
  </w:style>
  <w:style w:type="paragraph" w:customStyle="1" w:styleId="188">
    <w:name w:val="xl10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89">
    <w:name w:val="xl107"/>
    <w:basedOn w:val="1"/>
    <w:qFormat/>
    <w:uiPriority w:val="0"/>
    <w:pPr>
      <w:widowControl/>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Cs w:val="24"/>
    </w:rPr>
  </w:style>
  <w:style w:type="paragraph" w:customStyle="1" w:styleId="190">
    <w:name w:val="xl108"/>
    <w:basedOn w:val="1"/>
    <w:qFormat/>
    <w:uiPriority w:val="0"/>
    <w:pPr>
      <w:widowControl/>
      <w:pBdr>
        <w:top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color w:val="000000"/>
      <w:kern w:val="0"/>
      <w:sz w:val="20"/>
      <w:szCs w:val="20"/>
    </w:rPr>
  </w:style>
  <w:style w:type="paragraph" w:customStyle="1" w:styleId="191">
    <w:name w:val="TOC 标题3"/>
    <w:basedOn w:val="2"/>
    <w:next w:val="1"/>
    <w:semiHidden/>
    <w:unhideWhenUsed/>
    <w:qFormat/>
    <w:uiPriority w:val="39"/>
    <w:pPr>
      <w:widowControl/>
      <w:spacing w:before="480" w:after="0" w:line="276" w:lineRule="auto"/>
      <w:jc w:val="left"/>
      <w:outlineLvl w:val="9"/>
    </w:pPr>
    <w:rPr>
      <w:rFonts w:ascii="Cambria" w:hAnsi="Cambria" w:cs="Times New Roman"/>
      <w:color w:val="365F91"/>
      <w:kern w:val="0"/>
      <w:sz w:val="28"/>
      <w:szCs w:val="28"/>
      <w:lang w:val="zh-CN"/>
    </w:rPr>
  </w:style>
  <w:style w:type="paragraph" w:customStyle="1" w:styleId="192">
    <w:name w:val="xl23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b/>
      <w:bCs/>
      <w:kern w:val="0"/>
      <w:szCs w:val="21"/>
    </w:rPr>
  </w:style>
  <w:style w:type="paragraph" w:customStyle="1" w:styleId="193">
    <w:name w:val="xl23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94">
    <w:name w:val="xl23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paragraph" w:customStyle="1" w:styleId="195">
    <w:name w:val="正文1"/>
    <w:qFormat/>
    <w:uiPriority w:val="0"/>
    <w:pPr>
      <w:jc w:val="both"/>
    </w:pPr>
    <w:rPr>
      <w:rFonts w:ascii="Calibri" w:hAnsi="Calibri" w:eastAsia="宋体" w:cs="Calibri"/>
      <w:kern w:val="2"/>
      <w:sz w:val="21"/>
      <w:szCs w:val="21"/>
      <w:lang w:val="en-US" w:eastAsia="zh-CN" w:bidi="ar-SA"/>
    </w:rPr>
  </w:style>
  <w:style w:type="character" w:customStyle="1" w:styleId="196">
    <w:name w:val="msoins"/>
    <w:basedOn w:val="41"/>
    <w:qFormat/>
    <w:uiPriority w:val="0"/>
  </w:style>
  <w:style w:type="paragraph" w:customStyle="1" w:styleId="197">
    <w:name w:val="中等深浅网格 21"/>
    <w:qFormat/>
    <w:uiPriority w:val="99"/>
    <w:pPr>
      <w:widowControl w:val="0"/>
      <w:jc w:val="both"/>
    </w:pPr>
    <w:rPr>
      <w:rFonts w:ascii="Calibri" w:hAnsi="Calibri" w:eastAsia="宋体" w:cs="Calibri"/>
      <w:kern w:val="2"/>
      <w:sz w:val="21"/>
      <w:szCs w:val="21"/>
      <w:lang w:val="en-US" w:eastAsia="zh-CN" w:bidi="ar-SA"/>
    </w:rPr>
  </w:style>
  <w:style w:type="character" w:customStyle="1" w:styleId="198">
    <w:name w:val="mail_session_title_main"/>
    <w:basedOn w:val="41"/>
    <w:qFormat/>
    <w:uiPriority w:val="0"/>
  </w:style>
  <w:style w:type="character" w:customStyle="1" w:styleId="199">
    <w:name w:val="mail_session_title_tail"/>
    <w:basedOn w:val="41"/>
    <w:qFormat/>
    <w:uiPriority w:val="0"/>
  </w:style>
  <w:style w:type="paragraph" w:customStyle="1" w:styleId="200">
    <w:name w:val="修订3"/>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201">
    <w:name w:val="标题（2号小标宋体）"/>
    <w:basedOn w:val="52"/>
    <w:qFormat/>
    <w:uiPriority w:val="0"/>
    <w:pPr>
      <w:widowControl/>
      <w:adjustRightInd w:val="0"/>
      <w:snapToGrid w:val="0"/>
      <w:spacing w:line="560" w:lineRule="exact"/>
      <w:ind w:firstLine="883" w:firstLineChars="0"/>
      <w:jc w:val="center"/>
    </w:pPr>
    <w:rPr>
      <w:rFonts w:ascii="方正小标宋简体" w:hAnsi="Calibri" w:eastAsia="方正小标宋简体"/>
      <w:b/>
      <w:iCs/>
      <w:sz w:val="44"/>
      <w:szCs w:val="44"/>
    </w:rPr>
  </w:style>
  <w:style w:type="paragraph" w:customStyle="1" w:styleId="202">
    <w:name w:val="一级标题"/>
    <w:basedOn w:val="37"/>
    <w:qFormat/>
    <w:uiPriority w:val="0"/>
    <w:pPr>
      <w:ind w:firstLine="200" w:firstLineChars="200"/>
      <w:jc w:val="left"/>
    </w:pPr>
    <w:rPr>
      <w:rFonts w:ascii="黑体" w:hAnsi="黑体" w:eastAsia="黑体" w:cs="Times New Roman"/>
      <w:b w:val="0"/>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1.emf"/><Relationship Id="rId95" Type="http://schemas.openxmlformats.org/officeDocument/2006/relationships/oleObject" Target="embeddings/oleObject6.bin"/><Relationship Id="rId94" Type="http://schemas.openxmlformats.org/officeDocument/2006/relationships/image" Target="media/image50.wmf"/><Relationship Id="rId93" Type="http://schemas.openxmlformats.org/officeDocument/2006/relationships/control" Target="activeX/activeX34.xml"/><Relationship Id="rId92" Type="http://schemas.openxmlformats.org/officeDocument/2006/relationships/image" Target="media/image49.wmf"/><Relationship Id="rId91" Type="http://schemas.openxmlformats.org/officeDocument/2006/relationships/control" Target="activeX/activeX33.xml"/><Relationship Id="rId90" Type="http://schemas.openxmlformats.org/officeDocument/2006/relationships/image" Target="media/image48.wmf"/><Relationship Id="rId9" Type="http://schemas.openxmlformats.org/officeDocument/2006/relationships/image" Target="media/image2.emf"/><Relationship Id="rId89" Type="http://schemas.openxmlformats.org/officeDocument/2006/relationships/control" Target="activeX/activeX32.xml"/><Relationship Id="rId88" Type="http://schemas.openxmlformats.org/officeDocument/2006/relationships/image" Target="media/image47.wmf"/><Relationship Id="rId87" Type="http://schemas.openxmlformats.org/officeDocument/2006/relationships/control" Target="activeX/activeX31.xml"/><Relationship Id="rId86" Type="http://schemas.openxmlformats.org/officeDocument/2006/relationships/image" Target="media/image46.wmf"/><Relationship Id="rId85" Type="http://schemas.openxmlformats.org/officeDocument/2006/relationships/control" Target="activeX/activeX30.xml"/><Relationship Id="rId84" Type="http://schemas.openxmlformats.org/officeDocument/2006/relationships/image" Target="media/image45.wmf"/><Relationship Id="rId83" Type="http://schemas.openxmlformats.org/officeDocument/2006/relationships/control" Target="activeX/activeX29.xml"/><Relationship Id="rId82" Type="http://schemas.openxmlformats.org/officeDocument/2006/relationships/image" Target="media/image44.wmf"/><Relationship Id="rId81" Type="http://schemas.openxmlformats.org/officeDocument/2006/relationships/control" Target="activeX/activeX28.xml"/><Relationship Id="rId80" Type="http://schemas.openxmlformats.org/officeDocument/2006/relationships/image" Target="media/image43.wmf"/><Relationship Id="rId8" Type="http://schemas.openxmlformats.org/officeDocument/2006/relationships/oleObject" Target="embeddings/oleObject2.bin"/><Relationship Id="rId79" Type="http://schemas.openxmlformats.org/officeDocument/2006/relationships/control" Target="activeX/activeX27.xml"/><Relationship Id="rId78" Type="http://schemas.openxmlformats.org/officeDocument/2006/relationships/image" Target="media/image42.wmf"/><Relationship Id="rId77" Type="http://schemas.openxmlformats.org/officeDocument/2006/relationships/control" Target="activeX/activeX26.xml"/><Relationship Id="rId76" Type="http://schemas.openxmlformats.org/officeDocument/2006/relationships/image" Target="media/image41.wmf"/><Relationship Id="rId75" Type="http://schemas.openxmlformats.org/officeDocument/2006/relationships/control" Target="activeX/activeX25.xml"/><Relationship Id="rId74" Type="http://schemas.openxmlformats.org/officeDocument/2006/relationships/image" Target="media/image40.wmf"/><Relationship Id="rId73" Type="http://schemas.openxmlformats.org/officeDocument/2006/relationships/control" Target="activeX/activeX24.xml"/><Relationship Id="rId72" Type="http://schemas.openxmlformats.org/officeDocument/2006/relationships/image" Target="media/image39.wmf"/><Relationship Id="rId71" Type="http://schemas.openxmlformats.org/officeDocument/2006/relationships/control" Target="activeX/activeX23.xml"/><Relationship Id="rId70" Type="http://schemas.openxmlformats.org/officeDocument/2006/relationships/image" Target="media/image38.wmf"/><Relationship Id="rId7" Type="http://schemas.openxmlformats.org/officeDocument/2006/relationships/image" Target="media/image1.emf"/><Relationship Id="rId69" Type="http://schemas.openxmlformats.org/officeDocument/2006/relationships/control" Target="activeX/activeX22.xml"/><Relationship Id="rId68" Type="http://schemas.openxmlformats.org/officeDocument/2006/relationships/image" Target="media/image37.wmf"/><Relationship Id="rId67" Type="http://schemas.openxmlformats.org/officeDocument/2006/relationships/control" Target="activeX/activeX21.xml"/><Relationship Id="rId66" Type="http://schemas.openxmlformats.org/officeDocument/2006/relationships/image" Target="media/image36.wmf"/><Relationship Id="rId65" Type="http://schemas.openxmlformats.org/officeDocument/2006/relationships/control" Target="activeX/activeX20.xml"/><Relationship Id="rId64" Type="http://schemas.openxmlformats.org/officeDocument/2006/relationships/image" Target="media/image35.wmf"/><Relationship Id="rId63" Type="http://schemas.openxmlformats.org/officeDocument/2006/relationships/control" Target="activeX/activeX19.xml"/><Relationship Id="rId62" Type="http://schemas.openxmlformats.org/officeDocument/2006/relationships/image" Target="media/image34.wmf"/><Relationship Id="rId61" Type="http://schemas.openxmlformats.org/officeDocument/2006/relationships/control" Target="activeX/activeX18.xml"/><Relationship Id="rId60" Type="http://schemas.openxmlformats.org/officeDocument/2006/relationships/image" Target="media/image33.wmf"/><Relationship Id="rId6" Type="http://schemas.openxmlformats.org/officeDocument/2006/relationships/oleObject" Target="embeddings/oleObject1.bin"/><Relationship Id="rId59" Type="http://schemas.openxmlformats.org/officeDocument/2006/relationships/control" Target="activeX/activeX17.xml"/><Relationship Id="rId58" Type="http://schemas.openxmlformats.org/officeDocument/2006/relationships/image" Target="media/image32.wmf"/><Relationship Id="rId57" Type="http://schemas.openxmlformats.org/officeDocument/2006/relationships/control" Target="activeX/activeX16.xml"/><Relationship Id="rId56" Type="http://schemas.openxmlformats.org/officeDocument/2006/relationships/image" Target="media/image31.wmf"/><Relationship Id="rId55" Type="http://schemas.openxmlformats.org/officeDocument/2006/relationships/control" Target="activeX/activeX15.xml"/><Relationship Id="rId54" Type="http://schemas.openxmlformats.org/officeDocument/2006/relationships/image" Target="media/image30.wmf"/><Relationship Id="rId53" Type="http://schemas.openxmlformats.org/officeDocument/2006/relationships/control" Target="activeX/activeX14.xml"/><Relationship Id="rId52" Type="http://schemas.openxmlformats.org/officeDocument/2006/relationships/image" Target="media/image29.wmf"/><Relationship Id="rId51" Type="http://schemas.openxmlformats.org/officeDocument/2006/relationships/control" Target="activeX/activeX13.xml"/><Relationship Id="rId50" Type="http://schemas.openxmlformats.org/officeDocument/2006/relationships/image" Target="media/image28.wmf"/><Relationship Id="rId5" Type="http://schemas.openxmlformats.org/officeDocument/2006/relationships/theme" Target="theme/theme1.xml"/><Relationship Id="rId49" Type="http://schemas.openxmlformats.org/officeDocument/2006/relationships/control" Target="activeX/activeX12.xml"/><Relationship Id="rId48" Type="http://schemas.openxmlformats.org/officeDocument/2006/relationships/image" Target="media/image27.wmf"/><Relationship Id="rId47" Type="http://schemas.openxmlformats.org/officeDocument/2006/relationships/control" Target="activeX/activeX11.xml"/><Relationship Id="rId46" Type="http://schemas.openxmlformats.org/officeDocument/2006/relationships/image" Target="media/image26.wmf"/><Relationship Id="rId45" Type="http://schemas.openxmlformats.org/officeDocument/2006/relationships/control" Target="activeX/activeX10.xml"/><Relationship Id="rId44" Type="http://schemas.openxmlformats.org/officeDocument/2006/relationships/image" Target="media/image25.wmf"/><Relationship Id="rId43" Type="http://schemas.openxmlformats.org/officeDocument/2006/relationships/control" Target="activeX/activeX9.xml"/><Relationship Id="rId42" Type="http://schemas.openxmlformats.org/officeDocument/2006/relationships/image" Target="media/image24.wmf"/><Relationship Id="rId41" Type="http://schemas.openxmlformats.org/officeDocument/2006/relationships/control" Target="activeX/activeX8.xml"/><Relationship Id="rId40" Type="http://schemas.openxmlformats.org/officeDocument/2006/relationships/image" Target="media/image23.wmf"/><Relationship Id="rId4" Type="http://schemas.openxmlformats.org/officeDocument/2006/relationships/endnotes" Target="endnotes.xml"/><Relationship Id="rId39" Type="http://schemas.openxmlformats.org/officeDocument/2006/relationships/control" Target="activeX/activeX7.xml"/><Relationship Id="rId38" Type="http://schemas.openxmlformats.org/officeDocument/2006/relationships/image" Target="media/image22.wmf"/><Relationship Id="rId37" Type="http://schemas.openxmlformats.org/officeDocument/2006/relationships/control" Target="activeX/activeX6.xml"/><Relationship Id="rId36" Type="http://schemas.openxmlformats.org/officeDocument/2006/relationships/image" Target="media/image21.wmf"/><Relationship Id="rId35" Type="http://schemas.openxmlformats.org/officeDocument/2006/relationships/control" Target="activeX/activeX5.xml"/><Relationship Id="rId34" Type="http://schemas.openxmlformats.org/officeDocument/2006/relationships/image" Target="media/image20.wmf"/><Relationship Id="rId33" Type="http://schemas.openxmlformats.org/officeDocument/2006/relationships/control" Target="activeX/activeX4.xml"/><Relationship Id="rId32" Type="http://schemas.openxmlformats.org/officeDocument/2006/relationships/image" Target="media/image19.wmf"/><Relationship Id="rId31" Type="http://schemas.openxmlformats.org/officeDocument/2006/relationships/control" Target="activeX/activeX3.xml"/><Relationship Id="rId30" Type="http://schemas.openxmlformats.org/officeDocument/2006/relationships/image" Target="media/image18.wmf"/><Relationship Id="rId3" Type="http://schemas.openxmlformats.org/officeDocument/2006/relationships/footnotes" Target="footnotes.xml"/><Relationship Id="rId29" Type="http://schemas.openxmlformats.org/officeDocument/2006/relationships/control" Target="activeX/activeX2.xml"/><Relationship Id="rId28" Type="http://schemas.openxmlformats.org/officeDocument/2006/relationships/image" Target="media/image17.wmf"/><Relationship Id="rId27" Type="http://schemas.openxmlformats.org/officeDocument/2006/relationships/control" Target="activeX/activeX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0" Type="http://schemas.openxmlformats.org/officeDocument/2006/relationships/fontTable" Target="fontTable.xml"/><Relationship Id="rId10" Type="http://schemas.openxmlformats.org/officeDocument/2006/relationships/oleObject" Target="embeddings/oleObject3.bin"/><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32.bin"/></Relationships>
</file>

<file path=word/activeX/_rels/activeX10.xml.rels><?xml version="1.0" encoding="UTF-8" standalone="yes"?>
<Relationships xmlns="http://schemas.openxmlformats.org/package/2006/relationships"><Relationship Id="rId1" Type="http://schemas.microsoft.com/office/2006/relationships/activeXControlBinary" Target="activeX23.bin"/></Relationships>
</file>

<file path=word/activeX/_rels/activeX11.xml.rels><?xml version="1.0" encoding="UTF-8" standalone="yes"?>
<Relationships xmlns="http://schemas.openxmlformats.org/package/2006/relationships"><Relationship Id="rId1" Type="http://schemas.microsoft.com/office/2006/relationships/activeXControlBinary" Target="activeX22.bin"/></Relationships>
</file>

<file path=word/activeX/_rels/activeX12.xml.rels><?xml version="1.0" encoding="UTF-8" standalone="yes"?>
<Relationships xmlns="http://schemas.openxmlformats.org/package/2006/relationships"><Relationship Id="rId1" Type="http://schemas.microsoft.com/office/2006/relationships/activeXControlBinary" Target="activeX21.bin"/></Relationships>
</file>

<file path=word/activeX/_rels/activeX13.xml.rels><?xml version="1.0" encoding="UTF-8" standalone="yes"?>
<Relationships xmlns="http://schemas.openxmlformats.org/package/2006/relationships"><Relationship Id="rId1" Type="http://schemas.microsoft.com/office/2006/relationships/activeXControlBinary" Target="activeX20.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31.bin"/></Relationships>
</file>

<file path=word/activeX/_rels/activeX20.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1.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2.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3.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4.xml.rels><?xml version="1.0" encoding="UTF-8" standalone="yes"?>
<Relationships xmlns="http://schemas.openxmlformats.org/package/2006/relationships"><Relationship Id="rId1" Type="http://schemas.microsoft.com/office/2006/relationships/activeXControlBinary" Target="activeX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8.bin"/></Relationships>
</file>

<file path=word/activeX/_rels/activeX26.xml.rels><?xml version="1.0" encoding="UTF-8" standalone="yes"?>
<Relationships xmlns="http://schemas.openxmlformats.org/package/2006/relationships"><Relationship Id="rId1" Type="http://schemas.microsoft.com/office/2006/relationships/activeXControlBinary" Target="activeX7.bin"/></Relationships>
</file>

<file path=word/activeX/_rels/activeX27.xml.rels><?xml version="1.0" encoding="UTF-8" standalone="yes"?>
<Relationships xmlns="http://schemas.openxmlformats.org/package/2006/relationships"><Relationship Id="rId1" Type="http://schemas.microsoft.com/office/2006/relationships/activeXControlBinary" Target="activeX6.bin"/></Relationships>
</file>

<file path=word/activeX/_rels/activeX28.xml.rels><?xml version="1.0" encoding="UTF-8" standalone="yes"?>
<Relationships xmlns="http://schemas.openxmlformats.org/package/2006/relationships"><Relationship Id="rId1" Type="http://schemas.microsoft.com/office/2006/relationships/activeXControlBinary" Target="activeX4.bin"/></Relationships>
</file>

<file path=word/activeX/_rels/activeX29.xml.rels><?xml version="1.0" encoding="UTF-8" standalone="yes"?>
<Relationships xmlns="http://schemas.openxmlformats.org/package/2006/relationships"><Relationship Id="rId1" Type="http://schemas.microsoft.com/office/2006/relationships/activeXControlBinary" Target="activeX5.bin"/></Relationships>
</file>

<file path=word/activeX/_rels/activeX3.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bin"/></Relationships>
</file>

<file path=word/activeX/_rels/activeX31.xml.rels><?xml version="1.0" encoding="UTF-8" standalone="yes"?>
<Relationships xmlns="http://schemas.openxmlformats.org/package/2006/relationships"><Relationship Id="rId1" Type="http://schemas.microsoft.com/office/2006/relationships/activeXControlBinary" Target="activeX2.bin"/></Relationships>
</file>

<file path=word/activeX/_rels/activeX32.xml.rels><?xml version="1.0" encoding="UTF-8" standalone="yes"?>
<Relationships xmlns="http://schemas.openxmlformats.org/package/2006/relationships"><Relationship Id="rId1" Type="http://schemas.microsoft.com/office/2006/relationships/activeXControlBinary" Target="activeX1.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4.xml.rels><?xml version="1.0" encoding="UTF-8" standalone="yes"?>
<Relationships xmlns="http://schemas.openxmlformats.org/package/2006/relationships"><Relationship Id="rId1" Type="http://schemas.microsoft.com/office/2006/relationships/activeXControlBinary" Target="activeX29.bin"/></Relationships>
</file>

<file path=word/activeX/_rels/activeX5.xml.rels><?xml version="1.0" encoding="UTF-8" standalone="yes"?>
<Relationships xmlns="http://schemas.openxmlformats.org/package/2006/relationships"><Relationship Id="rId1" Type="http://schemas.microsoft.com/office/2006/relationships/activeXControlBinary" Target="activeX28.bin"/></Relationships>
</file>

<file path=word/activeX/_rels/activeX6.xml.rels><?xml version="1.0" encoding="UTF-8" standalone="yes"?>
<Relationships xmlns="http://schemas.openxmlformats.org/package/2006/relationships"><Relationship Id="rId1" Type="http://schemas.microsoft.com/office/2006/relationships/activeXControlBinary" Target="activeX27.bin"/></Relationships>
</file>

<file path=word/activeX/_rels/activeX7.xml.rels><?xml version="1.0" encoding="UTF-8" standalone="yes"?>
<Relationships xmlns="http://schemas.openxmlformats.org/package/2006/relationships"><Relationship Id="rId1" Type="http://schemas.microsoft.com/office/2006/relationships/activeXControlBinary" Target="activeX26.bin"/></Relationships>
</file>

<file path=word/activeX/_rels/activeX8.xml.rels><?xml version="1.0" encoding="UTF-8" standalone="yes"?>
<Relationships xmlns="http://schemas.openxmlformats.org/package/2006/relationships"><Relationship Id="rId1" Type="http://schemas.microsoft.com/office/2006/relationships/activeXControlBinary" Target="activeX25.bin"/></Relationships>
</file>

<file path=word/activeX/_rels/activeX9.xml.rels><?xml version="1.0" encoding="UTF-8" standalone="yes"?>
<Relationships xmlns="http://schemas.openxmlformats.org/package/2006/relationships"><Relationship Id="rId1" Type="http://schemas.microsoft.com/office/2006/relationships/activeXControlBinary" Target="activeX24.bin"/></Relationships>
</file>

<file path=word/activeX/activeX1.xml><?xml version="1.0" encoding="utf-8"?>
<ax:ocx xmlns:ax="http://schemas.microsoft.com/office/2006/activeX" xmlns:r="http://schemas.openxmlformats.org/officeDocument/2006/relationships" ax:classid="{8BD21D50-EC42-11CE-9E0D-00AA006002F3}" r:id="rId1" ax:persistence="persistStorage"/>
</file>

<file path=word/activeX/activeX10.xml><?xml version="1.0" encoding="utf-8"?>
<ax:ocx xmlns:ax="http://schemas.microsoft.com/office/2006/activeX" xmlns:r="http://schemas.openxmlformats.org/officeDocument/2006/relationships" ax:classid="{8BD21D40-EC42-11CE-9E0D-00AA006002F3}" r:id="rId1" ax:persistence="persistStorage"/>
</file>

<file path=word/activeX/activeX11.xml><?xml version="1.0" encoding="utf-8"?>
<ax:ocx xmlns:ax="http://schemas.microsoft.com/office/2006/activeX" xmlns:r="http://schemas.openxmlformats.org/officeDocument/2006/relationships" ax:classid="{8BD21D40-EC42-11CE-9E0D-00AA006002F3}" r:id="rId1" ax:persistence="persistStorage"/>
</file>

<file path=word/activeX/activeX12.xml><?xml version="1.0" encoding="utf-8"?>
<ax:ocx xmlns:ax="http://schemas.microsoft.com/office/2006/activeX" xmlns:r="http://schemas.openxmlformats.org/officeDocument/2006/relationships" ax:classid="{8BD21D40-EC42-11CE-9E0D-00AA006002F3}" r:id="rId1" ax:persistence="persistStorage"/>
</file>

<file path=word/activeX/activeX13.xml><?xml version="1.0" encoding="utf-8"?>
<ax:ocx xmlns:ax="http://schemas.microsoft.com/office/2006/activeX" xmlns:r="http://schemas.openxmlformats.org/officeDocument/2006/relationships" ax:classid="{8BD21D40-EC42-11CE-9E0D-00AA006002F3}" r:id="rId1" ax:persistence="persistStorage"/>
</file>

<file path=word/activeX/activeX14.xml><?xml version="1.0" encoding="utf-8"?>
<ax:ocx xmlns:ax="http://schemas.microsoft.com/office/2006/activeX" xmlns:r="http://schemas.openxmlformats.org/officeDocument/2006/relationships" ax:classid="{8BD21D40-EC42-11CE-9E0D-00AA006002F3}" r:id="rId1" ax:persistence="persistStorage"/>
</file>

<file path=word/activeX/activeX15.xml><?xml version="1.0" encoding="utf-8"?>
<ax:ocx xmlns:ax="http://schemas.microsoft.com/office/2006/activeX" xmlns:r="http://schemas.openxmlformats.org/officeDocument/2006/relationships" ax:classid="{8BD21D40-EC42-11CE-9E0D-00AA006002F3}" r:id="rId1" ax:persistence="persistStorage"/>
</file>

<file path=word/activeX/activeX16.xml><?xml version="1.0" encoding="utf-8"?>
<ax:ocx xmlns:ax="http://schemas.microsoft.com/office/2006/activeX" xmlns:r="http://schemas.openxmlformats.org/officeDocument/2006/relationships" ax:classid="{8BD21D40-EC42-11CE-9E0D-00AA006002F3}" r:id="rId1" ax:persistence="persistStorage"/>
</file>

<file path=word/activeX/activeX17.xml><?xml version="1.0" encoding="utf-8"?>
<ax:ocx xmlns:ax="http://schemas.microsoft.com/office/2006/activeX" xmlns:r="http://schemas.openxmlformats.org/officeDocument/2006/relationships" ax:classid="{8BD21D40-EC42-11CE-9E0D-00AA006002F3}" r:id="rId1" ax:persistence="persistStorage"/>
</file>

<file path=word/activeX/activeX18.xml><?xml version="1.0" encoding="utf-8"?>
<ax:ocx xmlns:ax="http://schemas.microsoft.com/office/2006/activeX" xmlns:r="http://schemas.openxmlformats.org/officeDocument/2006/relationships" ax:classid="{8BD21D40-EC42-11CE-9E0D-00AA006002F3}" r:id="rId1" ax:persistence="persistStorage"/>
</file>

<file path=word/activeX/activeX19.xml><?xml version="1.0" encoding="utf-8"?>
<ax:ocx xmlns:ax="http://schemas.microsoft.com/office/2006/activeX" xmlns:r="http://schemas.openxmlformats.org/officeDocument/2006/relationships" ax:classid="{8BD21D40-EC42-11CE-9E0D-00AA006002F3}" r:id="rId1" ax:persistence="persistStorage"/>
</file>

<file path=word/activeX/activeX2.xml><?xml version="1.0" encoding="utf-8"?>
<ax:ocx xmlns:ax="http://schemas.microsoft.com/office/2006/activeX" xmlns:r="http://schemas.openxmlformats.org/officeDocument/2006/relationships" ax:classid="{8BD21D50-EC42-11CE-9E0D-00AA006002F3}" r:id="rId1" ax:persistence="persistStorage"/>
</file>

<file path=word/activeX/activeX20.xml><?xml version="1.0" encoding="utf-8"?>
<ax:ocx xmlns:ax="http://schemas.microsoft.com/office/2006/activeX" xmlns:r="http://schemas.openxmlformats.org/officeDocument/2006/relationships" ax:classid="{8BD21D40-EC42-11CE-9E0D-00AA006002F3}" r:id="rId1" ax:persistence="persistStorage"/>
</file>

<file path=word/activeX/activeX21.xml><?xml version="1.0" encoding="utf-8"?>
<ax:ocx xmlns:ax="http://schemas.microsoft.com/office/2006/activeX" xmlns:r="http://schemas.openxmlformats.org/officeDocument/2006/relationships" ax:classid="{8BD21D40-EC42-11CE-9E0D-00AA006002F3}" r:id="rId1" ax:persistence="persistStorage"/>
</file>

<file path=word/activeX/activeX22.xml><?xml version="1.0" encoding="utf-8"?>
<ax:ocx xmlns:ax="http://schemas.microsoft.com/office/2006/activeX" xmlns:r="http://schemas.openxmlformats.org/officeDocument/2006/relationships" ax:classid="{8BD21D40-EC42-11CE-9E0D-00AA006002F3}" r:id="rId1" ax:persistence="persistStorage"/>
</file>

<file path=word/activeX/activeX23.xml><?xml version="1.0" encoding="utf-8"?>
<ax:ocx xmlns:ax="http://schemas.microsoft.com/office/2006/activeX" xmlns:r="http://schemas.openxmlformats.org/officeDocument/2006/relationships" ax:classid="{8BD21D40-EC42-11CE-9E0D-00AA006002F3}" r:id="rId1" ax:persistence="persistStorage"/>
</file>

<file path=word/activeX/activeX24.xml><?xml version="1.0" encoding="utf-8"?>
<ax:ocx xmlns:ax="http://schemas.microsoft.com/office/2006/activeX" xmlns:r="http://schemas.openxmlformats.org/officeDocument/2006/relationships" ax:classid="{8BD21D40-EC42-11CE-9E0D-00AA006002F3}" r:id="rId1" ax:persistence="persistStorage"/>
</file>

<file path=word/activeX/activeX25.xml><?xml version="1.0" encoding="utf-8"?>
<ax:ocx xmlns:ax="http://schemas.microsoft.com/office/2006/activeX" xmlns:r="http://schemas.openxmlformats.org/officeDocument/2006/relationships" ax:classid="{8BD21D40-EC42-11CE-9E0D-00AA006002F3}" r:id="rId1" ax:persistence="persistStorage"/>
</file>

<file path=word/activeX/activeX26.xml><?xml version="1.0" encoding="utf-8"?>
<ax:ocx xmlns:ax="http://schemas.microsoft.com/office/2006/activeX" xmlns:r="http://schemas.openxmlformats.org/officeDocument/2006/relationships" ax:classid="{8BD21D40-EC42-11CE-9E0D-00AA006002F3}" r:id="rId1" ax:persistence="persistStorage"/>
</file>

<file path=word/activeX/activeX27.xml><?xml version="1.0" encoding="utf-8"?>
<ax:ocx xmlns:ax="http://schemas.microsoft.com/office/2006/activeX" xmlns:r="http://schemas.openxmlformats.org/officeDocument/2006/relationships" ax:classid="{8BD21D40-EC42-11CE-9E0D-00AA006002F3}" r:id="rId1" ax:persistence="persistStorage"/>
</file>

<file path=word/activeX/activeX28.xml><?xml version="1.0" encoding="utf-8"?>
<ax:ocx xmlns:ax="http://schemas.microsoft.com/office/2006/activeX" xmlns:r="http://schemas.openxmlformats.org/officeDocument/2006/relationships" ax:classid="{8BD21D40-EC42-11CE-9E0D-00AA006002F3}" r:id="rId1" ax:persistence="persistStorage"/>
</file>

<file path=word/activeX/activeX29.xml><?xml version="1.0" encoding="utf-8"?>
<ax:ocx xmlns:ax="http://schemas.microsoft.com/office/2006/activeX" xmlns:r="http://schemas.openxmlformats.org/officeDocument/2006/relationships" ax:classid="{8BD21D40-EC42-11CE-9E0D-00AA006002F3}" r:id="rId1" ax:persistence="persistStorage"/>
</file>

<file path=word/activeX/activeX3.xml><?xml version="1.0" encoding="utf-8"?>
<ax:ocx xmlns:ax="http://schemas.microsoft.com/office/2006/activeX" xmlns:r="http://schemas.openxmlformats.org/officeDocument/2006/relationships" ax:classid="{8BD21D50-EC42-11CE-9E0D-00AA006002F3}" r:id="rId1" ax:persistence="persistStorage"/>
</file>

<file path=word/activeX/activeX30.xml><?xml version="1.0" encoding="utf-8"?>
<ax:ocx xmlns:ax="http://schemas.microsoft.com/office/2006/activeX" xmlns:r="http://schemas.openxmlformats.org/officeDocument/2006/relationships" ax:classid="{8BD21D40-EC42-11CE-9E0D-00AA006002F3}" r:id="rId1" ax:persistence="persistStorage"/>
</file>

<file path=word/activeX/activeX31.xml><?xml version="1.0" encoding="utf-8"?>
<ax:ocx xmlns:ax="http://schemas.microsoft.com/office/2006/activeX" xmlns:r="http://schemas.openxmlformats.org/officeDocument/2006/relationships" ax:classid="{8BD21D40-EC42-11CE-9E0D-00AA006002F3}" r:id="rId1" ax:persistence="persistStorage"/>
</file>

<file path=word/activeX/activeX32.xml><?xml version="1.0" encoding="utf-8"?>
<ax:ocx xmlns:ax="http://schemas.microsoft.com/office/2006/activeX" xmlns:r="http://schemas.openxmlformats.org/officeDocument/2006/relationships" ax:classid="{8BD21D40-EC42-11CE-9E0D-00AA006002F3}" r:id="rId1" ax:persistence="persistStorage"/>
</file>

<file path=word/activeX/activeX33.xml><?xml version="1.0" encoding="utf-8"?>
<ax:ocx xmlns:ax="http://schemas.microsoft.com/office/2006/activeX" xmlns:r="http://schemas.openxmlformats.org/officeDocument/2006/relationships" ax:classid="{8BD21D40-EC42-11CE-9E0D-00AA006002F3}" r:id="rId1" ax:persistence="persistStorage"/>
</file>

<file path=word/activeX/activeX34.xml><?xml version="1.0" encoding="utf-8"?>
<ax:ocx xmlns:ax="http://schemas.microsoft.com/office/2006/activeX" xmlns:r="http://schemas.openxmlformats.org/officeDocument/2006/relationships" ax:classid="{8BD21D40-EC42-11CE-9E0D-00AA006002F3}" r:id="rId1" ax:persistence="persistStorage"/>
</file>

<file path=word/activeX/activeX4.xml><?xml version="1.0" encoding="utf-8"?>
<ax:ocx xmlns:ax="http://schemas.microsoft.com/office/2006/activeX" xmlns:r="http://schemas.openxmlformats.org/officeDocument/2006/relationships" ax:classid="{8BD21D50-EC42-11CE-9E0D-00AA006002F3}" r:id="rId1" ax:persistence="persistStorage"/>
</file>

<file path=word/activeX/activeX5.xml><?xml version="1.0" encoding="utf-8"?>
<ax:ocx xmlns:ax="http://schemas.microsoft.com/office/2006/activeX" xmlns:r="http://schemas.openxmlformats.org/officeDocument/2006/relationships" ax:classid="{8BD21D40-EC42-11CE-9E0D-00AA006002F3}" r:id="rId1" ax:persistence="persistStorage"/>
</file>

<file path=word/activeX/activeX6.xml><?xml version="1.0" encoding="utf-8"?>
<ax:ocx xmlns:ax="http://schemas.microsoft.com/office/2006/activeX" xmlns:r="http://schemas.openxmlformats.org/officeDocument/2006/relationships" ax:classid="{8BD21D40-EC42-11CE-9E0D-00AA006002F3}" r:id="rId1" ax:persistence="persistStorage"/>
</file>

<file path=word/activeX/activeX7.xml><?xml version="1.0" encoding="utf-8"?>
<ax:ocx xmlns:ax="http://schemas.microsoft.com/office/2006/activeX" xmlns:r="http://schemas.openxmlformats.org/officeDocument/2006/relationships" ax:classid="{8BD21D40-EC42-11CE-9E0D-00AA006002F3}" r:id="rId1" ax:persistence="persistStorage"/>
</file>

<file path=word/activeX/activeX8.xml><?xml version="1.0" encoding="utf-8"?>
<ax:ocx xmlns:ax="http://schemas.microsoft.com/office/2006/activeX" xmlns:r="http://schemas.openxmlformats.org/officeDocument/2006/relationships" ax:classid="{8BD21D40-EC42-11CE-9E0D-00AA006002F3}" r:id="rId1" ax:persistence="persistStorage"/>
</file>

<file path=word/activeX/activeX9.xml><?xml version="1.0" encoding="utf-8"?>
<ax:ocx xmlns:ax="http://schemas.microsoft.com/office/2006/activeX" xmlns:r="http://schemas.openxmlformats.org/officeDocument/2006/relationships" ax:classid="{8BD21D40-EC42-11CE-9E0D-00AA006002F3}"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B2424C-AAF2-4E04-B59C-891CE8B35614}">
  <ds:schemaRefs/>
</ds:datastoreItem>
</file>

<file path=docProps/app.xml><?xml version="1.0" encoding="utf-8"?>
<Properties xmlns="http://schemas.openxmlformats.org/officeDocument/2006/extended-properties" xmlns:vt="http://schemas.openxmlformats.org/officeDocument/2006/docPropsVTypes">
  <Template>Normal.dotm</Template>
  <Company>微软用户</Company>
  <Pages>171</Pages>
  <Words>17283</Words>
  <Characters>98518</Characters>
  <Lines>820</Lines>
  <Paragraphs>231</Paragraphs>
  <TotalTime>0</TotalTime>
  <ScaleCrop>false</ScaleCrop>
  <LinksUpToDate>false</LinksUpToDate>
  <CharactersWithSpaces>115570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2019-09-27T08:49:00Z</dcterms:created>
  <dc:creator>微软中国</dc:creator>
  <cp:lastModifiedBy>小迷糊</cp:lastModifiedBy>
  <dcterms:modified xsi:type="dcterms:W3CDTF">2019-10-31T05:56:41Z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