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rPr>
          <w:rFonts w:ascii="Times New Roman" w:hAnsi="Arial" w:eastAsia="黑体" w:cs="Arial"/>
          <w:sz w:val="52"/>
          <w:szCs w:val="52"/>
        </w:rPr>
      </w:pPr>
      <w:r>
        <w:rPr>
          <w:rFonts w:hint="eastAsia" w:ascii="Times New Roman" w:hAnsi="Arial" w:eastAsia="黑体" w:cs="Arial"/>
          <w:sz w:val="52"/>
          <w:szCs w:val="52"/>
        </w:rPr>
        <w:t>国泰产险非车承保系统</w:t>
      </w:r>
    </w:p>
    <w:p>
      <w:pPr>
        <w:pStyle w:val="14"/>
        <w:rPr>
          <w:rFonts w:ascii="Times New Roman" w:eastAsia="黑体" w:cs="Arial"/>
          <w:sz w:val="52"/>
          <w:szCs w:val="52"/>
        </w:rPr>
      </w:pPr>
      <w:r>
        <w:rPr>
          <w:rFonts w:hint="eastAsia" w:ascii="Times New Roman" w:hAnsi="Arial" w:eastAsia="黑体" w:cs="Arial"/>
          <w:sz w:val="52"/>
          <w:szCs w:val="52"/>
        </w:rPr>
        <w:t>操作手册</w:t>
      </w:r>
    </w:p>
    <w:p>
      <w:pPr>
        <w:pStyle w:val="14"/>
        <w:jc w:val="both"/>
        <w:rPr>
          <w:rFonts w:ascii="Times New Roman" w:eastAsia="黑体" w:cs="Arial"/>
          <w:sz w:val="52"/>
          <w:szCs w:val="52"/>
        </w:rPr>
      </w:pPr>
    </w:p>
    <w:p>
      <w:pPr>
        <w:pStyle w:val="14"/>
        <w:rPr>
          <w:rFonts w:ascii="Times New Roman" w:eastAsia="黑体" w:cs="Arial"/>
          <w:sz w:val="52"/>
          <w:szCs w:val="52"/>
        </w:rPr>
      </w:pPr>
    </w:p>
    <w:p>
      <w:pPr>
        <w:pStyle w:val="14"/>
        <w:rPr>
          <w:rFonts w:ascii="Times New Roman" w:eastAsia="黑体" w:cs="Arial"/>
          <w:sz w:val="52"/>
          <w:szCs w:val="52"/>
        </w:rPr>
      </w:pPr>
    </w:p>
    <w:p>
      <w:pPr>
        <w:pStyle w:val="14"/>
        <w:rPr>
          <w:rFonts w:ascii="Times New Roman" w:eastAsia="黑体" w:cs="Arial"/>
          <w:sz w:val="52"/>
          <w:szCs w:val="52"/>
        </w:rPr>
      </w:pPr>
    </w:p>
    <w:p>
      <w:pPr>
        <w:pStyle w:val="14"/>
        <w:rPr>
          <w:rFonts w:ascii="Times New Roman" w:eastAsia="黑体" w:cs="Arial"/>
          <w:sz w:val="52"/>
          <w:szCs w:val="52"/>
        </w:rPr>
      </w:pPr>
    </w:p>
    <w:p>
      <w:pPr>
        <w:rPr>
          <w:rFonts w:eastAsia="黑体" w:cs="Arial"/>
          <w:b/>
          <w:snapToGrid w:val="0"/>
          <w:kern w:val="0"/>
          <w:sz w:val="52"/>
          <w:szCs w:val="52"/>
        </w:rPr>
      </w:pPr>
    </w:p>
    <w:p>
      <w:pPr>
        <w:rPr>
          <w:rFonts w:eastAsia="黑体" w:cs="Arial"/>
          <w:b/>
          <w:snapToGrid w:val="0"/>
          <w:kern w:val="0"/>
          <w:sz w:val="52"/>
          <w:szCs w:val="52"/>
        </w:rPr>
      </w:pPr>
    </w:p>
    <w:p>
      <w:pPr>
        <w:rPr>
          <w:rFonts w:eastAsia="黑体" w:cs="Arial"/>
          <w:b/>
          <w:snapToGrid w:val="0"/>
          <w:kern w:val="0"/>
          <w:sz w:val="52"/>
          <w:szCs w:val="52"/>
        </w:rPr>
      </w:pPr>
    </w:p>
    <w:p>
      <w:pPr>
        <w:rPr>
          <w:rFonts w:eastAsia="黑体" w:cs="Arial"/>
          <w:b/>
          <w:snapToGrid w:val="0"/>
          <w:kern w:val="0"/>
          <w:sz w:val="52"/>
          <w:szCs w:val="52"/>
        </w:rPr>
      </w:pPr>
    </w:p>
    <w:p>
      <w:pPr>
        <w:rPr>
          <w:rFonts w:eastAsia="黑体" w:cs="Arial"/>
          <w:b/>
          <w:snapToGrid w:val="0"/>
          <w:kern w:val="0"/>
          <w:sz w:val="52"/>
          <w:szCs w:val="52"/>
        </w:rPr>
      </w:pPr>
    </w:p>
    <w:p>
      <w:pPr>
        <w:rPr>
          <w:rFonts w:eastAsia="黑体" w:cs="Arial"/>
          <w:b/>
          <w:snapToGrid w:val="0"/>
          <w:kern w:val="0"/>
          <w:sz w:val="52"/>
          <w:szCs w:val="52"/>
        </w:rPr>
      </w:pPr>
    </w:p>
    <w:p/>
    <w:p>
      <w:pPr>
        <w:pStyle w:val="14"/>
        <w:rPr>
          <w:rFonts w:ascii="Times New Roman" w:eastAsia="黑体" w:cs="Arial"/>
          <w:sz w:val="52"/>
          <w:szCs w:val="52"/>
        </w:rPr>
      </w:pPr>
    </w:p>
    <w:tbl>
      <w:tblPr>
        <w:tblStyle w:val="18"/>
        <w:tblW w:w="83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
        <w:gridCol w:w="1504"/>
        <w:gridCol w:w="174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80" w:hRule="exact"/>
          <w:jc w:val="center"/>
        </w:trPr>
        <w:tc>
          <w:tcPr>
            <w:tcW w:w="448" w:type="dxa"/>
            <w:vMerge w:val="restart"/>
            <w:shd w:val="clear" w:color="auto" w:fill="D9D9D9"/>
            <w:vAlign w:val="center"/>
          </w:tcPr>
          <w:p>
            <w:pPr>
              <w:rPr>
                <w:rFonts w:eastAsia="仿宋_GB2312" w:cs="Arial"/>
                <w:sz w:val="18"/>
                <w:szCs w:val="18"/>
              </w:rPr>
            </w:pPr>
            <w:r>
              <w:rPr>
                <w:rFonts w:eastAsia="仿宋_GB2312" w:cs="Arial"/>
                <w:sz w:val="18"/>
                <w:szCs w:val="18"/>
              </w:rPr>
              <w:t>文档状态</w:t>
            </w:r>
          </w:p>
        </w:tc>
        <w:tc>
          <w:tcPr>
            <w:tcW w:w="1504" w:type="dxa"/>
            <w:vMerge w:val="restart"/>
            <w:shd w:val="clear" w:color="auto" w:fill="auto"/>
            <w:vAlign w:val="center"/>
          </w:tcPr>
          <w:p>
            <w:pPr>
              <w:rPr>
                <w:rFonts w:eastAsia="仿宋_GB2312" w:cs="Arial"/>
                <w:sz w:val="18"/>
                <w:szCs w:val="18"/>
              </w:rPr>
            </w:pPr>
            <w:r>
              <w:rPr>
                <w:rFonts w:eastAsia="仿宋_GB2312" w:cs="Arial"/>
                <w:sz w:val="18"/>
                <w:szCs w:val="18"/>
              </w:rPr>
              <w:t>[    ] 初稿</w:t>
            </w:r>
          </w:p>
          <w:p>
            <w:pPr>
              <w:rPr>
                <w:rFonts w:eastAsia="仿宋_GB2312" w:cs="Arial"/>
                <w:sz w:val="18"/>
                <w:szCs w:val="18"/>
              </w:rPr>
            </w:pPr>
            <w:r>
              <w:rPr>
                <w:rFonts w:eastAsia="仿宋_GB2312" w:cs="Arial"/>
                <w:sz w:val="18"/>
                <w:szCs w:val="18"/>
              </w:rPr>
              <w:t>[    ]审核通过</w:t>
            </w:r>
          </w:p>
          <w:p>
            <w:pPr>
              <w:rPr>
                <w:rFonts w:eastAsia="仿宋_GB2312" w:cs="Arial"/>
                <w:sz w:val="18"/>
                <w:szCs w:val="18"/>
              </w:rPr>
            </w:pPr>
            <w:r>
              <w:rPr>
                <w:rFonts w:eastAsia="仿宋_GB2312" w:cs="Arial"/>
                <w:sz w:val="18"/>
                <w:szCs w:val="18"/>
              </w:rPr>
              <w:t>[    ] 发布</w:t>
            </w:r>
          </w:p>
          <w:p>
            <w:pPr>
              <w:rPr>
                <w:rFonts w:eastAsia="仿宋_GB2312" w:cs="Arial"/>
                <w:sz w:val="18"/>
                <w:szCs w:val="18"/>
              </w:rPr>
            </w:pPr>
            <w:r>
              <w:rPr>
                <w:rFonts w:eastAsia="仿宋_GB2312" w:cs="Arial"/>
                <w:sz w:val="18"/>
                <w:szCs w:val="18"/>
              </w:rPr>
              <w:t>[    ] 修改</w:t>
            </w:r>
          </w:p>
          <w:p>
            <w:pPr>
              <w:rPr>
                <w:rFonts w:eastAsia="仿宋_GB2312" w:cs="Arial"/>
                <w:sz w:val="18"/>
                <w:szCs w:val="18"/>
              </w:rPr>
            </w:pPr>
            <w:r>
              <w:rPr>
                <w:rFonts w:eastAsia="仿宋_GB2312" w:cs="Arial"/>
                <w:sz w:val="18"/>
                <w:szCs w:val="18"/>
              </w:rPr>
              <w:t>[    ] 作废</w:t>
            </w:r>
          </w:p>
        </w:tc>
        <w:tc>
          <w:tcPr>
            <w:tcW w:w="1740" w:type="dxa"/>
            <w:shd w:val="clear" w:color="auto" w:fill="D9D9D9"/>
            <w:vAlign w:val="center"/>
          </w:tcPr>
          <w:p>
            <w:pPr>
              <w:adjustRightInd w:val="0"/>
              <w:snapToGrid w:val="0"/>
              <w:rPr>
                <w:rFonts w:eastAsia="仿宋_GB2312" w:cs="Arial"/>
                <w:sz w:val="18"/>
                <w:szCs w:val="18"/>
              </w:rPr>
            </w:pPr>
            <w:r>
              <w:rPr>
                <w:rFonts w:eastAsia="仿宋_GB2312" w:cs="Arial"/>
                <w:sz w:val="18"/>
                <w:szCs w:val="18"/>
              </w:rPr>
              <w:t>文档标识</w:t>
            </w:r>
          </w:p>
        </w:tc>
        <w:tc>
          <w:tcPr>
            <w:tcW w:w="4680" w:type="dxa"/>
            <w:vAlign w:val="center"/>
          </w:tcPr>
          <w:p>
            <w:pPr>
              <w:adjustRightInd w:val="0"/>
              <w:snapToGrid w:val="0"/>
              <w:jc w:val="left"/>
              <w:rPr>
                <w:rFonts w:eastAsia="仿宋_GB2312" w:cs="Arial"/>
                <w:sz w:val="18"/>
                <w:szCs w:val="18"/>
              </w:rPr>
            </w:pPr>
            <w:r>
              <w:rPr>
                <w:rFonts w:hint="eastAsia" w:hAnsi="宋体" w:cs="Arial"/>
                <w:sz w:val="18"/>
                <w:szCs w:val="18"/>
              </w:rPr>
              <w:t>国泰产险非车承保系统操作手册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sz w:val="18"/>
                <w:szCs w:val="18"/>
              </w:rPr>
            </w:pPr>
            <w:r>
              <w:rPr>
                <w:rFonts w:eastAsia="仿宋_GB2312" w:cs="Arial"/>
                <w:sz w:val="18"/>
                <w:szCs w:val="18"/>
              </w:rPr>
              <w:t>当前版本</w:t>
            </w:r>
          </w:p>
        </w:tc>
        <w:tc>
          <w:tcPr>
            <w:tcW w:w="4680" w:type="dxa"/>
            <w:vAlign w:val="center"/>
          </w:tcPr>
          <w:p>
            <w:pPr>
              <w:adjustRightInd w:val="0"/>
              <w:snapToGrid w:val="0"/>
              <w:jc w:val="left"/>
              <w:rPr>
                <w:rFonts w:eastAsia="仿宋_GB2312" w:cs="Arial"/>
                <w:sz w:val="18"/>
                <w:szCs w:val="18"/>
              </w:rPr>
            </w:pPr>
            <w:r>
              <w:rPr>
                <w:rFonts w:hint="eastAsia" w:eastAsia="仿宋_GB2312" w:cs="Arial"/>
                <w:sz w:val="18"/>
                <w:szCs w:val="18"/>
              </w:rPr>
              <w:t>V</w:t>
            </w:r>
            <w:r>
              <w:rPr>
                <w:rFonts w:hint="eastAsia" w:eastAsia="仿宋_GB2312" w:cs="Arial"/>
                <w:sz w:val="18"/>
                <w:szCs w:val="18"/>
                <w:lang w:val="en-US" w:eastAsia="zh-CN"/>
              </w:rPr>
              <w:t>2</w:t>
            </w:r>
            <w:r>
              <w:rPr>
                <w:rFonts w:hint="eastAsia" w:eastAsia="仿宋_GB2312" w:cs="Arial"/>
                <w:sz w:val="18"/>
                <w:szCs w:val="1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sz w:val="18"/>
                <w:szCs w:val="18"/>
              </w:rPr>
            </w:pPr>
            <w:r>
              <w:rPr>
                <w:rFonts w:eastAsia="仿宋_GB2312" w:cs="Arial"/>
                <w:sz w:val="18"/>
                <w:szCs w:val="18"/>
              </w:rPr>
              <w:t>正文/总页数</w:t>
            </w:r>
          </w:p>
        </w:tc>
        <w:tc>
          <w:tcPr>
            <w:tcW w:w="4680" w:type="dxa"/>
            <w:vAlign w:val="center"/>
          </w:tcPr>
          <w:p>
            <w:pPr>
              <w:adjustRightInd w:val="0"/>
              <w:snapToGrid w:val="0"/>
              <w:rPr>
                <w:rFonts w:eastAsia="仿宋_GB2312"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b/>
                <w:bCs/>
                <w:sz w:val="18"/>
                <w:szCs w:val="18"/>
              </w:rPr>
            </w:pPr>
            <w:r>
              <w:rPr>
                <w:rFonts w:eastAsia="仿宋_GB2312" w:cs="Arial"/>
                <w:sz w:val="18"/>
                <w:szCs w:val="18"/>
              </w:rPr>
              <w:t>编制人/部门/日期</w:t>
            </w:r>
          </w:p>
        </w:tc>
        <w:tc>
          <w:tcPr>
            <w:tcW w:w="4680" w:type="dxa"/>
            <w:vAlign w:val="center"/>
          </w:tcPr>
          <w:p>
            <w:pPr>
              <w:adjustRightInd w:val="0"/>
              <w:snapToGrid w:val="0"/>
              <w:rPr>
                <w:rFonts w:eastAsia="仿宋_GB2312"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b/>
                <w:bCs/>
                <w:sz w:val="18"/>
                <w:szCs w:val="18"/>
              </w:rPr>
            </w:pPr>
            <w:r>
              <w:rPr>
                <w:rFonts w:eastAsia="仿宋_GB2312" w:cs="Arial"/>
                <w:sz w:val="18"/>
                <w:szCs w:val="18"/>
              </w:rPr>
              <w:t>审核人/部门/日期</w:t>
            </w:r>
          </w:p>
        </w:tc>
        <w:tc>
          <w:tcPr>
            <w:tcW w:w="4680" w:type="dxa"/>
            <w:vAlign w:val="center"/>
          </w:tcPr>
          <w:p>
            <w:pPr>
              <w:adjustRightInd w:val="0"/>
              <w:snapToGrid w:val="0"/>
              <w:rPr>
                <w:rFonts w:eastAsia="仿宋_GB2312"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sz w:val="18"/>
                <w:szCs w:val="18"/>
              </w:rPr>
            </w:pPr>
            <w:r>
              <w:rPr>
                <w:rFonts w:eastAsia="仿宋_GB2312" w:cs="Arial"/>
                <w:sz w:val="18"/>
                <w:szCs w:val="18"/>
              </w:rPr>
              <w:t>批准人/部门/日期</w:t>
            </w:r>
          </w:p>
        </w:tc>
        <w:tc>
          <w:tcPr>
            <w:tcW w:w="4680" w:type="dxa"/>
            <w:vAlign w:val="center"/>
          </w:tcPr>
          <w:p>
            <w:pPr>
              <w:adjustRightInd w:val="0"/>
              <w:snapToGrid w:val="0"/>
              <w:rPr>
                <w:rFonts w:eastAsia="仿宋_GB2312"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4" w:hRule="exact"/>
          <w:jc w:val="center"/>
        </w:trPr>
        <w:tc>
          <w:tcPr>
            <w:tcW w:w="448" w:type="dxa"/>
            <w:vMerge w:val="continue"/>
            <w:shd w:val="clear" w:color="auto" w:fill="D9D9D9"/>
          </w:tcPr>
          <w:p>
            <w:pPr>
              <w:rPr>
                <w:rFonts w:eastAsia="仿宋_GB2312" w:cs="Arial"/>
                <w:sz w:val="18"/>
                <w:szCs w:val="18"/>
              </w:rPr>
            </w:pPr>
          </w:p>
        </w:tc>
        <w:tc>
          <w:tcPr>
            <w:tcW w:w="1504" w:type="dxa"/>
            <w:vMerge w:val="continue"/>
            <w:shd w:val="clear" w:color="auto" w:fill="auto"/>
          </w:tcPr>
          <w:p>
            <w:pPr>
              <w:rPr>
                <w:rFonts w:eastAsia="仿宋_GB2312" w:cs="Arial"/>
                <w:sz w:val="18"/>
                <w:szCs w:val="18"/>
              </w:rPr>
            </w:pPr>
          </w:p>
        </w:tc>
        <w:tc>
          <w:tcPr>
            <w:tcW w:w="1740" w:type="dxa"/>
            <w:shd w:val="clear" w:color="auto" w:fill="D9D9D9"/>
            <w:vAlign w:val="center"/>
          </w:tcPr>
          <w:p>
            <w:pPr>
              <w:adjustRightInd w:val="0"/>
              <w:snapToGrid w:val="0"/>
              <w:rPr>
                <w:rFonts w:eastAsia="仿宋_GB2312" w:cs="Arial"/>
                <w:sz w:val="18"/>
                <w:szCs w:val="18"/>
              </w:rPr>
            </w:pPr>
            <w:r>
              <w:rPr>
                <w:rFonts w:eastAsia="仿宋_GB2312" w:cs="Arial"/>
                <w:sz w:val="18"/>
                <w:szCs w:val="18"/>
              </w:rPr>
              <w:t>发布日期</w:t>
            </w:r>
          </w:p>
        </w:tc>
        <w:tc>
          <w:tcPr>
            <w:tcW w:w="4680" w:type="dxa"/>
            <w:vAlign w:val="center"/>
          </w:tcPr>
          <w:p>
            <w:pPr>
              <w:adjustRightInd w:val="0"/>
              <w:snapToGrid w:val="0"/>
              <w:rPr>
                <w:rFonts w:eastAsia="仿宋_GB2312" w:cs="Arial"/>
                <w:sz w:val="18"/>
                <w:szCs w:val="18"/>
              </w:rPr>
            </w:pPr>
          </w:p>
        </w:tc>
      </w:tr>
    </w:tbl>
    <w:p>
      <w:pPr>
        <w:rPr>
          <w:rFonts w:cs="Arial"/>
        </w:rPr>
      </w:pPr>
    </w:p>
    <w:p>
      <w:pPr>
        <w:rPr>
          <w:rFonts w:cs="Arial"/>
        </w:rPr>
      </w:pPr>
    </w:p>
    <w:p>
      <w:pPr>
        <w:rPr>
          <w:rFonts w:cs="Arial"/>
        </w:rPr>
        <w:sectPr>
          <w:headerReference r:id="rId3" w:type="default"/>
          <w:pgSz w:w="11906" w:h="16838"/>
          <w:pgMar w:top="1440" w:right="1797" w:bottom="1440" w:left="1797" w:header="851" w:footer="992" w:gutter="0"/>
          <w:cols w:space="720" w:num="1"/>
          <w:docGrid w:type="lines" w:linePitch="312" w:charSpace="0"/>
        </w:sectPr>
      </w:pPr>
    </w:p>
    <w:p>
      <w:pPr>
        <w:rPr>
          <w:rFonts w:hAnsi="Arial" w:cs="Arial"/>
          <w:b/>
          <w:bCs/>
          <w:sz w:val="28"/>
        </w:rPr>
      </w:pPr>
      <w:r>
        <w:rPr>
          <w:rFonts w:hAnsi="Arial" w:cs="Arial"/>
          <w:b/>
          <w:bCs/>
          <w:sz w:val="28"/>
        </w:rPr>
        <w:t>文档</w:t>
      </w:r>
      <w:r>
        <w:rPr>
          <w:rFonts w:hint="eastAsia" w:hAnsi="Arial" w:cs="Arial"/>
          <w:b/>
          <w:bCs/>
          <w:sz w:val="28"/>
        </w:rPr>
        <w:t>修订记录</w:t>
      </w:r>
      <w:r>
        <w:rPr>
          <w:rFonts w:hAnsi="Arial" w:cs="Arial"/>
          <w:b/>
          <w:bCs/>
          <w:sz w:val="28"/>
        </w:rPr>
        <w:t>表</w:t>
      </w:r>
    </w:p>
    <w:tbl>
      <w:tblPr>
        <w:tblStyle w:val="18"/>
        <w:tblW w:w="8528"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1329"/>
        <w:gridCol w:w="1448"/>
        <w:gridCol w:w="1421"/>
        <w:gridCol w:w="3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shd w:val="clear" w:color="000000" w:fill="E6E6E6"/>
            <w:vAlign w:val="center"/>
          </w:tcPr>
          <w:p>
            <w:pPr>
              <w:jc w:val="center"/>
              <w:rPr>
                <w:rFonts w:cs="Arial"/>
                <w:b/>
                <w:sz w:val="18"/>
              </w:rPr>
            </w:pPr>
            <w:r>
              <w:rPr>
                <w:rFonts w:hAnsi="Arial" w:cs="Arial"/>
                <w:b/>
                <w:sz w:val="18"/>
              </w:rPr>
              <w:t>版本号</w:t>
            </w:r>
          </w:p>
        </w:tc>
        <w:tc>
          <w:tcPr>
            <w:tcW w:w="1329" w:type="dxa"/>
            <w:shd w:val="clear" w:color="000000" w:fill="E6E6E6"/>
            <w:vAlign w:val="center"/>
          </w:tcPr>
          <w:p>
            <w:pPr>
              <w:jc w:val="center"/>
              <w:rPr>
                <w:rFonts w:cs="Arial"/>
                <w:b/>
                <w:sz w:val="18"/>
              </w:rPr>
            </w:pPr>
            <w:r>
              <w:rPr>
                <w:rFonts w:hAnsi="Arial" w:cs="Arial"/>
                <w:b/>
                <w:sz w:val="18"/>
              </w:rPr>
              <w:t>作者</w:t>
            </w:r>
          </w:p>
        </w:tc>
        <w:tc>
          <w:tcPr>
            <w:tcW w:w="1448" w:type="dxa"/>
            <w:shd w:val="clear" w:color="000000" w:fill="E6E6E6"/>
            <w:vAlign w:val="center"/>
          </w:tcPr>
          <w:p>
            <w:pPr>
              <w:jc w:val="center"/>
              <w:rPr>
                <w:rFonts w:cs="Arial"/>
                <w:b/>
                <w:sz w:val="18"/>
              </w:rPr>
            </w:pPr>
            <w:r>
              <w:rPr>
                <w:rFonts w:hAnsi="Arial" w:cs="Arial"/>
                <w:b/>
                <w:sz w:val="18"/>
              </w:rPr>
              <w:t>操作</w:t>
            </w:r>
          </w:p>
        </w:tc>
        <w:tc>
          <w:tcPr>
            <w:tcW w:w="1421" w:type="dxa"/>
            <w:shd w:val="clear" w:color="000000" w:fill="E6E6E6"/>
            <w:vAlign w:val="center"/>
          </w:tcPr>
          <w:p>
            <w:pPr>
              <w:jc w:val="center"/>
              <w:rPr>
                <w:rFonts w:cs="Arial"/>
                <w:b/>
                <w:sz w:val="18"/>
              </w:rPr>
            </w:pPr>
            <w:r>
              <w:rPr>
                <w:rFonts w:hAnsi="Arial" w:cs="Arial"/>
                <w:b/>
                <w:sz w:val="18"/>
              </w:rPr>
              <w:t>日期</w:t>
            </w:r>
          </w:p>
        </w:tc>
        <w:tc>
          <w:tcPr>
            <w:tcW w:w="3389" w:type="dxa"/>
            <w:shd w:val="clear" w:color="000000" w:fill="E6E6E6"/>
            <w:vAlign w:val="center"/>
          </w:tcPr>
          <w:p>
            <w:pPr>
              <w:jc w:val="center"/>
              <w:rPr>
                <w:rFonts w:cs="Arial"/>
                <w:b/>
                <w:sz w:val="18"/>
              </w:rPr>
            </w:pPr>
            <w:r>
              <w:rPr>
                <w:rFonts w:hAnsi="Arial" w:cs="Arial"/>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vAlign w:val="center"/>
          </w:tcPr>
          <w:p>
            <w:pPr>
              <w:jc w:val="center"/>
              <w:rPr>
                <w:rFonts w:cs="Arial"/>
                <w:bCs/>
                <w:sz w:val="18"/>
              </w:rPr>
            </w:pPr>
            <w:r>
              <w:rPr>
                <w:rFonts w:hint="eastAsia" w:cs="Arial"/>
                <w:bCs/>
                <w:sz w:val="18"/>
              </w:rPr>
              <w:t>V1.0.0</w:t>
            </w:r>
          </w:p>
        </w:tc>
        <w:tc>
          <w:tcPr>
            <w:tcW w:w="1329" w:type="dxa"/>
            <w:vAlign w:val="center"/>
          </w:tcPr>
          <w:p>
            <w:pPr>
              <w:jc w:val="center"/>
              <w:rPr>
                <w:rFonts w:cs="Arial"/>
                <w:bCs/>
                <w:sz w:val="18"/>
              </w:rPr>
            </w:pPr>
            <w:r>
              <w:rPr>
                <w:rFonts w:hint="eastAsia" w:hAnsi="Arial" w:cs="Arial"/>
                <w:bCs/>
                <w:sz w:val="18"/>
              </w:rPr>
              <w:t>周野</w:t>
            </w:r>
          </w:p>
        </w:tc>
        <w:tc>
          <w:tcPr>
            <w:tcW w:w="1448" w:type="dxa"/>
            <w:vAlign w:val="center"/>
          </w:tcPr>
          <w:p>
            <w:pPr>
              <w:jc w:val="center"/>
              <w:rPr>
                <w:rFonts w:cs="Arial"/>
                <w:bCs/>
                <w:sz w:val="18"/>
              </w:rPr>
            </w:pPr>
            <w:r>
              <w:rPr>
                <w:rFonts w:hint="eastAsia" w:hAnsi="Arial" w:cs="Arial"/>
                <w:bCs/>
                <w:sz w:val="18"/>
              </w:rPr>
              <w:t>创建</w:t>
            </w:r>
          </w:p>
        </w:tc>
        <w:tc>
          <w:tcPr>
            <w:tcW w:w="1421" w:type="dxa"/>
            <w:vAlign w:val="center"/>
          </w:tcPr>
          <w:p>
            <w:pPr>
              <w:jc w:val="center"/>
              <w:rPr>
                <w:rFonts w:cs="Arial"/>
                <w:bCs/>
                <w:sz w:val="18"/>
              </w:rPr>
            </w:pPr>
            <w:r>
              <w:rPr>
                <w:rFonts w:hint="eastAsia" w:cs="Arial"/>
                <w:bCs/>
                <w:sz w:val="18"/>
              </w:rPr>
              <w:t>201</w:t>
            </w:r>
            <w:r>
              <w:rPr>
                <w:rFonts w:cs="Arial"/>
                <w:bCs/>
                <w:sz w:val="18"/>
              </w:rPr>
              <w:t>80321</w:t>
            </w:r>
          </w:p>
        </w:tc>
        <w:tc>
          <w:tcPr>
            <w:tcW w:w="3389" w:type="dxa"/>
            <w:vAlign w:val="center"/>
          </w:tcPr>
          <w:p>
            <w:pPr>
              <w:jc w:val="center"/>
              <w:rPr>
                <w:rFonts w:cs="Arial"/>
                <w:bCs/>
                <w:sz w:val="18"/>
              </w:rPr>
            </w:pPr>
            <w:r>
              <w:rPr>
                <w:rFonts w:cs="Arial"/>
                <w:bCs/>
                <w:sz w:val="18"/>
              </w:rPr>
              <w:t>初版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vAlign w:val="center"/>
          </w:tcPr>
          <w:p>
            <w:pPr>
              <w:jc w:val="center"/>
              <w:rPr>
                <w:rFonts w:hint="eastAsia" w:cs="Arial"/>
                <w:bCs/>
                <w:sz w:val="18"/>
              </w:rPr>
            </w:pPr>
            <w:r>
              <w:rPr>
                <w:rFonts w:hint="eastAsia" w:cs="Arial"/>
                <w:bCs/>
                <w:sz w:val="18"/>
              </w:rPr>
              <w:t>V</w:t>
            </w:r>
            <w:r>
              <w:rPr>
                <w:rFonts w:hint="eastAsia" w:cs="Arial"/>
                <w:bCs/>
                <w:sz w:val="18"/>
                <w:lang w:val="en-US" w:eastAsia="zh-CN"/>
              </w:rPr>
              <w:t>2</w:t>
            </w:r>
            <w:r>
              <w:rPr>
                <w:rFonts w:hint="eastAsia" w:cs="Arial"/>
                <w:bCs/>
                <w:sz w:val="18"/>
              </w:rPr>
              <w:t>.0.0</w:t>
            </w:r>
          </w:p>
        </w:tc>
        <w:tc>
          <w:tcPr>
            <w:tcW w:w="1329" w:type="dxa"/>
            <w:vAlign w:val="center"/>
          </w:tcPr>
          <w:p>
            <w:pPr>
              <w:jc w:val="center"/>
              <w:rPr>
                <w:rFonts w:hint="eastAsia" w:hAnsi="Arial" w:eastAsia="宋体" w:cs="Arial"/>
                <w:bCs/>
                <w:sz w:val="18"/>
                <w:lang w:val="en-US" w:eastAsia="zh-CN"/>
              </w:rPr>
            </w:pPr>
            <w:r>
              <w:rPr>
                <w:rFonts w:hint="eastAsia" w:hAnsi="Arial" w:cs="Arial"/>
                <w:bCs/>
                <w:sz w:val="18"/>
                <w:lang w:eastAsia="zh-CN"/>
              </w:rPr>
              <w:t>刘芳</w:t>
            </w:r>
            <w:r>
              <w:rPr>
                <w:rFonts w:hint="eastAsia" w:hAnsi="Arial" w:cs="Arial"/>
                <w:bCs/>
                <w:sz w:val="18"/>
                <w:lang w:val="en-US" w:eastAsia="zh-CN"/>
              </w:rPr>
              <w:t xml:space="preserve"> 王煦鸿</w:t>
            </w:r>
          </w:p>
        </w:tc>
        <w:tc>
          <w:tcPr>
            <w:tcW w:w="1448" w:type="dxa"/>
            <w:vAlign w:val="center"/>
          </w:tcPr>
          <w:p>
            <w:pPr>
              <w:jc w:val="center"/>
              <w:rPr>
                <w:rFonts w:hint="eastAsia" w:hAnsi="Arial" w:eastAsia="宋体" w:cs="Arial"/>
                <w:bCs/>
                <w:sz w:val="18"/>
                <w:lang w:eastAsia="zh-CN"/>
              </w:rPr>
            </w:pPr>
            <w:r>
              <w:rPr>
                <w:rFonts w:hint="eastAsia" w:hAnsi="Arial" w:cs="Arial"/>
                <w:bCs/>
                <w:sz w:val="18"/>
                <w:lang w:eastAsia="zh-CN"/>
              </w:rPr>
              <w:t>补充</w:t>
            </w:r>
          </w:p>
        </w:tc>
        <w:tc>
          <w:tcPr>
            <w:tcW w:w="1421" w:type="dxa"/>
            <w:vAlign w:val="center"/>
          </w:tcPr>
          <w:p>
            <w:pPr>
              <w:jc w:val="center"/>
              <w:rPr>
                <w:rFonts w:hint="eastAsia" w:eastAsia="宋体" w:cs="Arial"/>
                <w:bCs/>
                <w:sz w:val="18"/>
                <w:lang w:val="en-US" w:eastAsia="zh-CN"/>
              </w:rPr>
            </w:pPr>
            <w:r>
              <w:rPr>
                <w:rFonts w:hint="eastAsia" w:cs="Arial"/>
                <w:bCs/>
                <w:sz w:val="18"/>
                <w:lang w:val="en-US" w:eastAsia="zh-CN"/>
              </w:rPr>
              <w:t>20180521</w:t>
            </w:r>
          </w:p>
        </w:tc>
        <w:tc>
          <w:tcPr>
            <w:tcW w:w="3389" w:type="dxa"/>
            <w:vAlign w:val="center"/>
          </w:tcPr>
          <w:p>
            <w:pPr>
              <w:jc w:val="center"/>
              <w:rPr>
                <w:rFonts w:hint="eastAsia" w:eastAsia="宋体" w:cs="Arial"/>
                <w:bCs/>
                <w:sz w:val="18"/>
                <w:lang w:eastAsia="zh-CN"/>
              </w:rPr>
            </w:pPr>
            <w:r>
              <w:rPr>
                <w:rFonts w:hint="eastAsia" w:cs="Arial"/>
                <w:bCs/>
                <w:sz w:val="18"/>
                <w:lang w:eastAsia="zh-CN"/>
              </w:rPr>
              <w:t>新增车辆导入、续保、从共保</w:t>
            </w:r>
          </w:p>
        </w:tc>
      </w:tr>
    </w:tbl>
    <w:p>
      <w:pPr>
        <w:rPr>
          <w:rFonts w:cs="Arial"/>
          <w:b/>
          <w:bCs/>
          <w:sz w:val="28"/>
        </w:rPr>
      </w:pPr>
    </w:p>
    <w:p>
      <w:pPr>
        <w:rPr>
          <w:rFonts w:cs="Arial"/>
          <w:b/>
          <w:bCs/>
          <w:sz w:val="28"/>
        </w:rPr>
      </w:pPr>
    </w:p>
    <w:p>
      <w:pPr>
        <w:rPr>
          <w:rFonts w:cs="Arial"/>
          <w:b/>
          <w:bCs/>
          <w:sz w:val="28"/>
        </w:rPr>
      </w:pPr>
      <w:r>
        <w:rPr>
          <w:rFonts w:hAnsi="Arial" w:cs="Arial"/>
          <w:b/>
          <w:bCs/>
          <w:sz w:val="28"/>
        </w:rPr>
        <w:t>文档审核记录表</w:t>
      </w:r>
    </w:p>
    <w:tbl>
      <w:tblPr>
        <w:tblStyle w:val="18"/>
        <w:tblW w:w="8528"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1329"/>
        <w:gridCol w:w="1448"/>
        <w:gridCol w:w="1421"/>
        <w:gridCol w:w="3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shd w:val="clear" w:color="000000" w:fill="E6E6E6"/>
            <w:vAlign w:val="center"/>
          </w:tcPr>
          <w:p>
            <w:pPr>
              <w:jc w:val="center"/>
              <w:rPr>
                <w:rFonts w:cs="Arial"/>
                <w:b/>
                <w:sz w:val="18"/>
              </w:rPr>
            </w:pPr>
            <w:r>
              <w:rPr>
                <w:rFonts w:hAnsi="Arial" w:cs="Arial"/>
                <w:b/>
                <w:sz w:val="18"/>
              </w:rPr>
              <w:t>版本号</w:t>
            </w:r>
          </w:p>
        </w:tc>
        <w:tc>
          <w:tcPr>
            <w:tcW w:w="1329" w:type="dxa"/>
            <w:shd w:val="clear" w:color="000000" w:fill="E6E6E6"/>
            <w:vAlign w:val="center"/>
          </w:tcPr>
          <w:p>
            <w:pPr>
              <w:jc w:val="center"/>
              <w:rPr>
                <w:rFonts w:cs="Arial"/>
                <w:b/>
                <w:sz w:val="18"/>
              </w:rPr>
            </w:pPr>
            <w:r>
              <w:rPr>
                <w:rFonts w:hAnsi="Arial" w:cs="Arial"/>
                <w:b/>
                <w:sz w:val="18"/>
              </w:rPr>
              <w:t>审核人</w:t>
            </w:r>
          </w:p>
        </w:tc>
        <w:tc>
          <w:tcPr>
            <w:tcW w:w="1448" w:type="dxa"/>
            <w:shd w:val="clear" w:color="000000" w:fill="E6E6E6"/>
            <w:vAlign w:val="center"/>
          </w:tcPr>
          <w:p>
            <w:pPr>
              <w:jc w:val="center"/>
              <w:rPr>
                <w:rFonts w:cs="Arial"/>
                <w:b/>
                <w:sz w:val="18"/>
              </w:rPr>
            </w:pPr>
            <w:r>
              <w:rPr>
                <w:rFonts w:hAnsi="Arial" w:cs="Arial"/>
                <w:b/>
                <w:sz w:val="18"/>
              </w:rPr>
              <w:t>审核人签字</w:t>
            </w:r>
          </w:p>
        </w:tc>
        <w:tc>
          <w:tcPr>
            <w:tcW w:w="1421" w:type="dxa"/>
            <w:shd w:val="clear" w:color="000000" w:fill="E6E6E6"/>
            <w:vAlign w:val="center"/>
          </w:tcPr>
          <w:p>
            <w:pPr>
              <w:jc w:val="center"/>
              <w:rPr>
                <w:rFonts w:cs="Arial"/>
                <w:b/>
                <w:sz w:val="18"/>
              </w:rPr>
            </w:pPr>
            <w:r>
              <w:rPr>
                <w:rFonts w:hAnsi="Arial" w:cs="Arial"/>
                <w:b/>
                <w:sz w:val="18"/>
              </w:rPr>
              <w:t>审核日期</w:t>
            </w:r>
          </w:p>
        </w:tc>
        <w:tc>
          <w:tcPr>
            <w:tcW w:w="3389" w:type="dxa"/>
            <w:shd w:val="clear" w:color="000000" w:fill="E6E6E6"/>
            <w:vAlign w:val="center"/>
          </w:tcPr>
          <w:p>
            <w:pPr>
              <w:jc w:val="center"/>
              <w:rPr>
                <w:rFonts w:cs="Arial"/>
                <w:b/>
                <w:sz w:val="18"/>
              </w:rPr>
            </w:pPr>
            <w:r>
              <w:rPr>
                <w:rFonts w:hAnsi="Arial" w:cs="Arial"/>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vAlign w:val="center"/>
          </w:tcPr>
          <w:p>
            <w:pPr>
              <w:jc w:val="center"/>
              <w:rPr>
                <w:rFonts w:cs="Arial"/>
                <w:bCs/>
                <w:sz w:val="18"/>
              </w:rPr>
            </w:pPr>
          </w:p>
        </w:tc>
        <w:tc>
          <w:tcPr>
            <w:tcW w:w="1329" w:type="dxa"/>
            <w:vAlign w:val="center"/>
          </w:tcPr>
          <w:p>
            <w:pPr>
              <w:rPr>
                <w:rFonts w:cs="Arial"/>
                <w:bCs/>
                <w:sz w:val="18"/>
              </w:rPr>
            </w:pPr>
          </w:p>
        </w:tc>
        <w:tc>
          <w:tcPr>
            <w:tcW w:w="1448" w:type="dxa"/>
            <w:vAlign w:val="center"/>
          </w:tcPr>
          <w:p>
            <w:pPr>
              <w:rPr>
                <w:rFonts w:cs="Arial"/>
                <w:bCs/>
                <w:sz w:val="18"/>
              </w:rPr>
            </w:pPr>
          </w:p>
        </w:tc>
        <w:tc>
          <w:tcPr>
            <w:tcW w:w="1421" w:type="dxa"/>
            <w:vAlign w:val="center"/>
          </w:tcPr>
          <w:p>
            <w:pPr>
              <w:rPr>
                <w:rFonts w:cs="Arial"/>
                <w:bCs/>
                <w:sz w:val="18"/>
              </w:rPr>
            </w:pPr>
          </w:p>
        </w:tc>
        <w:tc>
          <w:tcPr>
            <w:tcW w:w="3389" w:type="dxa"/>
          </w:tcPr>
          <w:p>
            <w:pPr>
              <w:rPr>
                <w:rFonts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tcPr>
          <w:p>
            <w:pPr>
              <w:jc w:val="center"/>
              <w:rPr>
                <w:rFonts w:cs="Arial"/>
                <w:sz w:val="18"/>
                <w:szCs w:val="18"/>
              </w:rPr>
            </w:pPr>
          </w:p>
        </w:tc>
        <w:tc>
          <w:tcPr>
            <w:tcW w:w="1329" w:type="dxa"/>
          </w:tcPr>
          <w:p>
            <w:pPr>
              <w:rPr>
                <w:rFonts w:cs="Arial"/>
                <w:sz w:val="18"/>
                <w:szCs w:val="18"/>
              </w:rPr>
            </w:pPr>
          </w:p>
        </w:tc>
        <w:tc>
          <w:tcPr>
            <w:tcW w:w="1448" w:type="dxa"/>
          </w:tcPr>
          <w:p>
            <w:pPr>
              <w:rPr>
                <w:rFonts w:cs="Arial"/>
                <w:sz w:val="18"/>
                <w:szCs w:val="18"/>
              </w:rPr>
            </w:pPr>
          </w:p>
        </w:tc>
        <w:tc>
          <w:tcPr>
            <w:tcW w:w="1421" w:type="dxa"/>
          </w:tcPr>
          <w:p>
            <w:pPr>
              <w:rPr>
                <w:rFonts w:cs="Arial"/>
                <w:sz w:val="18"/>
                <w:szCs w:val="18"/>
              </w:rPr>
            </w:pPr>
          </w:p>
        </w:tc>
        <w:tc>
          <w:tcPr>
            <w:tcW w:w="3389" w:type="dxa"/>
          </w:tcPr>
          <w:p>
            <w:pPr>
              <w:rPr>
                <w:rFonts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tcPr>
          <w:p>
            <w:pPr>
              <w:rPr>
                <w:rFonts w:cs="Arial"/>
                <w:bCs/>
                <w:sz w:val="18"/>
              </w:rPr>
            </w:pPr>
          </w:p>
        </w:tc>
        <w:tc>
          <w:tcPr>
            <w:tcW w:w="1329" w:type="dxa"/>
          </w:tcPr>
          <w:p>
            <w:pPr>
              <w:rPr>
                <w:rFonts w:cs="Arial"/>
                <w:bCs/>
                <w:sz w:val="18"/>
              </w:rPr>
            </w:pPr>
          </w:p>
        </w:tc>
        <w:tc>
          <w:tcPr>
            <w:tcW w:w="1448" w:type="dxa"/>
          </w:tcPr>
          <w:p>
            <w:pPr>
              <w:rPr>
                <w:rFonts w:cs="Arial"/>
                <w:bCs/>
                <w:sz w:val="18"/>
              </w:rPr>
            </w:pPr>
          </w:p>
        </w:tc>
        <w:tc>
          <w:tcPr>
            <w:tcW w:w="1421" w:type="dxa"/>
          </w:tcPr>
          <w:p>
            <w:pPr>
              <w:rPr>
                <w:rFonts w:cs="Arial"/>
                <w:bCs/>
                <w:sz w:val="18"/>
              </w:rPr>
            </w:pPr>
          </w:p>
        </w:tc>
        <w:tc>
          <w:tcPr>
            <w:tcW w:w="338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tcPr>
          <w:p>
            <w:pPr>
              <w:rPr>
                <w:rFonts w:cs="Arial"/>
                <w:bCs/>
                <w:sz w:val="18"/>
              </w:rPr>
            </w:pPr>
          </w:p>
        </w:tc>
        <w:tc>
          <w:tcPr>
            <w:tcW w:w="1329" w:type="dxa"/>
          </w:tcPr>
          <w:p>
            <w:pPr>
              <w:rPr>
                <w:rFonts w:cs="Arial"/>
                <w:bCs/>
                <w:sz w:val="18"/>
              </w:rPr>
            </w:pPr>
          </w:p>
        </w:tc>
        <w:tc>
          <w:tcPr>
            <w:tcW w:w="1448" w:type="dxa"/>
          </w:tcPr>
          <w:p>
            <w:pPr>
              <w:rPr>
                <w:rFonts w:cs="Arial"/>
                <w:bCs/>
                <w:sz w:val="18"/>
              </w:rPr>
            </w:pPr>
          </w:p>
        </w:tc>
        <w:tc>
          <w:tcPr>
            <w:tcW w:w="1421" w:type="dxa"/>
          </w:tcPr>
          <w:p>
            <w:pPr>
              <w:rPr>
                <w:rFonts w:cs="Arial"/>
                <w:bCs/>
                <w:sz w:val="18"/>
              </w:rPr>
            </w:pPr>
          </w:p>
        </w:tc>
        <w:tc>
          <w:tcPr>
            <w:tcW w:w="338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941" w:type="dxa"/>
          </w:tcPr>
          <w:p>
            <w:pPr>
              <w:rPr>
                <w:rFonts w:cs="Arial"/>
                <w:bCs/>
                <w:sz w:val="18"/>
              </w:rPr>
            </w:pPr>
          </w:p>
        </w:tc>
        <w:tc>
          <w:tcPr>
            <w:tcW w:w="1329" w:type="dxa"/>
          </w:tcPr>
          <w:p>
            <w:pPr>
              <w:rPr>
                <w:rFonts w:cs="Arial"/>
                <w:bCs/>
                <w:sz w:val="18"/>
              </w:rPr>
            </w:pPr>
          </w:p>
        </w:tc>
        <w:tc>
          <w:tcPr>
            <w:tcW w:w="1448" w:type="dxa"/>
          </w:tcPr>
          <w:p>
            <w:pPr>
              <w:rPr>
                <w:rFonts w:cs="Arial"/>
                <w:bCs/>
                <w:sz w:val="18"/>
              </w:rPr>
            </w:pPr>
          </w:p>
        </w:tc>
        <w:tc>
          <w:tcPr>
            <w:tcW w:w="1421" w:type="dxa"/>
          </w:tcPr>
          <w:p>
            <w:pPr>
              <w:rPr>
                <w:rFonts w:cs="Arial"/>
                <w:bCs/>
                <w:sz w:val="18"/>
              </w:rPr>
            </w:pPr>
          </w:p>
        </w:tc>
        <w:tc>
          <w:tcPr>
            <w:tcW w:w="3389" w:type="dxa"/>
          </w:tcPr>
          <w:p>
            <w:pPr>
              <w:rPr>
                <w:rFonts w:cs="Arial"/>
                <w:bCs/>
                <w:sz w:val="18"/>
              </w:rPr>
            </w:pPr>
          </w:p>
        </w:tc>
      </w:tr>
    </w:tbl>
    <w:p>
      <w:pPr>
        <w:rPr>
          <w:rFonts w:cs="Arial"/>
          <w:b/>
          <w:bCs/>
          <w:sz w:val="28"/>
        </w:rPr>
      </w:pPr>
    </w:p>
    <w:p>
      <w:pPr>
        <w:rPr>
          <w:rFonts w:cs="Arial"/>
          <w:b/>
          <w:bCs/>
          <w:sz w:val="28"/>
        </w:rPr>
      </w:pPr>
    </w:p>
    <w:p>
      <w:pPr>
        <w:rPr>
          <w:rFonts w:cs="Arial"/>
          <w:b/>
          <w:bCs/>
          <w:sz w:val="28"/>
        </w:rPr>
      </w:pPr>
      <w:r>
        <w:rPr>
          <w:rFonts w:hint="eastAsia" w:hAnsi="Arial" w:cs="Arial"/>
          <w:b/>
          <w:bCs/>
          <w:sz w:val="28"/>
        </w:rPr>
        <w:t>文档分发记录表</w:t>
      </w:r>
    </w:p>
    <w:tbl>
      <w:tblPr>
        <w:tblStyle w:val="18"/>
        <w:tblW w:w="8528"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9"/>
        <w:gridCol w:w="1210"/>
        <w:gridCol w:w="1440"/>
        <w:gridCol w:w="1139"/>
        <w:gridCol w:w="993"/>
        <w:gridCol w:w="1288"/>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9" w:type="dxa"/>
            <w:shd w:val="clear" w:color="000000" w:fill="E6E6E6"/>
            <w:vAlign w:val="center"/>
          </w:tcPr>
          <w:p>
            <w:pPr>
              <w:jc w:val="center"/>
              <w:rPr>
                <w:rFonts w:cs="Arial"/>
                <w:b/>
                <w:sz w:val="18"/>
              </w:rPr>
            </w:pPr>
            <w:r>
              <w:rPr>
                <w:rFonts w:hAnsi="Arial" w:cs="Arial"/>
                <w:b/>
                <w:sz w:val="18"/>
              </w:rPr>
              <w:t>版本号</w:t>
            </w:r>
          </w:p>
        </w:tc>
        <w:tc>
          <w:tcPr>
            <w:tcW w:w="1210" w:type="dxa"/>
            <w:shd w:val="clear" w:color="000000" w:fill="E6E6E6"/>
            <w:vAlign w:val="center"/>
          </w:tcPr>
          <w:p>
            <w:pPr>
              <w:jc w:val="center"/>
              <w:rPr>
                <w:rFonts w:cs="Arial"/>
                <w:b/>
                <w:sz w:val="18"/>
              </w:rPr>
            </w:pPr>
            <w:r>
              <w:rPr>
                <w:rFonts w:hint="eastAsia" w:hAnsi="Arial" w:cs="Arial"/>
                <w:b/>
                <w:sz w:val="18"/>
              </w:rPr>
              <w:t>分发人</w:t>
            </w:r>
            <w:r>
              <w:rPr>
                <w:rFonts w:hint="eastAsia" w:cs="Arial"/>
                <w:b/>
                <w:sz w:val="18"/>
              </w:rPr>
              <w:t>From</w:t>
            </w:r>
          </w:p>
        </w:tc>
        <w:tc>
          <w:tcPr>
            <w:tcW w:w="1440" w:type="dxa"/>
            <w:shd w:val="clear" w:color="000000" w:fill="E6E6E6"/>
            <w:vAlign w:val="center"/>
          </w:tcPr>
          <w:p>
            <w:pPr>
              <w:jc w:val="center"/>
              <w:rPr>
                <w:rFonts w:cs="Arial"/>
                <w:b/>
                <w:sz w:val="18"/>
              </w:rPr>
            </w:pPr>
            <w:r>
              <w:rPr>
                <w:rFonts w:hint="eastAsia" w:hAnsi="Arial" w:cs="Arial"/>
                <w:b/>
                <w:sz w:val="18"/>
              </w:rPr>
              <w:t>所属部门</w:t>
            </w:r>
            <w:r>
              <w:rPr>
                <w:rFonts w:hint="eastAsia" w:cs="Arial"/>
                <w:b/>
                <w:sz w:val="18"/>
              </w:rPr>
              <w:t>/</w:t>
            </w:r>
            <w:r>
              <w:rPr>
                <w:rFonts w:hint="eastAsia" w:hAnsi="Arial" w:cs="Arial"/>
                <w:b/>
                <w:sz w:val="18"/>
              </w:rPr>
              <w:t>处室</w:t>
            </w:r>
            <w:r>
              <w:rPr>
                <w:rFonts w:hint="eastAsia" w:cs="Arial"/>
                <w:b/>
                <w:sz w:val="18"/>
              </w:rPr>
              <w:t>/</w:t>
            </w:r>
            <w:r>
              <w:rPr>
                <w:rFonts w:hint="eastAsia" w:hAnsi="Arial" w:cs="Arial"/>
                <w:b/>
                <w:sz w:val="18"/>
              </w:rPr>
              <w:t>厂商</w:t>
            </w:r>
          </w:p>
        </w:tc>
        <w:tc>
          <w:tcPr>
            <w:tcW w:w="1139" w:type="dxa"/>
            <w:shd w:val="clear" w:color="000000" w:fill="E6E6E6"/>
            <w:vAlign w:val="center"/>
          </w:tcPr>
          <w:p>
            <w:pPr>
              <w:jc w:val="center"/>
              <w:rPr>
                <w:rFonts w:cs="Arial"/>
                <w:b/>
                <w:sz w:val="18"/>
              </w:rPr>
            </w:pPr>
            <w:r>
              <w:rPr>
                <w:rFonts w:hint="eastAsia" w:hAnsi="Arial" w:cs="Arial"/>
                <w:b/>
                <w:sz w:val="18"/>
              </w:rPr>
              <w:t>分发日期</w:t>
            </w:r>
          </w:p>
        </w:tc>
        <w:tc>
          <w:tcPr>
            <w:tcW w:w="993" w:type="dxa"/>
            <w:shd w:val="clear" w:color="000000" w:fill="E6E6E6"/>
            <w:vAlign w:val="center"/>
          </w:tcPr>
          <w:p>
            <w:pPr>
              <w:jc w:val="center"/>
              <w:rPr>
                <w:rFonts w:cs="Arial"/>
                <w:b/>
                <w:sz w:val="18"/>
              </w:rPr>
            </w:pPr>
            <w:r>
              <w:rPr>
                <w:rFonts w:hint="eastAsia" w:hAnsi="Arial" w:cs="Arial"/>
                <w:b/>
                <w:sz w:val="18"/>
              </w:rPr>
              <w:t>接收人数</w:t>
            </w:r>
          </w:p>
        </w:tc>
        <w:tc>
          <w:tcPr>
            <w:tcW w:w="1288" w:type="dxa"/>
            <w:shd w:val="clear" w:color="000000" w:fill="E6E6E6"/>
            <w:vAlign w:val="center"/>
          </w:tcPr>
          <w:p>
            <w:pPr>
              <w:jc w:val="center"/>
              <w:rPr>
                <w:rFonts w:cs="Arial"/>
                <w:b/>
                <w:sz w:val="18"/>
              </w:rPr>
            </w:pPr>
            <w:r>
              <w:rPr>
                <w:rFonts w:hint="eastAsia" w:hAnsi="Arial" w:cs="Arial"/>
                <w:b/>
                <w:sz w:val="18"/>
              </w:rPr>
              <w:t>接收人</w:t>
            </w:r>
          </w:p>
          <w:p>
            <w:pPr>
              <w:jc w:val="center"/>
              <w:rPr>
                <w:rFonts w:cs="Arial"/>
                <w:b/>
                <w:sz w:val="18"/>
              </w:rPr>
            </w:pPr>
            <w:r>
              <w:rPr>
                <w:rFonts w:hint="eastAsia" w:cs="Arial"/>
                <w:b/>
                <w:sz w:val="18"/>
              </w:rPr>
              <w:t>To</w:t>
            </w:r>
          </w:p>
        </w:tc>
        <w:tc>
          <w:tcPr>
            <w:tcW w:w="1579" w:type="dxa"/>
            <w:shd w:val="clear" w:color="000000" w:fill="E6E6E6"/>
            <w:vAlign w:val="center"/>
          </w:tcPr>
          <w:p>
            <w:pPr>
              <w:jc w:val="center"/>
              <w:rPr>
                <w:rFonts w:cs="Arial"/>
                <w:b/>
                <w:sz w:val="18"/>
              </w:rPr>
            </w:pPr>
            <w:r>
              <w:rPr>
                <w:rFonts w:hint="eastAsia" w:hAnsi="Arial" w:cs="Arial"/>
                <w:b/>
                <w:sz w:val="18"/>
              </w:rPr>
              <w:t>所属部门</w:t>
            </w:r>
            <w:r>
              <w:rPr>
                <w:rFonts w:hint="eastAsia" w:cs="Arial"/>
                <w:b/>
                <w:sz w:val="18"/>
              </w:rPr>
              <w:t>/</w:t>
            </w:r>
            <w:r>
              <w:rPr>
                <w:rFonts w:hint="eastAsia" w:hAnsi="Arial" w:cs="Arial"/>
                <w:b/>
                <w:sz w:val="18"/>
              </w:rPr>
              <w:t>处室</w:t>
            </w:r>
            <w:r>
              <w:rPr>
                <w:rFonts w:hint="eastAsia" w:cs="Arial"/>
                <w:b/>
                <w:sz w:val="18"/>
              </w:rPr>
              <w:t>/</w:t>
            </w:r>
            <w:r>
              <w:rPr>
                <w:rFonts w:hint="eastAsia" w:hAnsi="Arial" w:cs="Arial"/>
                <w:b/>
                <w:sz w:val="18"/>
              </w:rPr>
              <w:t>厂商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restart"/>
          </w:tcPr>
          <w:p>
            <w:pPr>
              <w:jc w:val="center"/>
              <w:rPr>
                <w:rFonts w:cs="Arial"/>
                <w:sz w:val="18"/>
                <w:szCs w:val="18"/>
              </w:rPr>
            </w:pPr>
          </w:p>
        </w:tc>
        <w:tc>
          <w:tcPr>
            <w:tcW w:w="1210" w:type="dxa"/>
            <w:vMerge w:val="restart"/>
          </w:tcPr>
          <w:p>
            <w:pPr>
              <w:rPr>
                <w:rFonts w:cs="Arial"/>
                <w:sz w:val="18"/>
                <w:szCs w:val="18"/>
              </w:rPr>
            </w:pPr>
          </w:p>
        </w:tc>
        <w:tc>
          <w:tcPr>
            <w:tcW w:w="1440" w:type="dxa"/>
            <w:vMerge w:val="restart"/>
          </w:tcPr>
          <w:p>
            <w:pPr>
              <w:rPr>
                <w:rFonts w:cs="Arial"/>
                <w:sz w:val="18"/>
                <w:szCs w:val="18"/>
              </w:rPr>
            </w:pPr>
          </w:p>
        </w:tc>
        <w:tc>
          <w:tcPr>
            <w:tcW w:w="1139" w:type="dxa"/>
            <w:vMerge w:val="restart"/>
          </w:tcPr>
          <w:p>
            <w:pPr>
              <w:rPr>
                <w:rFonts w:cs="Arial"/>
                <w:sz w:val="18"/>
                <w:szCs w:val="18"/>
              </w:rPr>
            </w:pPr>
          </w:p>
        </w:tc>
        <w:tc>
          <w:tcPr>
            <w:tcW w:w="993" w:type="dxa"/>
            <w:vMerge w:val="restart"/>
          </w:tcPr>
          <w:p>
            <w:pPr>
              <w:rPr>
                <w:rFonts w:cs="Arial"/>
                <w:sz w:val="18"/>
                <w:szCs w:val="18"/>
              </w:rPr>
            </w:pPr>
          </w:p>
        </w:tc>
        <w:tc>
          <w:tcPr>
            <w:tcW w:w="1288" w:type="dxa"/>
          </w:tcPr>
          <w:p>
            <w:pPr>
              <w:rPr>
                <w:rFonts w:cs="Arial"/>
                <w:bCs/>
                <w:sz w:val="18"/>
              </w:rPr>
            </w:pPr>
          </w:p>
        </w:tc>
        <w:tc>
          <w:tcPr>
            <w:tcW w:w="1579" w:type="dxa"/>
          </w:tcPr>
          <w:p>
            <w:pPr>
              <w:rPr>
                <w:rFonts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jc w:val="center"/>
              <w:rPr>
                <w:rFonts w:cs="Arial"/>
                <w:sz w:val="18"/>
                <w:szCs w:val="18"/>
              </w:rPr>
            </w:pPr>
          </w:p>
        </w:tc>
        <w:tc>
          <w:tcPr>
            <w:tcW w:w="1210" w:type="dxa"/>
            <w:vMerge w:val="continue"/>
          </w:tcPr>
          <w:p>
            <w:pPr>
              <w:rPr>
                <w:rFonts w:cs="Arial"/>
                <w:sz w:val="18"/>
                <w:szCs w:val="18"/>
              </w:rPr>
            </w:pPr>
          </w:p>
        </w:tc>
        <w:tc>
          <w:tcPr>
            <w:tcW w:w="1440" w:type="dxa"/>
            <w:vMerge w:val="continue"/>
          </w:tcPr>
          <w:p>
            <w:pPr>
              <w:rPr>
                <w:rFonts w:cs="Arial"/>
                <w:sz w:val="18"/>
                <w:szCs w:val="18"/>
              </w:rPr>
            </w:pPr>
          </w:p>
        </w:tc>
        <w:tc>
          <w:tcPr>
            <w:tcW w:w="1139" w:type="dxa"/>
            <w:vMerge w:val="continue"/>
          </w:tcPr>
          <w:p>
            <w:pPr>
              <w:rPr>
                <w:rFonts w:cs="Arial"/>
                <w:sz w:val="18"/>
                <w:szCs w:val="18"/>
              </w:rPr>
            </w:pPr>
          </w:p>
        </w:tc>
        <w:tc>
          <w:tcPr>
            <w:tcW w:w="993" w:type="dxa"/>
            <w:vMerge w:val="continue"/>
          </w:tcPr>
          <w:p>
            <w:pPr>
              <w:rPr>
                <w:rFonts w:cs="Arial"/>
                <w:sz w:val="18"/>
                <w:szCs w:val="18"/>
              </w:rPr>
            </w:pPr>
          </w:p>
        </w:tc>
        <w:tc>
          <w:tcPr>
            <w:tcW w:w="1288" w:type="dxa"/>
          </w:tcPr>
          <w:p>
            <w:pPr>
              <w:rPr>
                <w:rFonts w:cs="Arial"/>
                <w:sz w:val="18"/>
                <w:szCs w:val="18"/>
              </w:rPr>
            </w:pPr>
          </w:p>
        </w:tc>
        <w:tc>
          <w:tcPr>
            <w:tcW w:w="1579" w:type="dxa"/>
          </w:tcPr>
          <w:p>
            <w:pPr>
              <w:rPr>
                <w:rFonts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restart"/>
          </w:tcPr>
          <w:p>
            <w:pPr>
              <w:rPr>
                <w:rFonts w:cs="Arial"/>
                <w:bCs/>
                <w:sz w:val="18"/>
              </w:rPr>
            </w:pPr>
          </w:p>
        </w:tc>
        <w:tc>
          <w:tcPr>
            <w:tcW w:w="1210" w:type="dxa"/>
            <w:vMerge w:val="restart"/>
          </w:tcPr>
          <w:p>
            <w:pPr>
              <w:rPr>
                <w:rFonts w:cs="Arial"/>
                <w:bCs/>
                <w:sz w:val="18"/>
              </w:rPr>
            </w:pPr>
          </w:p>
        </w:tc>
        <w:tc>
          <w:tcPr>
            <w:tcW w:w="1440" w:type="dxa"/>
            <w:vMerge w:val="restart"/>
          </w:tcPr>
          <w:p>
            <w:pPr>
              <w:rPr>
                <w:rFonts w:cs="Arial"/>
                <w:bCs/>
                <w:sz w:val="18"/>
              </w:rPr>
            </w:pPr>
          </w:p>
        </w:tc>
        <w:tc>
          <w:tcPr>
            <w:tcW w:w="1139" w:type="dxa"/>
            <w:vMerge w:val="restart"/>
          </w:tcPr>
          <w:p>
            <w:pPr>
              <w:rPr>
                <w:rFonts w:cs="Arial"/>
                <w:bCs/>
                <w:sz w:val="18"/>
              </w:rPr>
            </w:pPr>
          </w:p>
        </w:tc>
        <w:tc>
          <w:tcPr>
            <w:tcW w:w="993" w:type="dxa"/>
            <w:vMerge w:val="restart"/>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vMerge w:val="continue"/>
          </w:tcPr>
          <w:p>
            <w:pPr>
              <w:rPr>
                <w:rFonts w:cs="Arial"/>
                <w:bCs/>
                <w:sz w:val="18"/>
              </w:rPr>
            </w:pPr>
          </w:p>
        </w:tc>
        <w:tc>
          <w:tcPr>
            <w:tcW w:w="1210" w:type="dxa"/>
            <w:vMerge w:val="continue"/>
          </w:tcPr>
          <w:p>
            <w:pPr>
              <w:rPr>
                <w:rFonts w:cs="Arial"/>
                <w:bCs/>
                <w:sz w:val="18"/>
              </w:rPr>
            </w:pPr>
          </w:p>
        </w:tc>
        <w:tc>
          <w:tcPr>
            <w:tcW w:w="1440" w:type="dxa"/>
            <w:vMerge w:val="continue"/>
          </w:tcPr>
          <w:p>
            <w:pPr>
              <w:rPr>
                <w:rFonts w:cs="Arial"/>
                <w:bCs/>
                <w:sz w:val="18"/>
              </w:rPr>
            </w:pPr>
          </w:p>
        </w:tc>
        <w:tc>
          <w:tcPr>
            <w:tcW w:w="1139" w:type="dxa"/>
            <w:vMerge w:val="continue"/>
          </w:tcPr>
          <w:p>
            <w:pPr>
              <w:rPr>
                <w:rFonts w:cs="Arial"/>
                <w:bCs/>
                <w:sz w:val="18"/>
              </w:rPr>
            </w:pPr>
          </w:p>
        </w:tc>
        <w:tc>
          <w:tcPr>
            <w:tcW w:w="993" w:type="dxa"/>
            <w:vMerge w:val="continue"/>
          </w:tcPr>
          <w:p>
            <w:pPr>
              <w:rPr>
                <w:rFonts w:cs="Arial"/>
                <w:bCs/>
                <w:sz w:val="18"/>
              </w:rPr>
            </w:pPr>
          </w:p>
        </w:tc>
        <w:tc>
          <w:tcPr>
            <w:tcW w:w="1288" w:type="dxa"/>
          </w:tcPr>
          <w:p>
            <w:pPr>
              <w:rPr>
                <w:rFonts w:cs="Arial"/>
                <w:bCs/>
                <w:sz w:val="18"/>
              </w:rPr>
            </w:pPr>
          </w:p>
        </w:tc>
        <w:tc>
          <w:tcPr>
            <w:tcW w:w="1579" w:type="dxa"/>
          </w:tcPr>
          <w:p>
            <w:pPr>
              <w:rPr>
                <w:rFonts w:cs="Arial"/>
                <w:bCs/>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exact"/>
        </w:trPr>
        <w:tc>
          <w:tcPr>
            <w:tcW w:w="879" w:type="dxa"/>
          </w:tcPr>
          <w:p>
            <w:pPr>
              <w:rPr>
                <w:rFonts w:cs="Arial"/>
                <w:bCs/>
                <w:sz w:val="18"/>
              </w:rPr>
            </w:pPr>
          </w:p>
        </w:tc>
        <w:tc>
          <w:tcPr>
            <w:tcW w:w="1210" w:type="dxa"/>
          </w:tcPr>
          <w:p>
            <w:pPr>
              <w:rPr>
                <w:rFonts w:cs="Arial"/>
                <w:bCs/>
                <w:sz w:val="18"/>
              </w:rPr>
            </w:pPr>
          </w:p>
        </w:tc>
        <w:tc>
          <w:tcPr>
            <w:tcW w:w="1440" w:type="dxa"/>
          </w:tcPr>
          <w:p>
            <w:pPr>
              <w:rPr>
                <w:rFonts w:cs="Arial"/>
                <w:bCs/>
                <w:sz w:val="18"/>
              </w:rPr>
            </w:pPr>
          </w:p>
        </w:tc>
        <w:tc>
          <w:tcPr>
            <w:tcW w:w="1139" w:type="dxa"/>
          </w:tcPr>
          <w:p>
            <w:pPr>
              <w:rPr>
                <w:rFonts w:cs="Arial"/>
                <w:bCs/>
                <w:sz w:val="18"/>
              </w:rPr>
            </w:pPr>
          </w:p>
        </w:tc>
        <w:tc>
          <w:tcPr>
            <w:tcW w:w="993" w:type="dxa"/>
          </w:tcPr>
          <w:p>
            <w:pPr>
              <w:rPr>
                <w:rFonts w:cs="Arial"/>
                <w:bCs/>
                <w:sz w:val="18"/>
              </w:rPr>
            </w:pPr>
          </w:p>
        </w:tc>
        <w:tc>
          <w:tcPr>
            <w:tcW w:w="1288" w:type="dxa"/>
          </w:tcPr>
          <w:p>
            <w:pPr>
              <w:rPr>
                <w:rFonts w:cs="Arial"/>
                <w:bCs/>
                <w:sz w:val="18"/>
              </w:rPr>
            </w:pPr>
          </w:p>
        </w:tc>
        <w:tc>
          <w:tcPr>
            <w:tcW w:w="1579" w:type="dxa"/>
          </w:tcPr>
          <w:p>
            <w:pPr>
              <w:rPr>
                <w:rFonts w:cs="Arial"/>
                <w:bCs/>
                <w:sz w:val="18"/>
              </w:rPr>
            </w:pPr>
          </w:p>
        </w:tc>
      </w:tr>
    </w:tbl>
    <w:p>
      <w:pPr>
        <w:pStyle w:val="13"/>
        <w:tabs>
          <w:tab w:val="right" w:leader="dot" w:pos="9298"/>
        </w:tabs>
        <w:jc w:val="center"/>
        <w:rPr>
          <w:rFonts w:ascii="Times New Roman" w:hAnsi="Times New Roman" w:eastAsia="宋体" w:cs="Times New Roman"/>
          <w:b/>
          <w:kern w:val="2"/>
          <w:sz w:val="28"/>
          <w:szCs w:val="28"/>
          <w:lang w:val="en-US" w:eastAsia="zh-CN" w:bidi="ar-SA"/>
        </w:rPr>
      </w:pPr>
      <w:r>
        <w:br w:type="page"/>
      </w:r>
      <w:r>
        <w:rPr>
          <w:rFonts w:hint="eastAsia"/>
          <w:b/>
          <w:sz w:val="28"/>
          <w:szCs w:val="28"/>
        </w:rPr>
        <w:t>目录</w:t>
      </w:r>
      <w:r>
        <w:rPr>
          <w:b/>
          <w:sz w:val="28"/>
          <w:szCs w:val="28"/>
        </w:rPr>
        <w:fldChar w:fldCharType="begin"/>
      </w:r>
      <w:r>
        <w:rPr>
          <w:b/>
          <w:sz w:val="28"/>
          <w:szCs w:val="28"/>
        </w:rPr>
        <w:instrText xml:space="preserve"> TOC \o "1-3" \h \z \u </w:instrText>
      </w:r>
      <w:r>
        <w:rPr>
          <w:b/>
          <w:sz w:val="28"/>
          <w:szCs w:val="28"/>
        </w:rPr>
        <w:fldChar w:fldCharType="separate"/>
      </w:r>
    </w:p>
    <w:p>
      <w:pPr>
        <w:pStyle w:val="12"/>
        <w:tabs>
          <w:tab w:val="right" w:leader="dot" w:pos="9298"/>
        </w:tabs>
      </w:pPr>
      <w:r>
        <w:rPr>
          <w:szCs w:val="28"/>
        </w:rPr>
        <w:fldChar w:fldCharType="begin"/>
      </w:r>
      <w:r>
        <w:rPr>
          <w:szCs w:val="28"/>
        </w:rPr>
        <w:instrText xml:space="preserve"> HYPERLINK \l _Toc9748 </w:instrText>
      </w:r>
      <w:r>
        <w:rPr>
          <w:szCs w:val="28"/>
        </w:rPr>
        <w:fldChar w:fldCharType="separate"/>
      </w:r>
      <w:r>
        <w:rPr>
          <w:rFonts w:hint="default" w:ascii="Arial" w:hAnsi="Arial" w:eastAsia="仿宋_GB2312"/>
          <w:bCs w:val="0"/>
          <w:szCs w:val="48"/>
        </w:rPr>
        <w:t xml:space="preserve">1 </w:t>
      </w:r>
      <w:r>
        <w:rPr>
          <w:rFonts w:ascii="Times New Roman" w:eastAsia="仿宋_GB2312"/>
          <w:bCs w:val="0"/>
          <w:szCs w:val="48"/>
        </w:rPr>
        <w:t>概述</w:t>
      </w:r>
      <w:r>
        <w:tab/>
      </w:r>
      <w:r>
        <w:fldChar w:fldCharType="begin"/>
      </w:r>
      <w:r>
        <w:instrText xml:space="preserve"> PAGEREF _Toc9748 </w:instrText>
      </w:r>
      <w:r>
        <w:fldChar w:fldCharType="separate"/>
      </w:r>
      <w:r>
        <w:t>5</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_Toc14475 </w:instrText>
      </w:r>
      <w:r>
        <w:rPr>
          <w:szCs w:val="28"/>
        </w:rPr>
        <w:fldChar w:fldCharType="separate"/>
      </w:r>
      <w:r>
        <w:rPr>
          <w:rFonts w:hint="default" w:ascii="Arial" w:hAnsi="Arial" w:eastAsia="仿宋_GB2312" w:cs="Arial"/>
          <w:szCs w:val="36"/>
        </w:rPr>
        <w:t xml:space="preserve">1.1 </w:t>
      </w:r>
      <w:r>
        <w:rPr>
          <w:rFonts w:ascii="Times New Roman" w:eastAsia="仿宋_GB2312" w:cs="Arial"/>
          <w:szCs w:val="36"/>
        </w:rPr>
        <w:t>文档目的</w:t>
      </w:r>
      <w:r>
        <w:tab/>
      </w:r>
      <w:r>
        <w:fldChar w:fldCharType="begin"/>
      </w:r>
      <w:r>
        <w:instrText xml:space="preserve"> PAGEREF _Toc14475 </w:instrText>
      </w:r>
      <w:r>
        <w:fldChar w:fldCharType="separate"/>
      </w:r>
      <w:r>
        <w:t>5</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_Toc580 </w:instrText>
      </w:r>
      <w:r>
        <w:rPr>
          <w:szCs w:val="28"/>
        </w:rPr>
        <w:fldChar w:fldCharType="separate"/>
      </w:r>
      <w:r>
        <w:rPr>
          <w:rFonts w:hint="default" w:ascii="Arial" w:hAnsi="Arial" w:eastAsia="仿宋_GB2312" w:cs="Arial"/>
          <w:szCs w:val="36"/>
        </w:rPr>
        <w:t xml:space="preserve">1.2 </w:t>
      </w:r>
      <w:r>
        <w:rPr>
          <w:rFonts w:ascii="Times New Roman" w:eastAsia="仿宋_GB2312" w:cs="Arial"/>
          <w:szCs w:val="36"/>
        </w:rPr>
        <w:t>读者范围</w:t>
      </w:r>
      <w:r>
        <w:tab/>
      </w:r>
      <w:r>
        <w:fldChar w:fldCharType="begin"/>
      </w:r>
      <w:r>
        <w:instrText xml:space="preserve"> PAGEREF _Toc580 </w:instrText>
      </w:r>
      <w:r>
        <w:fldChar w:fldCharType="separate"/>
      </w:r>
      <w:r>
        <w:t>5</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_Toc5933 </w:instrText>
      </w:r>
      <w:r>
        <w:rPr>
          <w:szCs w:val="28"/>
        </w:rPr>
        <w:fldChar w:fldCharType="separate"/>
      </w:r>
      <w:r>
        <w:rPr>
          <w:rFonts w:hint="default" w:ascii="Arial" w:hAnsi="Arial" w:eastAsia="仿宋_GB2312" w:cs="Arial"/>
          <w:szCs w:val="36"/>
        </w:rPr>
        <w:t xml:space="preserve">1.3 </w:t>
      </w:r>
      <w:r>
        <w:rPr>
          <w:rFonts w:ascii="Times New Roman" w:eastAsia="仿宋_GB2312" w:cs="Arial"/>
          <w:szCs w:val="36"/>
        </w:rPr>
        <w:t>术语定义</w:t>
      </w:r>
      <w:r>
        <w:tab/>
      </w:r>
      <w:r>
        <w:fldChar w:fldCharType="begin"/>
      </w:r>
      <w:r>
        <w:instrText xml:space="preserve"> PAGEREF _Toc5933 </w:instrText>
      </w:r>
      <w:r>
        <w:fldChar w:fldCharType="separate"/>
      </w:r>
      <w:r>
        <w:t>5</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_Toc25063 </w:instrText>
      </w:r>
      <w:r>
        <w:rPr>
          <w:szCs w:val="28"/>
        </w:rPr>
        <w:fldChar w:fldCharType="separate"/>
      </w:r>
      <w:r>
        <w:rPr>
          <w:rFonts w:hint="default" w:ascii="Arial" w:hAnsi="Arial" w:eastAsia="仿宋_GB2312" w:cs="Arial"/>
          <w:szCs w:val="36"/>
        </w:rPr>
        <w:t xml:space="preserve">1.4 </w:t>
      </w:r>
      <w:r>
        <w:rPr>
          <w:rFonts w:ascii="Times New Roman" w:eastAsia="仿宋_GB2312" w:cs="Arial"/>
          <w:szCs w:val="36"/>
        </w:rPr>
        <w:t>说明和约定</w:t>
      </w:r>
      <w:r>
        <w:tab/>
      </w:r>
      <w:r>
        <w:fldChar w:fldCharType="begin"/>
      </w:r>
      <w:r>
        <w:instrText xml:space="preserve"> PAGEREF _Toc25063 </w:instrText>
      </w:r>
      <w:r>
        <w:fldChar w:fldCharType="separate"/>
      </w:r>
      <w:r>
        <w:t>5</w:t>
      </w:r>
      <w:r>
        <w:fldChar w:fldCharType="end"/>
      </w:r>
      <w:r>
        <w:rPr>
          <w:szCs w:val="28"/>
        </w:rPr>
        <w:fldChar w:fldCharType="end"/>
      </w:r>
    </w:p>
    <w:p>
      <w:pPr>
        <w:pStyle w:val="12"/>
        <w:tabs>
          <w:tab w:val="right" w:leader="dot" w:pos="9298"/>
        </w:tabs>
      </w:pPr>
      <w:r>
        <w:rPr>
          <w:szCs w:val="28"/>
        </w:rPr>
        <w:fldChar w:fldCharType="begin"/>
      </w:r>
      <w:r>
        <w:rPr>
          <w:szCs w:val="28"/>
        </w:rPr>
        <w:instrText xml:space="preserve"> HYPERLINK \l _Toc1614 </w:instrText>
      </w:r>
      <w:r>
        <w:rPr>
          <w:szCs w:val="28"/>
        </w:rPr>
        <w:fldChar w:fldCharType="separate"/>
      </w:r>
      <w:r>
        <w:rPr>
          <w:rFonts w:hint="default" w:ascii="Arial" w:hAnsi="Arial" w:eastAsia="仿宋_GB2312"/>
          <w:bCs w:val="0"/>
          <w:szCs w:val="48"/>
        </w:rPr>
        <w:t xml:space="preserve">2 </w:t>
      </w:r>
      <w:r>
        <w:rPr>
          <w:rFonts w:ascii="Times New Roman" w:eastAsia="仿宋_GB2312"/>
          <w:bCs w:val="0"/>
          <w:szCs w:val="48"/>
        </w:rPr>
        <w:t>系统概述</w:t>
      </w:r>
      <w:r>
        <w:tab/>
      </w:r>
      <w:r>
        <w:fldChar w:fldCharType="begin"/>
      </w:r>
      <w:r>
        <w:instrText xml:space="preserve"> PAGEREF _Toc1614 </w:instrText>
      </w:r>
      <w:r>
        <w:fldChar w:fldCharType="separate"/>
      </w:r>
      <w:r>
        <w:t>6</w:t>
      </w:r>
      <w:r>
        <w:fldChar w:fldCharType="end"/>
      </w:r>
      <w:r>
        <w:rPr>
          <w:szCs w:val="28"/>
        </w:rPr>
        <w:fldChar w:fldCharType="end"/>
      </w:r>
    </w:p>
    <w:p>
      <w:pPr>
        <w:pStyle w:val="12"/>
        <w:tabs>
          <w:tab w:val="right" w:leader="dot" w:pos="9298"/>
        </w:tabs>
      </w:pPr>
      <w:r>
        <w:rPr>
          <w:szCs w:val="28"/>
        </w:rPr>
        <w:fldChar w:fldCharType="begin"/>
      </w:r>
      <w:r>
        <w:rPr>
          <w:szCs w:val="28"/>
        </w:rPr>
        <w:instrText xml:space="preserve"> HYPERLINK \l _Toc26760 </w:instrText>
      </w:r>
      <w:r>
        <w:rPr>
          <w:szCs w:val="28"/>
        </w:rPr>
        <w:fldChar w:fldCharType="separate"/>
      </w:r>
      <w:r>
        <w:rPr>
          <w:rFonts w:hint="default" w:ascii="Arial" w:hAnsi="Arial" w:eastAsia="仿宋_GB2312"/>
          <w:bCs w:val="0"/>
          <w:szCs w:val="36"/>
        </w:rPr>
        <w:t xml:space="preserve">2.1 </w:t>
      </w:r>
      <w:r>
        <w:rPr>
          <w:rFonts w:hint="eastAsia" w:ascii="Times New Roman" w:eastAsia="仿宋_GB2312"/>
          <w:szCs w:val="36"/>
        </w:rPr>
        <w:t>系统</w:t>
      </w:r>
      <w:r>
        <w:rPr>
          <w:rFonts w:ascii="Times New Roman" w:eastAsia="仿宋_GB2312"/>
          <w:szCs w:val="36"/>
        </w:rPr>
        <w:t>功能概述</w:t>
      </w:r>
      <w:r>
        <w:tab/>
      </w:r>
      <w:r>
        <w:fldChar w:fldCharType="begin"/>
      </w:r>
      <w:r>
        <w:instrText xml:space="preserve"> PAGEREF _Toc26760 </w:instrText>
      </w:r>
      <w:r>
        <w:fldChar w:fldCharType="separate"/>
      </w:r>
      <w:r>
        <w:t>6</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_Toc31739 </w:instrText>
      </w:r>
      <w:r>
        <w:rPr>
          <w:szCs w:val="28"/>
        </w:rPr>
        <w:fldChar w:fldCharType="separate"/>
      </w:r>
      <w:r>
        <w:rPr>
          <w:rFonts w:hint="default" w:ascii="Arial" w:hAnsi="Arial" w:eastAsia="仿宋_GB2312"/>
          <w:i w:val="0"/>
          <w:szCs w:val="28"/>
        </w:rPr>
        <w:t xml:space="preserve">2.1.1 </w:t>
      </w:r>
      <w:r>
        <w:rPr>
          <w:rFonts w:hint="eastAsia" w:eastAsia="仿宋_GB2312"/>
          <w:szCs w:val="28"/>
        </w:rPr>
        <w:t>登录系统</w:t>
      </w:r>
      <w:r>
        <w:tab/>
      </w:r>
      <w:r>
        <w:fldChar w:fldCharType="begin"/>
      </w:r>
      <w:r>
        <w:instrText xml:space="preserve"> PAGEREF _Toc31739 </w:instrText>
      </w:r>
      <w:r>
        <w:fldChar w:fldCharType="separate"/>
      </w:r>
      <w:r>
        <w:t>6</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_Toc23021 </w:instrText>
      </w:r>
      <w:r>
        <w:rPr>
          <w:szCs w:val="28"/>
        </w:rPr>
        <w:fldChar w:fldCharType="separate"/>
      </w:r>
      <w:r>
        <w:rPr>
          <w:rFonts w:hint="default" w:ascii="Arial" w:hAnsi="Arial" w:eastAsia="仿宋_GB2312" w:cs="Arial"/>
          <w:bCs w:val="0"/>
          <w:szCs w:val="36"/>
        </w:rPr>
        <w:t xml:space="preserve">2.2 </w:t>
      </w:r>
      <w:r>
        <w:rPr>
          <w:rFonts w:hint="eastAsia" w:ascii="Times New Roman" w:hAnsi="Times New Roman" w:eastAsia="仿宋_GB2312" w:cs="Arial"/>
          <w:szCs w:val="36"/>
        </w:rPr>
        <w:t>投保单录入</w:t>
      </w:r>
      <w:r>
        <w:tab/>
      </w:r>
      <w:r>
        <w:fldChar w:fldCharType="begin"/>
      </w:r>
      <w:r>
        <w:instrText xml:space="preserve"> PAGEREF _Toc23021 </w:instrText>
      </w:r>
      <w:r>
        <w:fldChar w:fldCharType="separate"/>
      </w:r>
      <w:r>
        <w:t>8</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_Toc25384 </w:instrText>
      </w:r>
      <w:r>
        <w:rPr>
          <w:szCs w:val="28"/>
        </w:rPr>
        <w:fldChar w:fldCharType="separate"/>
      </w:r>
      <w:r>
        <w:rPr>
          <w:rFonts w:hint="default" w:ascii="Arial" w:hAnsi="Arial" w:eastAsia="仿宋_GB2312"/>
          <w:i w:val="0"/>
          <w:szCs w:val="28"/>
        </w:rPr>
        <w:t xml:space="preserve">2.2.1 </w:t>
      </w:r>
      <w:r>
        <w:rPr>
          <w:rFonts w:eastAsia="仿宋_GB2312"/>
          <w:szCs w:val="28"/>
        </w:rPr>
        <w:t>功能说明</w:t>
      </w:r>
      <w:r>
        <w:tab/>
      </w:r>
      <w:r>
        <w:fldChar w:fldCharType="begin"/>
      </w:r>
      <w:r>
        <w:instrText xml:space="preserve"> PAGEREF _Toc25384 </w:instrText>
      </w:r>
      <w:r>
        <w:fldChar w:fldCharType="separate"/>
      </w:r>
      <w:r>
        <w:t>8</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_Toc23155 </w:instrText>
      </w:r>
      <w:r>
        <w:rPr>
          <w:szCs w:val="28"/>
        </w:rPr>
        <w:fldChar w:fldCharType="separate"/>
      </w:r>
      <w:r>
        <w:rPr>
          <w:rFonts w:hint="default" w:ascii="Arial" w:hAnsi="Arial" w:eastAsia="仿宋_GB2312"/>
          <w:i w:val="0"/>
          <w:szCs w:val="28"/>
        </w:rPr>
        <w:t xml:space="preserve">2.2.2 </w:t>
      </w:r>
      <w:r>
        <w:rPr>
          <w:rFonts w:eastAsia="仿宋_GB2312"/>
          <w:szCs w:val="28"/>
        </w:rPr>
        <w:t>功能介绍</w:t>
      </w:r>
      <w:r>
        <w:tab/>
      </w:r>
      <w:r>
        <w:fldChar w:fldCharType="begin"/>
      </w:r>
      <w:r>
        <w:instrText xml:space="preserve"> PAGEREF _Toc23155 </w:instrText>
      </w:r>
      <w:r>
        <w:fldChar w:fldCharType="separate"/>
      </w:r>
      <w:r>
        <w:t>8</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_Toc1805 </w:instrText>
      </w:r>
      <w:r>
        <w:rPr>
          <w:szCs w:val="28"/>
        </w:rPr>
        <w:fldChar w:fldCharType="separate"/>
      </w:r>
      <w:r>
        <w:rPr>
          <w:rFonts w:hint="default" w:ascii="Arial" w:hAnsi="Arial"/>
          <w:szCs w:val="36"/>
        </w:rPr>
        <w:t xml:space="preserve">2.3 </w:t>
      </w:r>
      <w:r>
        <w:rPr>
          <w:rFonts w:hint="eastAsia"/>
        </w:rPr>
        <w:t>影像上传</w:t>
      </w:r>
      <w:r>
        <w:tab/>
      </w:r>
      <w:r>
        <w:fldChar w:fldCharType="begin"/>
      </w:r>
      <w:r>
        <w:instrText xml:space="preserve"> PAGEREF _Toc1805 </w:instrText>
      </w:r>
      <w:r>
        <w:fldChar w:fldCharType="separate"/>
      </w:r>
      <w:r>
        <w:t>15</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_Toc10108 </w:instrText>
      </w:r>
      <w:r>
        <w:rPr>
          <w:szCs w:val="28"/>
        </w:rPr>
        <w:fldChar w:fldCharType="separate"/>
      </w:r>
      <w:r>
        <w:rPr>
          <w:rFonts w:hint="default" w:ascii="Arial" w:hAnsi="Arial" w:eastAsia="仿宋_GB2312"/>
          <w:i w:val="0"/>
          <w:szCs w:val="28"/>
        </w:rPr>
        <w:t xml:space="preserve">2.3.1 </w:t>
      </w:r>
      <w:r>
        <w:rPr>
          <w:rFonts w:eastAsia="仿宋_GB2312"/>
          <w:szCs w:val="28"/>
        </w:rPr>
        <w:t>功能说明</w:t>
      </w:r>
      <w:r>
        <w:tab/>
      </w:r>
      <w:r>
        <w:fldChar w:fldCharType="begin"/>
      </w:r>
      <w:r>
        <w:instrText xml:space="preserve"> PAGEREF _Toc10108 </w:instrText>
      </w:r>
      <w:r>
        <w:fldChar w:fldCharType="separate"/>
      </w:r>
      <w:r>
        <w:t>15</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_Toc31337 </w:instrText>
      </w:r>
      <w:r>
        <w:rPr>
          <w:szCs w:val="28"/>
        </w:rPr>
        <w:fldChar w:fldCharType="separate"/>
      </w:r>
      <w:r>
        <w:rPr>
          <w:rFonts w:hint="default" w:ascii="Arial" w:hAnsi="Arial" w:eastAsia="仿宋_GB2312"/>
          <w:i w:val="0"/>
          <w:szCs w:val="28"/>
        </w:rPr>
        <w:t xml:space="preserve">2.3.2 </w:t>
      </w:r>
      <w:r>
        <w:rPr>
          <w:rFonts w:eastAsia="仿宋_GB2312"/>
          <w:szCs w:val="28"/>
        </w:rPr>
        <w:t>功能介绍</w:t>
      </w:r>
      <w:r>
        <w:tab/>
      </w:r>
      <w:r>
        <w:fldChar w:fldCharType="begin"/>
      </w:r>
      <w:r>
        <w:instrText xml:space="preserve"> PAGEREF _Toc31337 </w:instrText>
      </w:r>
      <w:r>
        <w:fldChar w:fldCharType="separate"/>
      </w:r>
      <w:r>
        <w:t>15</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_Toc12327 </w:instrText>
      </w:r>
      <w:r>
        <w:rPr>
          <w:szCs w:val="28"/>
        </w:rPr>
        <w:fldChar w:fldCharType="separate"/>
      </w:r>
      <w:r>
        <w:rPr>
          <w:rFonts w:hint="default" w:ascii="Arial" w:hAnsi="Arial"/>
          <w:szCs w:val="36"/>
        </w:rPr>
        <w:t xml:space="preserve">2.4 </w:t>
      </w:r>
      <w:r>
        <w:t>人员清单导入</w:t>
      </w:r>
      <w:r>
        <w:tab/>
      </w:r>
      <w:r>
        <w:fldChar w:fldCharType="begin"/>
      </w:r>
      <w:r>
        <w:instrText xml:space="preserve"> PAGEREF _Toc12327 </w:instrText>
      </w:r>
      <w:r>
        <w:fldChar w:fldCharType="separate"/>
      </w:r>
      <w:r>
        <w:t>16</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_Toc25037 </w:instrText>
      </w:r>
      <w:r>
        <w:rPr>
          <w:szCs w:val="28"/>
        </w:rPr>
        <w:fldChar w:fldCharType="separate"/>
      </w:r>
      <w:r>
        <w:rPr>
          <w:rFonts w:hint="default" w:ascii="Arial" w:hAnsi="Arial" w:eastAsia="仿宋_GB2312"/>
          <w:i w:val="0"/>
          <w:szCs w:val="28"/>
        </w:rPr>
        <w:t xml:space="preserve">2.4.1 </w:t>
      </w:r>
      <w:r>
        <w:rPr>
          <w:rFonts w:eastAsia="仿宋_GB2312"/>
          <w:szCs w:val="28"/>
        </w:rPr>
        <w:t>功能说明</w:t>
      </w:r>
      <w:r>
        <w:tab/>
      </w:r>
      <w:r>
        <w:fldChar w:fldCharType="begin"/>
      </w:r>
      <w:r>
        <w:instrText xml:space="preserve"> PAGEREF _Toc25037 </w:instrText>
      </w:r>
      <w:r>
        <w:fldChar w:fldCharType="separate"/>
      </w:r>
      <w:r>
        <w:t>16</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_Toc30952 </w:instrText>
      </w:r>
      <w:r>
        <w:rPr>
          <w:szCs w:val="28"/>
        </w:rPr>
        <w:fldChar w:fldCharType="separate"/>
      </w:r>
      <w:r>
        <w:rPr>
          <w:rFonts w:hint="default" w:ascii="Arial" w:hAnsi="Arial" w:eastAsia="仿宋_GB2312"/>
          <w:i w:val="0"/>
          <w:szCs w:val="28"/>
        </w:rPr>
        <w:t xml:space="preserve">2.4.2 </w:t>
      </w:r>
      <w:r>
        <w:rPr>
          <w:rFonts w:eastAsia="仿宋_GB2312"/>
          <w:szCs w:val="28"/>
        </w:rPr>
        <w:t>功能介绍</w:t>
      </w:r>
      <w:r>
        <w:tab/>
      </w:r>
      <w:r>
        <w:fldChar w:fldCharType="begin"/>
      </w:r>
      <w:r>
        <w:instrText xml:space="preserve"> PAGEREF _Toc30952 </w:instrText>
      </w:r>
      <w:r>
        <w:fldChar w:fldCharType="separate"/>
      </w:r>
      <w:r>
        <w:t>16</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_Toc357 </w:instrText>
      </w:r>
      <w:r>
        <w:rPr>
          <w:szCs w:val="28"/>
        </w:rPr>
        <w:fldChar w:fldCharType="separate"/>
      </w:r>
      <w:r>
        <w:rPr>
          <w:rFonts w:hint="default" w:ascii="Arial" w:hAnsi="Arial" w:eastAsia="宋体"/>
          <w:szCs w:val="36"/>
          <w:lang w:eastAsia="zh-CN"/>
        </w:rPr>
        <w:t xml:space="preserve">2.5 </w:t>
      </w:r>
      <w:r>
        <w:rPr>
          <w:rFonts w:hint="eastAsia"/>
          <w:lang w:eastAsia="zh-CN"/>
        </w:rPr>
        <w:t>车辆清单导入</w:t>
      </w:r>
      <w:r>
        <w:tab/>
      </w:r>
      <w:r>
        <w:fldChar w:fldCharType="begin"/>
      </w:r>
      <w:r>
        <w:instrText xml:space="preserve"> PAGEREF _Toc357 </w:instrText>
      </w:r>
      <w:r>
        <w:fldChar w:fldCharType="separate"/>
      </w:r>
      <w:r>
        <w:t>18</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_Toc18615 </w:instrText>
      </w:r>
      <w:r>
        <w:rPr>
          <w:szCs w:val="28"/>
        </w:rPr>
        <w:fldChar w:fldCharType="separate"/>
      </w:r>
      <w:r>
        <w:rPr>
          <w:rFonts w:hint="default" w:ascii="Arial" w:hAnsi="Arial" w:eastAsia="仿宋_GB2312"/>
          <w:i w:val="0"/>
          <w:szCs w:val="28"/>
        </w:rPr>
        <w:t xml:space="preserve">2.5.1 </w:t>
      </w:r>
      <w:r>
        <w:rPr>
          <w:rFonts w:eastAsia="仿宋_GB2312"/>
          <w:szCs w:val="28"/>
        </w:rPr>
        <w:t>功能说明</w:t>
      </w:r>
      <w:r>
        <w:tab/>
      </w:r>
      <w:r>
        <w:fldChar w:fldCharType="begin"/>
      </w:r>
      <w:r>
        <w:instrText xml:space="preserve"> PAGEREF _Toc18615 </w:instrText>
      </w:r>
      <w:r>
        <w:fldChar w:fldCharType="separate"/>
      </w:r>
      <w:r>
        <w:t>18</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_Toc12755 </w:instrText>
      </w:r>
      <w:r>
        <w:rPr>
          <w:szCs w:val="28"/>
        </w:rPr>
        <w:fldChar w:fldCharType="separate"/>
      </w:r>
      <w:r>
        <w:rPr>
          <w:rFonts w:hint="default" w:ascii="Arial" w:hAnsi="Arial"/>
          <w:i w:val="0"/>
          <w:szCs w:val="28"/>
          <w:lang w:eastAsia="zh-CN"/>
        </w:rPr>
        <w:t xml:space="preserve">2.5.2 </w:t>
      </w:r>
      <w:r>
        <w:rPr>
          <w:rFonts w:eastAsia="仿宋_GB2312"/>
          <w:szCs w:val="28"/>
        </w:rPr>
        <w:t>功能介绍</w:t>
      </w:r>
      <w:r>
        <w:tab/>
      </w:r>
      <w:r>
        <w:fldChar w:fldCharType="begin"/>
      </w:r>
      <w:r>
        <w:instrText xml:space="preserve"> PAGEREF _Toc12755 </w:instrText>
      </w:r>
      <w:r>
        <w:fldChar w:fldCharType="separate"/>
      </w:r>
      <w:r>
        <w:t>18</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_Toc21750 </w:instrText>
      </w:r>
      <w:r>
        <w:rPr>
          <w:szCs w:val="28"/>
        </w:rPr>
        <w:fldChar w:fldCharType="separate"/>
      </w:r>
      <w:r>
        <w:rPr>
          <w:rFonts w:hint="default" w:ascii="Arial" w:hAnsi="Arial" w:eastAsia="宋体"/>
          <w:szCs w:val="36"/>
          <w:lang w:eastAsia="zh-CN"/>
        </w:rPr>
        <w:t xml:space="preserve">2.6 </w:t>
      </w:r>
      <w:r>
        <w:t>缴费管理</w:t>
      </w:r>
      <w:r>
        <w:tab/>
      </w:r>
      <w:r>
        <w:fldChar w:fldCharType="begin"/>
      </w:r>
      <w:r>
        <w:instrText xml:space="preserve"> PAGEREF _Toc21750 </w:instrText>
      </w:r>
      <w:r>
        <w:fldChar w:fldCharType="separate"/>
      </w:r>
      <w:r>
        <w:t>20</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_Toc15641 </w:instrText>
      </w:r>
      <w:r>
        <w:rPr>
          <w:szCs w:val="28"/>
        </w:rPr>
        <w:fldChar w:fldCharType="separate"/>
      </w:r>
      <w:r>
        <w:rPr>
          <w:rFonts w:hint="default" w:ascii="Arial" w:hAnsi="Arial" w:eastAsia="仿宋_GB2312"/>
          <w:i w:val="0"/>
          <w:szCs w:val="28"/>
        </w:rPr>
        <w:t xml:space="preserve">2.6.1 </w:t>
      </w:r>
      <w:r>
        <w:rPr>
          <w:rFonts w:eastAsia="仿宋_GB2312"/>
          <w:szCs w:val="28"/>
        </w:rPr>
        <w:t>功能说明</w:t>
      </w:r>
      <w:r>
        <w:tab/>
      </w:r>
      <w:r>
        <w:fldChar w:fldCharType="begin"/>
      </w:r>
      <w:r>
        <w:instrText xml:space="preserve"> PAGEREF _Toc15641 </w:instrText>
      </w:r>
      <w:r>
        <w:fldChar w:fldCharType="separate"/>
      </w:r>
      <w:r>
        <w:t>20</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_Toc2361 </w:instrText>
      </w:r>
      <w:r>
        <w:rPr>
          <w:szCs w:val="28"/>
        </w:rPr>
        <w:fldChar w:fldCharType="separate"/>
      </w:r>
      <w:r>
        <w:rPr>
          <w:rFonts w:hint="default" w:ascii="Arial" w:hAnsi="Arial" w:eastAsia="仿宋_GB2312"/>
          <w:i w:val="0"/>
          <w:szCs w:val="28"/>
        </w:rPr>
        <w:t xml:space="preserve">2.6.2 </w:t>
      </w:r>
      <w:r>
        <w:rPr>
          <w:rFonts w:eastAsia="仿宋_GB2312"/>
          <w:szCs w:val="28"/>
        </w:rPr>
        <w:t>功能介绍</w:t>
      </w:r>
      <w:r>
        <w:tab/>
      </w:r>
      <w:r>
        <w:fldChar w:fldCharType="begin"/>
      </w:r>
      <w:r>
        <w:instrText xml:space="preserve"> PAGEREF _Toc2361 </w:instrText>
      </w:r>
      <w:r>
        <w:fldChar w:fldCharType="separate"/>
      </w:r>
      <w:r>
        <w:t>20</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_Toc27563 </w:instrText>
      </w:r>
      <w:r>
        <w:rPr>
          <w:szCs w:val="28"/>
        </w:rPr>
        <w:fldChar w:fldCharType="separate"/>
      </w:r>
      <w:r>
        <w:rPr>
          <w:rFonts w:hint="default" w:ascii="Arial" w:hAnsi="Arial"/>
          <w:szCs w:val="36"/>
        </w:rPr>
        <w:t xml:space="preserve">2.7 </w:t>
      </w:r>
      <w:r>
        <w:t>批改管理</w:t>
      </w:r>
      <w:r>
        <w:tab/>
      </w:r>
      <w:r>
        <w:fldChar w:fldCharType="begin"/>
      </w:r>
      <w:r>
        <w:instrText xml:space="preserve"> PAGEREF _Toc27563 </w:instrText>
      </w:r>
      <w:r>
        <w:fldChar w:fldCharType="separate"/>
      </w:r>
      <w:r>
        <w:t>21</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_Toc12947 </w:instrText>
      </w:r>
      <w:r>
        <w:rPr>
          <w:szCs w:val="28"/>
        </w:rPr>
        <w:fldChar w:fldCharType="separate"/>
      </w:r>
      <w:r>
        <w:rPr>
          <w:rFonts w:hint="default" w:ascii="Arial" w:hAnsi="Arial" w:eastAsia="仿宋_GB2312"/>
          <w:i w:val="0"/>
          <w:szCs w:val="28"/>
        </w:rPr>
        <w:t xml:space="preserve">2.7.1 </w:t>
      </w:r>
      <w:r>
        <w:rPr>
          <w:rFonts w:eastAsia="仿宋_GB2312"/>
          <w:szCs w:val="28"/>
        </w:rPr>
        <w:t>功能说明</w:t>
      </w:r>
      <w:r>
        <w:tab/>
      </w:r>
      <w:r>
        <w:fldChar w:fldCharType="begin"/>
      </w:r>
      <w:r>
        <w:instrText xml:space="preserve"> PAGEREF _Toc12947 </w:instrText>
      </w:r>
      <w:r>
        <w:fldChar w:fldCharType="separate"/>
      </w:r>
      <w:r>
        <w:t>21</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_Toc2834 </w:instrText>
      </w:r>
      <w:r>
        <w:rPr>
          <w:szCs w:val="28"/>
        </w:rPr>
        <w:fldChar w:fldCharType="separate"/>
      </w:r>
      <w:r>
        <w:rPr>
          <w:rFonts w:hint="default" w:ascii="Arial" w:hAnsi="Arial" w:eastAsia="仿宋_GB2312"/>
          <w:i w:val="0"/>
          <w:szCs w:val="28"/>
        </w:rPr>
        <w:t xml:space="preserve">2.7.2 </w:t>
      </w:r>
      <w:r>
        <w:rPr>
          <w:rFonts w:eastAsia="仿宋_GB2312"/>
          <w:szCs w:val="28"/>
        </w:rPr>
        <w:t>功能介绍</w:t>
      </w:r>
      <w:r>
        <w:tab/>
      </w:r>
      <w:r>
        <w:fldChar w:fldCharType="begin"/>
      </w:r>
      <w:r>
        <w:instrText xml:space="preserve"> PAGEREF _Toc2834 </w:instrText>
      </w:r>
      <w:r>
        <w:fldChar w:fldCharType="separate"/>
      </w:r>
      <w:r>
        <w:t>21</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_Toc21021 </w:instrText>
      </w:r>
      <w:r>
        <w:rPr>
          <w:szCs w:val="28"/>
        </w:rPr>
        <w:fldChar w:fldCharType="separate"/>
      </w:r>
      <w:r>
        <w:rPr>
          <w:rFonts w:hint="default" w:ascii="Arial" w:hAnsi="Arial"/>
          <w:szCs w:val="36"/>
        </w:rPr>
        <w:t xml:space="preserve">2.8 </w:t>
      </w:r>
      <w:r>
        <w:t>高级查询</w:t>
      </w:r>
      <w:r>
        <w:tab/>
      </w:r>
      <w:r>
        <w:fldChar w:fldCharType="begin"/>
      </w:r>
      <w:r>
        <w:instrText xml:space="preserve"> PAGEREF _Toc21021 </w:instrText>
      </w:r>
      <w:r>
        <w:fldChar w:fldCharType="separate"/>
      </w:r>
      <w:r>
        <w:t>24</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_Toc17112 </w:instrText>
      </w:r>
      <w:r>
        <w:rPr>
          <w:szCs w:val="28"/>
        </w:rPr>
        <w:fldChar w:fldCharType="separate"/>
      </w:r>
      <w:r>
        <w:rPr>
          <w:rFonts w:hint="default" w:ascii="Arial" w:hAnsi="Arial" w:eastAsia="仿宋_GB2312"/>
          <w:i w:val="0"/>
          <w:szCs w:val="28"/>
        </w:rPr>
        <w:t xml:space="preserve">2.8.1 </w:t>
      </w:r>
      <w:r>
        <w:rPr>
          <w:rFonts w:eastAsia="仿宋_GB2312"/>
          <w:szCs w:val="28"/>
        </w:rPr>
        <w:t>功能说明</w:t>
      </w:r>
      <w:r>
        <w:tab/>
      </w:r>
      <w:r>
        <w:fldChar w:fldCharType="begin"/>
      </w:r>
      <w:r>
        <w:instrText xml:space="preserve"> PAGEREF _Toc17112 </w:instrText>
      </w:r>
      <w:r>
        <w:fldChar w:fldCharType="separate"/>
      </w:r>
      <w:r>
        <w:t>24</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_Toc14534 </w:instrText>
      </w:r>
      <w:r>
        <w:rPr>
          <w:szCs w:val="28"/>
        </w:rPr>
        <w:fldChar w:fldCharType="separate"/>
      </w:r>
      <w:r>
        <w:rPr>
          <w:rFonts w:hint="default" w:ascii="Arial" w:hAnsi="Arial" w:eastAsia="仿宋_GB2312"/>
          <w:i w:val="0"/>
          <w:szCs w:val="28"/>
        </w:rPr>
        <w:t xml:space="preserve">2.8.2 </w:t>
      </w:r>
      <w:r>
        <w:rPr>
          <w:rFonts w:eastAsia="仿宋_GB2312"/>
          <w:szCs w:val="28"/>
        </w:rPr>
        <w:t>功能介绍</w:t>
      </w:r>
      <w:r>
        <w:tab/>
      </w:r>
      <w:r>
        <w:fldChar w:fldCharType="begin"/>
      </w:r>
      <w:r>
        <w:instrText xml:space="preserve"> PAGEREF _Toc14534 </w:instrText>
      </w:r>
      <w:r>
        <w:fldChar w:fldCharType="separate"/>
      </w:r>
      <w:r>
        <w:t>24</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_Toc29067 </w:instrText>
      </w:r>
      <w:r>
        <w:rPr>
          <w:szCs w:val="28"/>
        </w:rPr>
        <w:fldChar w:fldCharType="separate"/>
      </w:r>
      <w:r>
        <w:rPr>
          <w:rFonts w:hint="default" w:ascii="Arial" w:hAnsi="Arial"/>
          <w:szCs w:val="36"/>
        </w:rPr>
        <w:t xml:space="preserve">2.9 </w:t>
      </w:r>
      <w:r>
        <w:rPr>
          <w:rFonts w:hint="eastAsia"/>
        </w:rPr>
        <w:t>单证</w:t>
      </w:r>
      <w:r>
        <w:t>打印</w:t>
      </w:r>
      <w:r>
        <w:tab/>
      </w:r>
      <w:r>
        <w:fldChar w:fldCharType="begin"/>
      </w:r>
      <w:r>
        <w:instrText xml:space="preserve"> PAGEREF _Toc29067 </w:instrText>
      </w:r>
      <w:r>
        <w:fldChar w:fldCharType="separate"/>
      </w:r>
      <w:r>
        <w:t>30</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_Toc24253 </w:instrText>
      </w:r>
      <w:r>
        <w:rPr>
          <w:szCs w:val="28"/>
        </w:rPr>
        <w:fldChar w:fldCharType="separate"/>
      </w:r>
      <w:r>
        <w:rPr>
          <w:rFonts w:hint="default" w:ascii="Arial" w:hAnsi="Arial" w:eastAsia="仿宋_GB2312"/>
          <w:i w:val="0"/>
          <w:szCs w:val="28"/>
        </w:rPr>
        <w:t xml:space="preserve">2.9.1 </w:t>
      </w:r>
      <w:r>
        <w:rPr>
          <w:rFonts w:eastAsia="仿宋_GB2312"/>
          <w:szCs w:val="28"/>
        </w:rPr>
        <w:t>功能说明</w:t>
      </w:r>
      <w:r>
        <w:tab/>
      </w:r>
      <w:r>
        <w:fldChar w:fldCharType="begin"/>
      </w:r>
      <w:r>
        <w:instrText xml:space="preserve"> PAGEREF _Toc24253 </w:instrText>
      </w:r>
      <w:r>
        <w:fldChar w:fldCharType="separate"/>
      </w:r>
      <w:r>
        <w:t>30</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_Toc23320 </w:instrText>
      </w:r>
      <w:r>
        <w:rPr>
          <w:szCs w:val="28"/>
        </w:rPr>
        <w:fldChar w:fldCharType="separate"/>
      </w:r>
      <w:r>
        <w:rPr>
          <w:rFonts w:hint="default" w:ascii="Arial" w:hAnsi="Arial" w:eastAsia="仿宋_GB2312"/>
          <w:i w:val="0"/>
          <w:szCs w:val="28"/>
        </w:rPr>
        <w:t xml:space="preserve">2.9.2 </w:t>
      </w:r>
      <w:r>
        <w:rPr>
          <w:rFonts w:eastAsia="仿宋_GB2312"/>
          <w:szCs w:val="28"/>
        </w:rPr>
        <w:t>功能说明</w:t>
      </w:r>
      <w:r>
        <w:tab/>
      </w:r>
      <w:r>
        <w:fldChar w:fldCharType="begin"/>
      </w:r>
      <w:r>
        <w:instrText xml:space="preserve"> PAGEREF _Toc23320 </w:instrText>
      </w:r>
      <w:r>
        <w:fldChar w:fldCharType="separate"/>
      </w:r>
      <w:r>
        <w:t>30</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_Toc15076 </w:instrText>
      </w:r>
      <w:r>
        <w:rPr>
          <w:szCs w:val="28"/>
        </w:rPr>
        <w:fldChar w:fldCharType="separate"/>
      </w:r>
      <w:r>
        <w:rPr>
          <w:rFonts w:hint="default" w:ascii="Arial" w:hAnsi="Arial" w:eastAsia="仿宋_GB2312" w:cs="Arial"/>
          <w:bCs w:val="0"/>
          <w:szCs w:val="36"/>
        </w:rPr>
        <w:t xml:space="preserve">2.10 </w:t>
      </w:r>
      <w:r>
        <w:t>支付对象修改</w:t>
      </w:r>
      <w:r>
        <w:tab/>
      </w:r>
      <w:r>
        <w:fldChar w:fldCharType="begin"/>
      </w:r>
      <w:r>
        <w:instrText xml:space="preserve"> PAGEREF _Toc15076 </w:instrText>
      </w:r>
      <w:r>
        <w:fldChar w:fldCharType="separate"/>
      </w:r>
      <w:r>
        <w:t>31</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_Toc31446 </w:instrText>
      </w:r>
      <w:r>
        <w:rPr>
          <w:szCs w:val="28"/>
        </w:rPr>
        <w:fldChar w:fldCharType="separate"/>
      </w:r>
      <w:r>
        <w:rPr>
          <w:rFonts w:hint="default" w:ascii="Arial" w:hAnsi="Arial" w:eastAsia="仿宋_GB2312"/>
          <w:i w:val="0"/>
          <w:szCs w:val="28"/>
        </w:rPr>
        <w:t xml:space="preserve">2.10.1 </w:t>
      </w:r>
      <w:r>
        <w:rPr>
          <w:rFonts w:eastAsia="仿宋_GB2312"/>
          <w:szCs w:val="28"/>
        </w:rPr>
        <w:t>功能说明</w:t>
      </w:r>
      <w:r>
        <w:tab/>
      </w:r>
      <w:r>
        <w:fldChar w:fldCharType="begin"/>
      </w:r>
      <w:r>
        <w:instrText xml:space="preserve"> PAGEREF _Toc31446 </w:instrText>
      </w:r>
      <w:r>
        <w:fldChar w:fldCharType="separate"/>
      </w:r>
      <w:r>
        <w:t>31</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_Toc17204 </w:instrText>
      </w:r>
      <w:r>
        <w:rPr>
          <w:szCs w:val="28"/>
        </w:rPr>
        <w:fldChar w:fldCharType="separate"/>
      </w:r>
      <w:r>
        <w:rPr>
          <w:rFonts w:hint="default" w:ascii="Arial" w:hAnsi="Arial" w:eastAsia="仿宋_GB2312"/>
          <w:i w:val="0"/>
          <w:szCs w:val="28"/>
        </w:rPr>
        <w:t xml:space="preserve">2.10.2 </w:t>
      </w:r>
      <w:r>
        <w:rPr>
          <w:rFonts w:eastAsia="仿宋_GB2312"/>
          <w:szCs w:val="28"/>
        </w:rPr>
        <w:t>功能介绍</w:t>
      </w:r>
      <w:r>
        <w:tab/>
      </w:r>
      <w:r>
        <w:fldChar w:fldCharType="begin"/>
      </w:r>
      <w:r>
        <w:instrText xml:space="preserve"> PAGEREF _Toc17204 </w:instrText>
      </w:r>
      <w:r>
        <w:fldChar w:fldCharType="separate"/>
      </w:r>
      <w:r>
        <w:t>31</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_Toc7914 </w:instrText>
      </w:r>
      <w:r>
        <w:rPr>
          <w:szCs w:val="28"/>
        </w:rPr>
        <w:fldChar w:fldCharType="separate"/>
      </w:r>
      <w:r>
        <w:rPr>
          <w:rFonts w:hint="default" w:ascii="Arial" w:hAnsi="Arial"/>
          <w:szCs w:val="36"/>
        </w:rPr>
        <w:t xml:space="preserve">2.11 </w:t>
      </w:r>
      <w:r>
        <w:rPr>
          <w:rFonts w:hint="eastAsia"/>
          <w:lang w:eastAsia="zh-CN"/>
        </w:rPr>
        <w:t>续保</w:t>
      </w:r>
      <w:r>
        <w:tab/>
      </w:r>
      <w:r>
        <w:fldChar w:fldCharType="begin"/>
      </w:r>
      <w:r>
        <w:instrText xml:space="preserve"> PAGEREF _Toc7914 </w:instrText>
      </w:r>
      <w:r>
        <w:fldChar w:fldCharType="separate"/>
      </w:r>
      <w:r>
        <w:t>32</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_Toc17667 </w:instrText>
      </w:r>
      <w:r>
        <w:rPr>
          <w:szCs w:val="28"/>
        </w:rPr>
        <w:fldChar w:fldCharType="separate"/>
      </w:r>
      <w:r>
        <w:rPr>
          <w:rFonts w:hint="default" w:ascii="Arial" w:hAnsi="Arial" w:eastAsia="仿宋_GB2312"/>
          <w:i w:val="0"/>
          <w:szCs w:val="28"/>
        </w:rPr>
        <w:t xml:space="preserve">2.11.1 </w:t>
      </w:r>
      <w:r>
        <w:rPr>
          <w:rFonts w:eastAsia="仿宋_GB2312"/>
          <w:szCs w:val="28"/>
        </w:rPr>
        <w:t>功能说明</w:t>
      </w:r>
      <w:r>
        <w:tab/>
      </w:r>
      <w:r>
        <w:fldChar w:fldCharType="begin"/>
      </w:r>
      <w:r>
        <w:instrText xml:space="preserve"> PAGEREF _Toc17667 </w:instrText>
      </w:r>
      <w:r>
        <w:fldChar w:fldCharType="separate"/>
      </w:r>
      <w:r>
        <w:t>32</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_Toc24573 </w:instrText>
      </w:r>
      <w:r>
        <w:rPr>
          <w:szCs w:val="28"/>
        </w:rPr>
        <w:fldChar w:fldCharType="separate"/>
      </w:r>
      <w:r>
        <w:rPr>
          <w:rFonts w:hint="default" w:ascii="Arial" w:hAnsi="Arial" w:eastAsia="仿宋_GB2312"/>
          <w:i w:val="0"/>
          <w:szCs w:val="28"/>
        </w:rPr>
        <w:t xml:space="preserve">2.11.2 </w:t>
      </w:r>
      <w:r>
        <w:rPr>
          <w:rFonts w:eastAsia="仿宋_GB2312"/>
          <w:szCs w:val="28"/>
        </w:rPr>
        <w:t>功能介绍</w:t>
      </w:r>
      <w:r>
        <w:tab/>
      </w:r>
      <w:r>
        <w:fldChar w:fldCharType="begin"/>
      </w:r>
      <w:r>
        <w:instrText xml:space="preserve"> PAGEREF _Toc24573 </w:instrText>
      </w:r>
      <w:r>
        <w:fldChar w:fldCharType="separate"/>
      </w:r>
      <w:r>
        <w:t>32</w:t>
      </w:r>
      <w:r>
        <w:fldChar w:fldCharType="end"/>
      </w:r>
      <w:r>
        <w:rPr>
          <w:szCs w:val="28"/>
        </w:rPr>
        <w:fldChar w:fldCharType="end"/>
      </w:r>
    </w:p>
    <w:p>
      <w:pPr>
        <w:pStyle w:val="13"/>
        <w:tabs>
          <w:tab w:val="right" w:leader="dot" w:pos="9298"/>
        </w:tabs>
      </w:pPr>
      <w:r>
        <w:rPr>
          <w:szCs w:val="28"/>
        </w:rPr>
        <w:fldChar w:fldCharType="begin"/>
      </w:r>
      <w:r>
        <w:rPr>
          <w:szCs w:val="28"/>
        </w:rPr>
        <w:instrText xml:space="preserve"> HYPERLINK \l _Toc31860 </w:instrText>
      </w:r>
      <w:r>
        <w:rPr>
          <w:szCs w:val="28"/>
        </w:rPr>
        <w:fldChar w:fldCharType="separate"/>
      </w:r>
      <w:r>
        <w:rPr>
          <w:rFonts w:hint="default" w:ascii="Arial" w:hAnsi="Arial"/>
          <w:szCs w:val="36"/>
          <w:lang w:eastAsia="zh-CN"/>
        </w:rPr>
        <w:t xml:space="preserve">2.12 </w:t>
      </w:r>
      <w:r>
        <w:rPr>
          <w:rFonts w:hint="eastAsia"/>
          <w:lang w:eastAsia="zh-CN"/>
        </w:rPr>
        <w:t>联共保</w:t>
      </w:r>
      <w:r>
        <w:tab/>
      </w:r>
      <w:r>
        <w:fldChar w:fldCharType="begin"/>
      </w:r>
      <w:r>
        <w:instrText xml:space="preserve"> PAGEREF _Toc31860 </w:instrText>
      </w:r>
      <w:r>
        <w:fldChar w:fldCharType="separate"/>
      </w:r>
      <w:r>
        <w:t>33</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_Toc24398 </w:instrText>
      </w:r>
      <w:r>
        <w:rPr>
          <w:szCs w:val="28"/>
        </w:rPr>
        <w:fldChar w:fldCharType="separate"/>
      </w:r>
      <w:r>
        <w:rPr>
          <w:rFonts w:hint="default" w:ascii="Arial" w:hAnsi="Arial" w:eastAsia="仿宋_GB2312"/>
          <w:i w:val="0"/>
          <w:szCs w:val="28"/>
          <w:lang w:val="en-US" w:eastAsia="zh-CN"/>
        </w:rPr>
        <w:t xml:space="preserve">2.12.1 </w:t>
      </w:r>
      <w:r>
        <w:rPr>
          <w:rFonts w:hint="eastAsia" w:eastAsia="仿宋_GB2312"/>
          <w:szCs w:val="28"/>
          <w:lang w:val="en-US" w:eastAsia="zh-CN"/>
        </w:rPr>
        <w:t>功能说明</w:t>
      </w:r>
      <w:r>
        <w:tab/>
      </w:r>
      <w:r>
        <w:fldChar w:fldCharType="begin"/>
      </w:r>
      <w:r>
        <w:instrText xml:space="preserve"> PAGEREF _Toc24398 </w:instrText>
      </w:r>
      <w:r>
        <w:fldChar w:fldCharType="separate"/>
      </w:r>
      <w:r>
        <w:t>33</w:t>
      </w:r>
      <w:r>
        <w:fldChar w:fldCharType="end"/>
      </w:r>
      <w:r>
        <w:rPr>
          <w:szCs w:val="28"/>
        </w:rPr>
        <w:fldChar w:fldCharType="end"/>
      </w:r>
    </w:p>
    <w:p>
      <w:pPr>
        <w:pStyle w:val="8"/>
        <w:tabs>
          <w:tab w:val="right" w:leader="dot" w:pos="9298"/>
        </w:tabs>
      </w:pPr>
      <w:r>
        <w:rPr>
          <w:szCs w:val="28"/>
        </w:rPr>
        <w:fldChar w:fldCharType="begin"/>
      </w:r>
      <w:r>
        <w:rPr>
          <w:szCs w:val="28"/>
        </w:rPr>
        <w:instrText xml:space="preserve"> HYPERLINK \l _Toc19632 </w:instrText>
      </w:r>
      <w:r>
        <w:rPr>
          <w:szCs w:val="28"/>
        </w:rPr>
        <w:fldChar w:fldCharType="separate"/>
      </w:r>
      <w:r>
        <w:rPr>
          <w:rFonts w:hint="default" w:ascii="Arial" w:hAnsi="Arial" w:eastAsia="仿宋_GB2312"/>
          <w:i w:val="0"/>
          <w:szCs w:val="28"/>
          <w:lang w:val="en-US" w:eastAsia="zh-CN"/>
        </w:rPr>
        <w:t xml:space="preserve">2.12.2 </w:t>
      </w:r>
      <w:r>
        <w:rPr>
          <w:rFonts w:hint="eastAsia" w:eastAsia="仿宋_GB2312"/>
          <w:szCs w:val="28"/>
          <w:lang w:val="en-US" w:eastAsia="zh-CN"/>
        </w:rPr>
        <w:t>功能介绍</w:t>
      </w:r>
      <w:r>
        <w:tab/>
      </w:r>
      <w:r>
        <w:fldChar w:fldCharType="begin"/>
      </w:r>
      <w:r>
        <w:instrText xml:space="preserve"> PAGEREF _Toc19632 </w:instrText>
      </w:r>
      <w:r>
        <w:fldChar w:fldCharType="separate"/>
      </w:r>
      <w:r>
        <w:t>34</w:t>
      </w:r>
      <w:r>
        <w:fldChar w:fldCharType="end"/>
      </w:r>
      <w:r>
        <w:rPr>
          <w:szCs w:val="28"/>
        </w:rPr>
        <w:fldChar w:fldCharType="end"/>
      </w:r>
    </w:p>
    <w:p>
      <w:pPr>
        <w:pStyle w:val="12"/>
        <w:tabs>
          <w:tab w:val="right" w:leader="dot" w:pos="9298"/>
        </w:tabs>
      </w:pPr>
      <w:r>
        <w:rPr>
          <w:szCs w:val="28"/>
        </w:rPr>
        <w:fldChar w:fldCharType="begin"/>
      </w:r>
      <w:r>
        <w:rPr>
          <w:szCs w:val="28"/>
        </w:rPr>
        <w:instrText xml:space="preserve"> HYPERLINK \l _Toc18088 </w:instrText>
      </w:r>
      <w:r>
        <w:rPr>
          <w:szCs w:val="28"/>
        </w:rPr>
        <w:fldChar w:fldCharType="separate"/>
      </w:r>
      <w:r>
        <w:rPr>
          <w:rFonts w:hint="eastAsia" w:ascii="Times New Roman" w:eastAsia="仿宋_GB2312"/>
          <w:bCs w:val="0"/>
          <w:szCs w:val="28"/>
          <w:lang w:val="en-US" w:eastAsia="zh-CN"/>
        </w:rPr>
        <w:t>3</w:t>
      </w:r>
      <w:r>
        <w:rPr>
          <w:rFonts w:ascii="Times New Roman" w:eastAsia="仿宋_GB2312"/>
          <w:bCs w:val="0"/>
          <w:szCs w:val="28"/>
        </w:rPr>
        <w:t>FAQ</w:t>
      </w:r>
      <w:r>
        <w:tab/>
      </w:r>
      <w:r>
        <w:fldChar w:fldCharType="begin"/>
      </w:r>
      <w:r>
        <w:instrText xml:space="preserve"> PAGEREF _Toc18088 </w:instrText>
      </w:r>
      <w:r>
        <w:fldChar w:fldCharType="separate"/>
      </w:r>
      <w:r>
        <w:t>35</w:t>
      </w:r>
      <w:r>
        <w:fldChar w:fldCharType="end"/>
      </w:r>
      <w:r>
        <w:rPr>
          <w:szCs w:val="28"/>
        </w:rPr>
        <w:fldChar w:fldCharType="end"/>
      </w:r>
    </w:p>
    <w:p>
      <w:pPr>
        <w:pStyle w:val="13"/>
        <w:tabs>
          <w:tab w:val="right" w:leader="dot" w:pos="9298"/>
        </w:tabs>
        <w:jc w:val="center"/>
      </w:pPr>
      <w:r>
        <w:rPr>
          <w:b/>
          <w:sz w:val="28"/>
          <w:szCs w:val="28"/>
        </w:rPr>
        <w:fldChar w:fldCharType="end"/>
      </w:r>
    </w:p>
    <w:p>
      <w:pPr>
        <w:pStyle w:val="2"/>
        <w:widowControl w:val="0"/>
        <w:numPr>
          <w:ilvl w:val="0"/>
          <w:numId w:val="2"/>
        </w:numPr>
        <w:tabs>
          <w:tab w:val="left" w:pos="720"/>
          <w:tab w:val="clear" w:pos="432"/>
        </w:tabs>
        <w:adjustRightInd w:val="0"/>
        <w:snapToGrid w:val="0"/>
        <w:spacing w:beforeLines="0" w:afterLines="0"/>
        <w:ind w:left="431" w:hanging="431"/>
        <w:jc w:val="both"/>
        <w:rPr>
          <w:rFonts w:ascii="Times New Roman" w:hAnsi="Times New Roman" w:eastAsia="仿宋_GB2312"/>
          <w:bCs w:val="0"/>
          <w:sz w:val="48"/>
          <w:szCs w:val="48"/>
        </w:rPr>
      </w:pPr>
      <w:bookmarkStart w:id="0" w:name="_Toc427072869"/>
      <w:bookmarkStart w:id="1" w:name="_Toc5917"/>
      <w:bookmarkStart w:id="2" w:name="_Toc427072751"/>
      <w:bookmarkStart w:id="3" w:name="_Toc407097684"/>
      <w:bookmarkStart w:id="4" w:name="_Toc432782469"/>
      <w:bookmarkStart w:id="5" w:name="_Toc9748"/>
      <w:r>
        <w:rPr>
          <w:rFonts w:ascii="Times New Roman" w:eastAsia="仿宋_GB2312"/>
          <w:bCs w:val="0"/>
          <w:sz w:val="48"/>
          <w:szCs w:val="48"/>
        </w:rPr>
        <w:t>概述</w:t>
      </w:r>
      <w:bookmarkEnd w:id="0"/>
      <w:bookmarkEnd w:id="1"/>
      <w:bookmarkEnd w:id="2"/>
      <w:bookmarkEnd w:id="3"/>
      <w:bookmarkEnd w:id="4"/>
      <w:bookmarkEnd w:id="5"/>
    </w:p>
    <w:p>
      <w:pPr>
        <w:pStyle w:val="3"/>
        <w:widowControl w:val="0"/>
        <w:tabs>
          <w:tab w:val="left" w:pos="720"/>
          <w:tab w:val="clear" w:pos="576"/>
        </w:tabs>
        <w:adjustRightInd w:val="0"/>
        <w:snapToGrid w:val="0"/>
        <w:spacing w:beforeLines="0" w:afterLines="0"/>
        <w:ind w:left="720" w:hanging="720"/>
        <w:jc w:val="both"/>
        <w:textAlignment w:val="baseline"/>
        <w:rPr>
          <w:rStyle w:val="20"/>
          <w:rFonts w:ascii="Times New Roman" w:hAnsi="Times New Roman" w:eastAsia="仿宋_GB2312" w:cs="Arial"/>
          <w:sz w:val="36"/>
          <w:szCs w:val="36"/>
        </w:rPr>
      </w:pPr>
      <w:bookmarkStart w:id="6" w:name="_Toc427072870"/>
      <w:bookmarkStart w:id="7" w:name="_Toc157936697"/>
      <w:bookmarkStart w:id="8" w:name="_Toc407097685"/>
      <w:bookmarkStart w:id="9" w:name="_Toc25442"/>
      <w:bookmarkStart w:id="10" w:name="_Toc432782470"/>
      <w:bookmarkStart w:id="11" w:name="_Toc427072752"/>
      <w:bookmarkStart w:id="12" w:name="_Toc14475"/>
      <w:r>
        <w:rPr>
          <w:rStyle w:val="20"/>
          <w:rFonts w:ascii="Times New Roman" w:eastAsia="仿宋_GB2312" w:cs="Arial"/>
          <w:sz w:val="36"/>
          <w:szCs w:val="36"/>
        </w:rPr>
        <w:t>文档目的</w:t>
      </w:r>
      <w:bookmarkEnd w:id="6"/>
      <w:bookmarkEnd w:id="7"/>
      <w:bookmarkEnd w:id="8"/>
      <w:bookmarkEnd w:id="9"/>
      <w:bookmarkEnd w:id="10"/>
      <w:bookmarkEnd w:id="11"/>
      <w:bookmarkEnd w:id="12"/>
    </w:p>
    <w:p>
      <w:pPr>
        <w:pStyle w:val="7"/>
        <w:spacing w:after="0" w:line="360" w:lineRule="auto"/>
        <w:ind w:left="0" w:leftChars="0" w:firstLine="480" w:firstLineChars="200"/>
        <w:rPr>
          <w:sz w:val="24"/>
        </w:rPr>
      </w:pPr>
      <w:bookmarkStart w:id="13" w:name="_Toc156117872"/>
      <w:bookmarkStart w:id="14" w:name="_Toc157936698"/>
      <w:r>
        <w:rPr>
          <w:rFonts w:hint="eastAsia"/>
          <w:sz w:val="24"/>
        </w:rPr>
        <w:t>本文档的目的是为了向国泰产险非车承保系统的使用人员、维护人员、管理人员等提供详细的指南和参考，便于使用人员快速掌握系统操作方法。</w:t>
      </w:r>
    </w:p>
    <w:p>
      <w:pPr>
        <w:pStyle w:val="3"/>
        <w:widowControl w:val="0"/>
        <w:tabs>
          <w:tab w:val="left" w:pos="720"/>
          <w:tab w:val="clear" w:pos="576"/>
        </w:tabs>
        <w:adjustRightInd w:val="0"/>
        <w:snapToGrid w:val="0"/>
        <w:spacing w:beforeLines="0" w:afterLines="0"/>
        <w:ind w:left="6668" w:hanging="6668" w:hangingChars="1845"/>
        <w:jc w:val="both"/>
        <w:textAlignment w:val="baseline"/>
        <w:rPr>
          <w:rStyle w:val="20"/>
          <w:rFonts w:ascii="Times New Roman" w:hAnsi="Times New Roman" w:eastAsia="仿宋_GB2312" w:cs="Arial"/>
          <w:sz w:val="36"/>
          <w:szCs w:val="36"/>
        </w:rPr>
      </w:pPr>
      <w:bookmarkStart w:id="15" w:name="_Toc427072753"/>
      <w:bookmarkStart w:id="16" w:name="_Toc15112"/>
      <w:bookmarkStart w:id="17" w:name="_Toc432782471"/>
      <w:bookmarkStart w:id="18" w:name="_Toc427072871"/>
      <w:bookmarkStart w:id="19" w:name="_Toc407097686"/>
      <w:bookmarkStart w:id="20" w:name="_Toc580"/>
      <w:r>
        <w:rPr>
          <w:rStyle w:val="20"/>
          <w:rFonts w:ascii="Times New Roman" w:eastAsia="仿宋_GB2312" w:cs="Arial"/>
          <w:sz w:val="36"/>
          <w:szCs w:val="36"/>
        </w:rPr>
        <w:t>读者范围</w:t>
      </w:r>
      <w:bookmarkEnd w:id="13"/>
      <w:bookmarkEnd w:id="14"/>
      <w:bookmarkEnd w:id="15"/>
      <w:bookmarkEnd w:id="16"/>
      <w:bookmarkEnd w:id="17"/>
      <w:bookmarkEnd w:id="18"/>
      <w:bookmarkEnd w:id="19"/>
      <w:bookmarkEnd w:id="20"/>
    </w:p>
    <w:p>
      <w:pPr>
        <w:pStyle w:val="21"/>
        <w:rPr>
          <w:rFonts w:ascii="Times New Roman"/>
        </w:rPr>
      </w:pPr>
      <w:r>
        <w:rPr>
          <w:rFonts w:hint="eastAsia" w:ascii="Times New Roman"/>
        </w:rPr>
        <w:t>本文档适用于</w:t>
      </w:r>
      <w:r>
        <w:rPr>
          <w:rFonts w:hint="eastAsia" w:ascii="Times New Roman" w:hAnsi="Times New Roman" w:eastAsia="宋体" w:cs="Times New Roman"/>
        </w:rPr>
        <w:t>国泰产险非车承保系统</w:t>
      </w:r>
      <w:r>
        <w:rPr>
          <w:rFonts w:hint="eastAsia" w:ascii="Times New Roman"/>
        </w:rPr>
        <w:t>的使用人员、开发维护人员、管理人员等。</w:t>
      </w:r>
    </w:p>
    <w:p>
      <w:pPr>
        <w:pStyle w:val="3"/>
        <w:widowControl w:val="0"/>
        <w:tabs>
          <w:tab w:val="left" w:pos="720"/>
          <w:tab w:val="clear" w:pos="576"/>
        </w:tabs>
        <w:adjustRightInd w:val="0"/>
        <w:snapToGrid w:val="0"/>
        <w:spacing w:beforeLines="0" w:afterLines="0"/>
        <w:ind w:left="6668" w:hanging="6668" w:hangingChars="1845"/>
        <w:jc w:val="both"/>
        <w:textAlignment w:val="baseline"/>
        <w:rPr>
          <w:rStyle w:val="20"/>
          <w:rFonts w:ascii="Times New Roman" w:hAnsi="Times New Roman" w:eastAsia="仿宋_GB2312" w:cs="Arial"/>
          <w:sz w:val="36"/>
          <w:szCs w:val="36"/>
        </w:rPr>
      </w:pPr>
      <w:bookmarkStart w:id="21" w:name="_Toc427072872"/>
      <w:bookmarkStart w:id="22" w:name="_Toc10150"/>
      <w:bookmarkStart w:id="23" w:name="_Toc427072754"/>
      <w:bookmarkStart w:id="24" w:name="_Toc432782472"/>
      <w:bookmarkStart w:id="25" w:name="_Toc407097687"/>
      <w:bookmarkStart w:id="26" w:name="_Toc5933"/>
      <w:r>
        <w:rPr>
          <w:rStyle w:val="20"/>
          <w:rFonts w:ascii="Times New Roman" w:eastAsia="仿宋_GB2312" w:cs="Arial"/>
          <w:sz w:val="36"/>
          <w:szCs w:val="36"/>
        </w:rPr>
        <w:t>术语定义</w:t>
      </w:r>
      <w:bookmarkEnd w:id="21"/>
      <w:bookmarkEnd w:id="22"/>
      <w:bookmarkEnd w:id="23"/>
      <w:bookmarkEnd w:id="24"/>
      <w:bookmarkEnd w:id="25"/>
      <w:bookmarkEnd w:id="26"/>
    </w:p>
    <w:p>
      <w:pPr>
        <w:pStyle w:val="9"/>
        <w:adjustRightInd w:val="0"/>
        <w:snapToGrid w:val="0"/>
        <w:spacing w:before="120" w:line="240" w:lineRule="auto"/>
        <w:ind w:left="0" w:leftChars="0" w:firstLine="360" w:firstLineChars="150"/>
        <w:rPr>
          <w:sz w:val="24"/>
        </w:rPr>
      </w:pPr>
      <w:r>
        <w:rPr>
          <w:rFonts w:hint="eastAsia"/>
          <w:sz w:val="24"/>
        </w:rPr>
        <w:t>无。</w:t>
      </w:r>
    </w:p>
    <w:p>
      <w:pPr>
        <w:pStyle w:val="3"/>
        <w:widowControl w:val="0"/>
        <w:tabs>
          <w:tab w:val="left" w:pos="720"/>
          <w:tab w:val="clear" w:pos="576"/>
        </w:tabs>
        <w:adjustRightInd w:val="0"/>
        <w:snapToGrid w:val="0"/>
        <w:spacing w:beforeLines="0" w:afterLines="0"/>
        <w:ind w:left="6668" w:hanging="6668" w:hangingChars="1845"/>
        <w:jc w:val="both"/>
        <w:textAlignment w:val="baseline"/>
        <w:rPr>
          <w:rStyle w:val="20"/>
          <w:rFonts w:ascii="Times New Roman" w:hAnsi="Times New Roman" w:eastAsia="仿宋_GB2312" w:cs="Arial"/>
          <w:sz w:val="36"/>
          <w:szCs w:val="36"/>
        </w:rPr>
      </w:pPr>
      <w:bookmarkStart w:id="27" w:name="_Toc427072755"/>
      <w:bookmarkStart w:id="28" w:name="_Toc427072873"/>
      <w:bookmarkStart w:id="29" w:name="_Toc157936700"/>
      <w:bookmarkStart w:id="30" w:name="_Toc19532"/>
      <w:bookmarkStart w:id="31" w:name="_Toc156117874"/>
      <w:bookmarkStart w:id="32" w:name="_Toc407097688"/>
      <w:bookmarkStart w:id="33" w:name="_Toc432782473"/>
      <w:bookmarkStart w:id="34" w:name="_Toc25063"/>
      <w:r>
        <w:rPr>
          <w:rStyle w:val="20"/>
          <w:rFonts w:ascii="Times New Roman" w:eastAsia="仿宋_GB2312" w:cs="Arial"/>
          <w:sz w:val="36"/>
          <w:szCs w:val="36"/>
        </w:rPr>
        <w:t>说明和约定</w:t>
      </w:r>
      <w:bookmarkEnd w:id="27"/>
      <w:bookmarkEnd w:id="28"/>
      <w:bookmarkEnd w:id="29"/>
      <w:bookmarkEnd w:id="30"/>
      <w:bookmarkEnd w:id="31"/>
      <w:bookmarkEnd w:id="32"/>
      <w:bookmarkEnd w:id="33"/>
      <w:bookmarkEnd w:id="34"/>
    </w:p>
    <w:p>
      <w:pPr>
        <w:pStyle w:val="9"/>
        <w:adjustRightInd w:val="0"/>
        <w:snapToGrid w:val="0"/>
        <w:spacing w:before="120" w:line="240" w:lineRule="auto"/>
        <w:ind w:left="0" w:leftChars="0" w:firstLine="360" w:firstLineChars="150"/>
        <w:rPr>
          <w:sz w:val="24"/>
        </w:rPr>
      </w:pPr>
      <w:r>
        <w:rPr>
          <w:rFonts w:hint="eastAsia"/>
          <w:sz w:val="24"/>
        </w:rPr>
        <w:t>无。</w:t>
      </w:r>
    </w:p>
    <w:p>
      <w:r>
        <w:br w:type="page"/>
      </w:r>
    </w:p>
    <w:p>
      <w:pPr>
        <w:pStyle w:val="2"/>
        <w:widowControl w:val="0"/>
        <w:numPr>
          <w:ilvl w:val="0"/>
          <w:numId w:val="2"/>
        </w:numPr>
        <w:tabs>
          <w:tab w:val="left" w:pos="720"/>
          <w:tab w:val="clear" w:pos="432"/>
        </w:tabs>
        <w:adjustRightInd w:val="0"/>
        <w:snapToGrid w:val="0"/>
        <w:spacing w:beforeLines="0" w:afterLines="0"/>
        <w:ind w:left="431" w:hanging="431"/>
        <w:jc w:val="both"/>
        <w:rPr>
          <w:rFonts w:ascii="Times New Roman" w:hAnsi="Times New Roman" w:eastAsia="仿宋_GB2312"/>
          <w:bCs w:val="0"/>
          <w:sz w:val="48"/>
          <w:szCs w:val="48"/>
        </w:rPr>
      </w:pPr>
      <w:bookmarkStart w:id="35" w:name="_Toc427072874"/>
      <w:bookmarkStart w:id="36" w:name="_Toc407097689"/>
      <w:bookmarkStart w:id="37" w:name="_Toc157936701"/>
      <w:bookmarkStart w:id="38" w:name="_Toc427072756"/>
      <w:bookmarkStart w:id="39" w:name="_Toc432782474"/>
      <w:bookmarkStart w:id="40" w:name="_Toc3911"/>
      <w:bookmarkStart w:id="41" w:name="_Toc1614"/>
      <w:r>
        <w:rPr>
          <w:rFonts w:ascii="Times New Roman" w:eastAsia="仿宋_GB2312"/>
          <w:bCs w:val="0"/>
          <w:sz w:val="48"/>
          <w:szCs w:val="48"/>
        </w:rPr>
        <w:t>系统概述</w:t>
      </w:r>
      <w:bookmarkEnd w:id="35"/>
      <w:bookmarkEnd w:id="36"/>
      <w:bookmarkEnd w:id="37"/>
      <w:bookmarkEnd w:id="38"/>
      <w:bookmarkEnd w:id="39"/>
      <w:bookmarkEnd w:id="40"/>
      <w:bookmarkEnd w:id="41"/>
      <w:bookmarkStart w:id="42" w:name="_Toc427072875"/>
      <w:bookmarkStart w:id="43" w:name="_Toc432782475"/>
      <w:bookmarkStart w:id="44" w:name="_Toc407097690"/>
      <w:bookmarkStart w:id="45" w:name="_Toc157936702"/>
      <w:bookmarkStart w:id="46" w:name="_Toc8770"/>
      <w:bookmarkStart w:id="47" w:name="_Toc153103338"/>
      <w:bookmarkStart w:id="48" w:name="_Toc427072757"/>
    </w:p>
    <w:p>
      <w:pPr>
        <w:pStyle w:val="2"/>
        <w:widowControl w:val="0"/>
        <w:numPr>
          <w:ilvl w:val="1"/>
          <w:numId w:val="2"/>
        </w:numPr>
        <w:tabs>
          <w:tab w:val="left" w:pos="720"/>
          <w:tab w:val="clear" w:pos="576"/>
        </w:tabs>
        <w:adjustRightInd w:val="0"/>
        <w:snapToGrid w:val="0"/>
        <w:spacing w:beforeLines="0" w:afterLines="0"/>
        <w:ind w:left="567" w:hanging="567"/>
        <w:jc w:val="both"/>
        <w:rPr>
          <w:rFonts w:ascii="Times New Roman" w:hAnsi="Times New Roman" w:eastAsia="仿宋_GB2312"/>
          <w:bCs w:val="0"/>
          <w:sz w:val="36"/>
          <w:szCs w:val="36"/>
        </w:rPr>
      </w:pPr>
      <w:bookmarkStart w:id="49" w:name="_Toc26760"/>
      <w:r>
        <w:rPr>
          <w:rStyle w:val="20"/>
          <w:rFonts w:hint="eastAsia" w:ascii="Times New Roman" w:eastAsia="仿宋_GB2312"/>
          <w:sz w:val="36"/>
          <w:szCs w:val="36"/>
        </w:rPr>
        <w:t>系统</w:t>
      </w:r>
      <w:r>
        <w:rPr>
          <w:rStyle w:val="20"/>
          <w:rFonts w:ascii="Times New Roman" w:eastAsia="仿宋_GB2312"/>
          <w:sz w:val="36"/>
          <w:szCs w:val="36"/>
        </w:rPr>
        <w:t>功能概述</w:t>
      </w:r>
      <w:bookmarkEnd w:id="42"/>
      <w:bookmarkEnd w:id="43"/>
      <w:bookmarkEnd w:id="44"/>
      <w:bookmarkEnd w:id="45"/>
      <w:bookmarkEnd w:id="46"/>
      <w:bookmarkEnd w:id="47"/>
      <w:bookmarkEnd w:id="48"/>
      <w:bookmarkEnd w:id="49"/>
    </w:p>
    <w:p>
      <w:pPr>
        <w:pStyle w:val="7"/>
        <w:spacing w:after="0" w:line="360" w:lineRule="auto"/>
        <w:ind w:left="0" w:leftChars="0" w:firstLine="480" w:firstLineChars="200"/>
        <w:rPr>
          <w:sz w:val="24"/>
        </w:rPr>
      </w:pPr>
      <w:r>
        <w:rPr>
          <w:rFonts w:hint="eastAsia"/>
          <w:sz w:val="24"/>
        </w:rPr>
        <w:t>国泰产险非车承保系统包括投保管理、批改管理、团单清单管理、缴费管理、高级查询、打印管理、影像管理全部过程。</w:t>
      </w:r>
    </w:p>
    <w:p>
      <w:pPr>
        <w:pStyle w:val="7"/>
        <w:spacing w:after="0" w:line="360" w:lineRule="auto"/>
        <w:ind w:left="0" w:leftChars="0" w:firstLine="480" w:firstLineChars="200"/>
        <w:rPr>
          <w:sz w:val="24"/>
        </w:rPr>
      </w:pPr>
      <w:r>
        <w:rPr>
          <w:rFonts w:hint="eastAsia"/>
          <w:sz w:val="24"/>
        </w:rPr>
        <w:t>本部分操作手册只描述投保管理、高级查询、批改管理、缴费管理和团单清单管理功能。其他功能在系统升级后，通过最新版本操作手册体现。</w:t>
      </w:r>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50" w:name="_Toc407097694"/>
      <w:bookmarkStart w:id="51" w:name="_Toc30188"/>
      <w:bookmarkStart w:id="52" w:name="_Toc427072760"/>
      <w:bookmarkStart w:id="53" w:name="_Toc427072878"/>
      <w:bookmarkStart w:id="54" w:name="_Toc432782478"/>
      <w:bookmarkStart w:id="55" w:name="_Toc31739"/>
      <w:r>
        <w:rPr>
          <w:rStyle w:val="20"/>
          <w:rFonts w:hint="eastAsia" w:eastAsia="仿宋_GB2312"/>
          <w:sz w:val="28"/>
          <w:szCs w:val="28"/>
        </w:rPr>
        <w:t>登录系统</w:t>
      </w:r>
      <w:bookmarkEnd w:id="50"/>
      <w:bookmarkEnd w:id="51"/>
      <w:bookmarkEnd w:id="52"/>
      <w:bookmarkEnd w:id="53"/>
      <w:bookmarkEnd w:id="54"/>
      <w:bookmarkEnd w:id="55"/>
    </w:p>
    <w:p>
      <w:pPr>
        <w:pStyle w:val="7"/>
        <w:spacing w:after="0" w:line="360" w:lineRule="auto"/>
        <w:ind w:left="0" w:leftChars="0" w:firstLine="480" w:firstLineChars="200"/>
        <w:rPr>
          <w:sz w:val="24"/>
        </w:rPr>
      </w:pPr>
      <w:r>
        <w:rPr>
          <w:rFonts w:hint="eastAsia"/>
          <w:sz w:val="24"/>
        </w:rPr>
        <w:t>单点登录方式登录，可通过</w:t>
      </w:r>
      <w:r>
        <w:rPr>
          <w:rFonts w:hint="eastAsia"/>
          <w:b/>
          <w:color w:val="FF0000"/>
          <w:sz w:val="24"/>
        </w:rPr>
        <w:t>扫描二维码方式</w:t>
      </w:r>
      <w:r>
        <w:rPr>
          <w:rFonts w:hint="eastAsia"/>
          <w:sz w:val="24"/>
        </w:rPr>
        <w:t>登录，如所示；也可以通过</w:t>
      </w:r>
      <w:r>
        <w:rPr>
          <w:rFonts w:hint="eastAsia"/>
          <w:b/>
          <w:color w:val="FF0000"/>
          <w:sz w:val="24"/>
        </w:rPr>
        <w:t>输入用户名</w:t>
      </w:r>
      <w:r>
        <w:rPr>
          <w:rFonts w:hint="eastAsia"/>
          <w:sz w:val="24"/>
        </w:rPr>
        <w:t>方式登陆，如下图所示：</w:t>
      </w:r>
    </w:p>
    <w:p>
      <w:pPr>
        <w:jc w:val="center"/>
        <w:rPr>
          <w:sz w:val="24"/>
        </w:rPr>
      </w:pPr>
      <w:r>
        <w:drawing>
          <wp:inline distT="0" distB="0" distL="0" distR="0">
            <wp:extent cx="5523230" cy="2495550"/>
            <wp:effectExtent l="9525" t="9525"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546627" cy="2506121"/>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单点</w:t>
      </w:r>
      <w:r>
        <w:rPr>
          <w:rFonts w:hint="eastAsia"/>
        </w:rPr>
        <w:t>登陆-</w:t>
      </w:r>
      <w:r>
        <w:t>二维码登陆示意图</w:t>
      </w:r>
    </w:p>
    <w:p>
      <w:pPr>
        <w:jc w:val="center"/>
      </w:pPr>
      <w:r>
        <w:drawing>
          <wp:inline distT="0" distB="0" distL="0" distR="0">
            <wp:extent cx="5495925" cy="3012440"/>
            <wp:effectExtent l="9525" t="9525" r="19050" b="260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512742" cy="3022136"/>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单点</w:t>
      </w:r>
      <w:r>
        <w:rPr>
          <w:rFonts w:hint="eastAsia"/>
        </w:rPr>
        <w:t>登陆-账号</w:t>
      </w:r>
      <w:r>
        <w:t>登陆示意图</w:t>
      </w:r>
    </w:p>
    <w:p>
      <w:pPr>
        <w:pStyle w:val="21"/>
        <w:rPr>
          <w:rFonts w:ascii="Times New Roman" w:hAnsi="Times New Roman"/>
        </w:rPr>
      </w:pPr>
      <w:r>
        <w:rPr>
          <w:rFonts w:ascii="Times New Roman" w:hAnsi="Times New Roman"/>
        </w:rPr>
        <w:t>登陆成功后</w:t>
      </w:r>
      <w:r>
        <w:rPr>
          <w:rFonts w:hint="eastAsia" w:ascii="Times New Roman" w:hAnsi="Times New Roman"/>
        </w:rPr>
        <w:t>，</w:t>
      </w:r>
      <w:r>
        <w:rPr>
          <w:rFonts w:ascii="Times New Roman" w:hAnsi="Times New Roman"/>
        </w:rPr>
        <w:t>系统会跳转至主页</w:t>
      </w:r>
      <w:r>
        <w:rPr>
          <w:rFonts w:hint="eastAsia" w:ascii="Times New Roman" w:hAnsi="Times New Roman"/>
        </w:rPr>
        <w:t>，在主页中点击</w:t>
      </w:r>
      <w:r>
        <w:rPr>
          <w:rFonts w:hint="eastAsia" w:ascii="Times New Roman" w:hAnsi="Times New Roman"/>
          <w:b/>
          <w:color w:val="FF0000"/>
        </w:rPr>
        <w:t>“查看使用手册”</w:t>
      </w:r>
      <w:r>
        <w:rPr>
          <w:rFonts w:hint="eastAsia" w:ascii="Times New Roman" w:hAnsi="Times New Roman"/>
        </w:rPr>
        <w:t>可下载系统最新操作手册，以保证系统在功能迭代过程中用户均可对照最新操作手册了解系统操作。</w:t>
      </w:r>
    </w:p>
    <w:p>
      <w:pPr>
        <w:pStyle w:val="21"/>
        <w:ind w:left="0" w:leftChars="0" w:firstLine="0" w:firstLineChars="0"/>
        <w:rPr>
          <w:rFonts w:ascii="Times New Roman" w:hAnsi="Times New Roman"/>
        </w:rPr>
      </w:pPr>
      <w:r>
        <w:drawing>
          <wp:inline distT="0" distB="0" distL="0" distR="0">
            <wp:extent cx="5904230" cy="2230755"/>
            <wp:effectExtent l="9525" t="9525" r="107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904230" cy="2230755"/>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首页示意图</w:t>
      </w:r>
      <w:r>
        <w:rPr>
          <w:rFonts w:hint="eastAsia"/>
        </w:rPr>
        <w:t xml:space="preserve"> </w:t>
      </w:r>
    </w:p>
    <w:p>
      <w:pPr>
        <w:keepNext/>
      </w:pPr>
      <w:r>
        <w:drawing>
          <wp:inline distT="0" distB="0" distL="0" distR="0">
            <wp:extent cx="5904230" cy="2440305"/>
            <wp:effectExtent l="9525" t="9525" r="10795" b="266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904230" cy="2440305"/>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菜单栏示意图</w:t>
      </w:r>
    </w:p>
    <w:p>
      <w:pPr>
        <w:pStyle w:val="21"/>
        <w:rPr>
          <w:rFonts w:ascii="Times New Roman" w:hAnsi="Times New Roman"/>
        </w:rPr>
      </w:pPr>
      <w:r>
        <w:rPr>
          <w:rFonts w:hint="eastAsia" w:ascii="Times New Roman" w:hAnsi="Times New Roman"/>
        </w:rPr>
        <w:t>图3中，点击</w:t>
      </w:r>
      <w:r>
        <w:rPr>
          <w:rFonts w:hint="eastAsia" w:ascii="Times New Roman" w:hAnsi="Times New Roman"/>
          <w:b/>
          <w:color w:val="FF0000"/>
        </w:rPr>
        <w:t>红色框体的按钮可呼出菜单</w:t>
      </w:r>
      <w:r>
        <w:rPr>
          <w:rFonts w:hint="eastAsia" w:ascii="Times New Roman" w:hAnsi="Times New Roman"/>
        </w:rPr>
        <w:t>，选择要使用的功能，并进入功能界面。点击</w:t>
      </w:r>
      <w:r>
        <w:rPr>
          <w:rFonts w:hint="eastAsia" w:ascii="Times New Roman" w:hAnsi="Times New Roman"/>
          <w:b/>
          <w:color w:val="FF0000"/>
        </w:rPr>
        <w:t>白色框体中的倒三角标志，可展开用户信息</w:t>
      </w:r>
      <w:r>
        <w:rPr>
          <w:rFonts w:hint="eastAsia" w:ascii="Times New Roman" w:hAnsi="Times New Roman"/>
        </w:rPr>
        <w:t>。点击黄色框体中的图标，可直接进入该功能的操作界面。</w:t>
      </w:r>
      <w:r>
        <w:rPr>
          <w:rFonts w:hint="eastAsia" w:ascii="Times New Roman" w:hAnsi="Times New Roman"/>
          <w:b/>
          <w:color w:val="FF0000"/>
        </w:rPr>
        <w:t>黄色框体为快捷访问栏</w:t>
      </w:r>
      <w:r>
        <w:rPr>
          <w:rFonts w:hint="eastAsia" w:ascii="Times New Roman" w:hAnsi="Times New Roman"/>
        </w:rPr>
        <w:t>，可自定义配置常用功能，</w:t>
      </w:r>
      <w:r>
        <w:t>自定义功能会在后续升级中提供</w:t>
      </w:r>
      <w:r>
        <w:rPr>
          <w:rFonts w:hint="eastAsia"/>
        </w:rPr>
        <w:t>。</w:t>
      </w:r>
    </w:p>
    <w:p>
      <w:pPr>
        <w:pStyle w:val="3"/>
        <w:widowControl w:val="0"/>
        <w:numPr>
          <w:ilvl w:val="1"/>
          <w:numId w:val="2"/>
        </w:numPr>
        <w:tabs>
          <w:tab w:val="left" w:pos="720"/>
          <w:tab w:val="clear" w:pos="576"/>
        </w:tabs>
        <w:adjustRightInd w:val="0"/>
        <w:snapToGrid w:val="0"/>
        <w:spacing w:beforeLines="0" w:afterLines="0"/>
        <w:ind w:left="567" w:hanging="567"/>
        <w:jc w:val="both"/>
        <w:rPr>
          <w:rFonts w:ascii="Times New Roman" w:hAnsi="Times New Roman" w:eastAsia="仿宋_GB2312" w:cs="Arial"/>
          <w:bCs w:val="0"/>
          <w:sz w:val="36"/>
          <w:szCs w:val="36"/>
        </w:rPr>
      </w:pPr>
      <w:bookmarkStart w:id="56" w:name="_Toc21831"/>
      <w:bookmarkStart w:id="57" w:name="_Toc427072882"/>
      <w:bookmarkStart w:id="58" w:name="_Toc432782482"/>
      <w:bookmarkStart w:id="59" w:name="_Toc407097706"/>
      <w:bookmarkStart w:id="60" w:name="_Toc427072764"/>
      <w:bookmarkStart w:id="61" w:name="_Toc23021"/>
      <w:r>
        <w:rPr>
          <w:rStyle w:val="20"/>
          <w:rFonts w:hint="eastAsia" w:ascii="Times New Roman" w:hAnsi="Times New Roman" w:eastAsia="仿宋_GB2312" w:cs="Arial"/>
          <w:sz w:val="36"/>
          <w:szCs w:val="36"/>
        </w:rPr>
        <w:t>投保单录入</w:t>
      </w:r>
      <w:bookmarkEnd w:id="56"/>
      <w:bookmarkEnd w:id="57"/>
      <w:bookmarkEnd w:id="58"/>
      <w:bookmarkEnd w:id="59"/>
      <w:bookmarkEnd w:id="60"/>
      <w:bookmarkEnd w:id="61"/>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62" w:name="_Toc407097707"/>
      <w:bookmarkStart w:id="63" w:name="_Toc432782483"/>
      <w:bookmarkStart w:id="64" w:name="_Toc427072883"/>
      <w:bookmarkStart w:id="65" w:name="_Toc427072765"/>
      <w:bookmarkStart w:id="66" w:name="_Toc4644"/>
      <w:bookmarkStart w:id="67" w:name="_Toc25384"/>
      <w:r>
        <w:rPr>
          <w:rStyle w:val="20"/>
          <w:rFonts w:eastAsia="仿宋_GB2312"/>
          <w:sz w:val="28"/>
          <w:szCs w:val="28"/>
        </w:rPr>
        <w:t>功能说明</w:t>
      </w:r>
      <w:bookmarkEnd w:id="62"/>
      <w:bookmarkEnd w:id="63"/>
      <w:bookmarkEnd w:id="64"/>
      <w:bookmarkEnd w:id="65"/>
      <w:bookmarkEnd w:id="66"/>
      <w:bookmarkEnd w:id="67"/>
    </w:p>
    <w:p>
      <w:pPr>
        <w:pStyle w:val="21"/>
        <w:rPr>
          <w:rFonts w:ascii="Times New Roman" w:hAnsi="Times New Roman"/>
        </w:rPr>
      </w:pPr>
      <w:r>
        <w:rPr>
          <w:rFonts w:hint="eastAsia" w:ascii="Times New Roman" w:hAnsi="Times New Roman"/>
        </w:rPr>
        <w:t xml:space="preserve">在正式签发保单之前，用户必须填写投保单，投保单录入系统之后，需经过核保员核保通过后方能生成保单（对于见费出单，则缴费后生成）。 </w:t>
      </w:r>
    </w:p>
    <w:p>
      <w:pPr>
        <w:pStyle w:val="21"/>
        <w:rPr>
          <w:rFonts w:ascii="Times New Roman" w:hAnsi="Times New Roman"/>
        </w:rPr>
      </w:pPr>
      <w:r>
        <w:rPr>
          <w:rFonts w:hint="eastAsia" w:ascii="Times New Roman" w:hAnsi="Times New Roman"/>
        </w:rPr>
        <w:t>不同的产品录单页面不完全相同，根据选择的产品，展示该产品的录单页面。此外，个单和团单录入时展示页面也会不完全相同。</w:t>
      </w:r>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68" w:name="_Toc23155"/>
      <w:r>
        <w:rPr>
          <w:rStyle w:val="20"/>
          <w:rFonts w:eastAsia="仿宋_GB2312"/>
          <w:sz w:val="28"/>
          <w:szCs w:val="28"/>
        </w:rPr>
        <w:t>功能介绍</w:t>
      </w:r>
      <w:bookmarkEnd w:id="68"/>
    </w:p>
    <w:p>
      <w:pPr>
        <w:pStyle w:val="21"/>
        <w:rPr>
          <w:rFonts w:ascii="Times New Roman" w:hAnsi="Times New Roman"/>
        </w:rPr>
        <w:sectPr>
          <w:headerReference r:id="rId4" w:type="default"/>
          <w:footerReference r:id="rId5" w:type="default"/>
          <w:pgSz w:w="11906" w:h="16838"/>
          <w:pgMar w:top="1440" w:right="1304" w:bottom="1440" w:left="1304" w:header="851" w:footer="1134" w:gutter="0"/>
          <w:cols w:space="720" w:num="1"/>
          <w:titlePg/>
          <w:docGrid w:type="lines" w:linePitch="312" w:charSpace="0"/>
        </w:sectPr>
      </w:pPr>
      <w:r>
        <w:rPr>
          <w:rFonts w:ascii="Times New Roman" w:hAnsi="Times New Roman"/>
        </w:rPr>
        <w:t>点击</w:t>
      </w:r>
      <w:r>
        <w:rPr>
          <w:rFonts w:ascii="Times New Roman" w:hAnsi="Times New Roman"/>
          <w:b/>
          <w:color w:val="FF0000"/>
        </w:rPr>
        <w:t>菜单栏或快速访问栏的</w:t>
      </w:r>
      <w:r>
        <w:rPr>
          <w:rFonts w:hint="eastAsia" w:ascii="Times New Roman" w:hAnsi="Times New Roman"/>
          <w:b/>
          <w:color w:val="FF0000"/>
        </w:rPr>
        <w:t>“投保管理”可进入产品选择界面</w:t>
      </w:r>
      <w:r>
        <w:rPr>
          <w:rFonts w:hint="eastAsia" w:ascii="Times New Roman" w:hAnsi="Times New Roman"/>
        </w:rPr>
        <w:t>。如下图所示：</w:t>
      </w:r>
    </w:p>
    <w:p>
      <w:pPr>
        <w:keepNext/>
      </w:pPr>
      <w:r>
        <w:drawing>
          <wp:inline distT="0" distB="0" distL="0" distR="0">
            <wp:extent cx="5274310" cy="2030730"/>
            <wp:effectExtent l="9525" t="9525" r="1206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03073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产品选择界面</w:t>
      </w:r>
    </w:p>
    <w:p>
      <w:pPr>
        <w:pStyle w:val="21"/>
        <w:rPr>
          <w:rFonts w:ascii="Times New Roman" w:hAnsi="Times New Roman"/>
        </w:rPr>
      </w:pPr>
      <w:r>
        <w:rPr>
          <w:rFonts w:ascii="Times New Roman" w:hAnsi="Times New Roman"/>
        </w:rPr>
        <w:t>产品选择界面分为</w:t>
      </w:r>
      <w:r>
        <w:rPr>
          <w:rFonts w:hint="eastAsia" w:ascii="Times New Roman" w:hAnsi="Times New Roman"/>
          <w:b/>
          <w:color w:val="FF0000"/>
        </w:rPr>
        <w:t>“常用产品”</w:t>
      </w:r>
      <w:r>
        <w:rPr>
          <w:rFonts w:hint="eastAsia" w:ascii="Times New Roman" w:hAnsi="Times New Roman"/>
        </w:rPr>
        <w:t>模块、</w:t>
      </w:r>
      <w:r>
        <w:rPr>
          <w:rFonts w:hint="eastAsia" w:ascii="Times New Roman" w:hAnsi="Times New Roman"/>
          <w:b/>
          <w:color w:val="FF0000"/>
        </w:rPr>
        <w:t>“产品列表”</w:t>
      </w:r>
      <w:r>
        <w:rPr>
          <w:rFonts w:hint="eastAsia" w:ascii="Times New Roman" w:hAnsi="Times New Roman"/>
        </w:rPr>
        <w:t>模块，对于经常使用的产品，可以点击“产品列表”中“常用”列下的</w:t>
      </w:r>
      <w:r>
        <w:rPr>
          <w:rFonts w:hint="eastAsia" w:ascii="Times New Roman" w:hAnsi="Times New Roman"/>
          <w:b/>
          <w:color w:val="FF0000"/>
        </w:rPr>
        <w:t>☆</w:t>
      </w:r>
      <w:r>
        <w:rPr>
          <w:rFonts w:hint="eastAsia" w:ascii="Times New Roman" w:hAnsi="Times New Roman"/>
        </w:rPr>
        <w:t>，当☆变为实心时，则在“常用产品”模块中会同步出现该产品的快捷入口。产品列表中可以选择具体产品条线，目前产品条线的划分分为：</w:t>
      </w:r>
      <w:r>
        <w:rPr>
          <w:rFonts w:hint="eastAsia" w:ascii="Times New Roman" w:hAnsi="Times New Roman"/>
          <w:b/>
          <w:color w:val="FF0000"/>
        </w:rPr>
        <w:t>全部、财产险、责任险、货运险、意外险、健康险、船舶险、工程险、信用保证险</w:t>
      </w:r>
      <w:r>
        <w:rPr>
          <w:rFonts w:hint="eastAsia" w:ascii="Times New Roman" w:hAnsi="Times New Roman"/>
        </w:rPr>
        <w:t>，点击后可下放显示该条线的产品列表。</w:t>
      </w:r>
    </w:p>
    <w:p>
      <w:pPr>
        <w:pStyle w:val="21"/>
        <w:rPr>
          <w:rFonts w:ascii="Times New Roman" w:hAnsi="Times New Roman"/>
        </w:rPr>
      </w:pPr>
      <w:r>
        <w:rPr>
          <w:rFonts w:hint="eastAsia" w:ascii="Times New Roman" w:hAnsi="Times New Roman"/>
          <w:b/>
          <w:color w:val="FF0000"/>
        </w:rPr>
        <w:t>选择个团属性后，点击“立即投保”按钮</w:t>
      </w:r>
      <w:r>
        <w:rPr>
          <w:rFonts w:hint="eastAsia" w:ascii="Times New Roman" w:hAnsi="Times New Roman"/>
        </w:rPr>
        <w:t>，则可进入投保录入界面。</w:t>
      </w:r>
    </w:p>
    <w:p>
      <w:r>
        <w:drawing>
          <wp:inline distT="0" distB="0" distL="0" distR="0">
            <wp:extent cx="5272405" cy="1258570"/>
            <wp:effectExtent l="9525" t="9525" r="13970" b="273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2405" cy="125857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录单界面</w:t>
      </w:r>
      <w:r>
        <w:rPr>
          <w:rFonts w:hint="eastAsia"/>
        </w:rPr>
        <w:t>-导航栏与销售管理信息</w:t>
      </w:r>
    </w:p>
    <w:p>
      <w:pPr>
        <w:pStyle w:val="21"/>
        <w:rPr>
          <w:rFonts w:ascii="Times New Roman" w:hAnsi="Times New Roman"/>
        </w:rPr>
      </w:pPr>
      <w:r>
        <w:rPr>
          <w:rFonts w:ascii="Times New Roman" w:hAnsi="Times New Roman"/>
        </w:rPr>
        <w:t>页面左侧为</w:t>
      </w:r>
      <w:r>
        <w:rPr>
          <w:rFonts w:ascii="Times New Roman" w:hAnsi="Times New Roman"/>
          <w:b/>
          <w:color w:val="FF0000"/>
        </w:rPr>
        <w:t>导航栏</w:t>
      </w:r>
      <w:r>
        <w:rPr>
          <w:rFonts w:hint="eastAsia" w:ascii="Times New Roman" w:hAnsi="Times New Roman"/>
        </w:rPr>
        <w:t>，</w:t>
      </w:r>
      <w:r>
        <w:rPr>
          <w:rFonts w:ascii="Times New Roman" w:hAnsi="Times New Roman"/>
        </w:rPr>
        <w:t>点击后可自动滑动至该模块</w:t>
      </w:r>
      <w:r>
        <w:rPr>
          <w:rFonts w:hint="eastAsia" w:ascii="Times New Roman" w:hAnsi="Times New Roman"/>
        </w:rPr>
        <w:t>，</w:t>
      </w:r>
      <w:r>
        <w:rPr>
          <w:rFonts w:hint="eastAsia" w:ascii="Times New Roman" w:hAnsi="Times New Roman"/>
          <w:b/>
          <w:color w:val="FF0000"/>
        </w:rPr>
        <w:t>其中带有红色√的模块为录入完成的模块</w:t>
      </w:r>
      <w:r>
        <w:rPr>
          <w:rFonts w:hint="eastAsia" w:ascii="Times New Roman" w:hAnsi="Times New Roman"/>
        </w:rPr>
        <w:t>。系统从上到下常用且需录入的模块有九个，分别为：</w:t>
      </w:r>
      <w:r>
        <w:rPr>
          <w:rFonts w:hint="eastAsia" w:ascii="Times New Roman" w:hAnsi="Times New Roman"/>
          <w:b/>
          <w:color w:val="FF0000"/>
        </w:rPr>
        <w:t>销售渠道、客户信息、公共信息、标的信息、佣金信息、缴费信息、领款人信息、特约信息、条款文本</w:t>
      </w:r>
      <w:r>
        <w:rPr>
          <w:rFonts w:hint="eastAsia" w:ascii="Times New Roman" w:hAnsi="Times New Roman"/>
        </w:rPr>
        <w:t>。对于存在特殊条款的产品加入了特殊条款模块，联共保、再保业务则存在</w:t>
      </w:r>
      <w:r>
        <w:rPr>
          <w:rFonts w:hint="eastAsia" w:ascii="Times New Roman" w:hAnsi="Times New Roman"/>
          <w:b/>
          <w:color w:val="FF0000"/>
        </w:rPr>
        <w:t>联共保模块、再保模块</w:t>
      </w:r>
      <w:r>
        <w:rPr>
          <w:rFonts w:hint="eastAsia" w:ascii="Times New Roman" w:hAnsi="Times New Roman"/>
        </w:rPr>
        <w:t>（后续迭代中更新）。</w:t>
      </w:r>
      <w:r>
        <w:rPr>
          <w:rFonts w:hint="eastAsia" w:ascii="Times New Roman" w:hAnsi="Times New Roman"/>
          <w:b/>
          <w:color w:val="FF0000"/>
        </w:rPr>
        <w:t>页面中灰色框体为只读，蓝色框体为必录，白色框体为非必录</w:t>
      </w:r>
      <w:r>
        <w:rPr>
          <w:rFonts w:hint="eastAsia" w:ascii="Times New Roman" w:hAnsi="Times New Roman"/>
        </w:rPr>
        <w:t>。如框体中显示为“请输入”，则该框体使用</w:t>
      </w:r>
      <w:r>
        <w:rPr>
          <w:rFonts w:hint="eastAsia" w:ascii="Times New Roman" w:hAnsi="Times New Roman"/>
          <w:b/>
          <w:color w:val="FF0000"/>
        </w:rPr>
        <w:t>手工方式</w:t>
      </w:r>
      <w:r>
        <w:rPr>
          <w:rFonts w:hint="eastAsia" w:ascii="Times New Roman" w:hAnsi="Times New Roman"/>
        </w:rPr>
        <w:t>进行录入，如框体中显示“请选择”，则为</w:t>
      </w:r>
      <w:r>
        <w:rPr>
          <w:rFonts w:hint="eastAsia" w:ascii="Times New Roman" w:hAnsi="Times New Roman"/>
          <w:b/>
          <w:color w:val="FF0000"/>
        </w:rPr>
        <w:t>下拉选择</w:t>
      </w:r>
      <w:r>
        <w:rPr>
          <w:rFonts w:hint="eastAsia" w:ascii="Times New Roman" w:hAnsi="Times New Roman"/>
        </w:rPr>
        <w:t>。</w:t>
      </w:r>
      <w:r>
        <w:rPr>
          <w:rFonts w:ascii="Times New Roman" w:hAnsi="Times New Roman"/>
        </w:rPr>
        <w:t>本文将根据录入顺序从上到下讲解页面录入规则</w:t>
      </w:r>
      <w:r>
        <w:rPr>
          <w:rFonts w:hint="eastAsia" w:ascii="Times New Roman" w:hAnsi="Times New Roman"/>
        </w:rPr>
        <w:t>。</w:t>
      </w:r>
    </w:p>
    <w:p>
      <w:pPr>
        <w:pStyle w:val="21"/>
        <w:rPr>
          <w:rFonts w:ascii="Times New Roman" w:hAnsi="Times New Roman"/>
        </w:rPr>
      </w:pPr>
      <w:r>
        <w:rPr>
          <w:rFonts w:ascii="Times New Roman" w:hAnsi="Times New Roman"/>
        </w:rPr>
        <w:t>图6</w:t>
      </w:r>
      <w:r>
        <w:rPr>
          <w:rFonts w:hint="eastAsia" w:ascii="Times New Roman" w:hAnsi="Times New Roman"/>
        </w:rPr>
        <w:t>中右侧为销售渠道信息，</w:t>
      </w:r>
      <w:r>
        <w:rPr>
          <w:rFonts w:hint="eastAsia" w:ascii="Times New Roman" w:hAnsi="Times New Roman"/>
          <w:b/>
          <w:color w:val="FF0000"/>
        </w:rPr>
        <w:t>出单机构将自动带入登陆人所在机构，可修改，修改范围为本机构+下级机构</w:t>
      </w:r>
      <w:r>
        <w:rPr>
          <w:rFonts w:hint="eastAsia" w:ascii="Times New Roman" w:hAnsi="Times New Roman"/>
        </w:rPr>
        <w:t>。其中渠道类型、渠道类型细分、业务来源为级联选择，即：</w:t>
      </w:r>
      <w:r>
        <w:rPr>
          <w:rFonts w:hint="eastAsia" w:ascii="Times New Roman" w:hAnsi="Times New Roman"/>
          <w:b/>
          <w:color w:val="FF0000"/>
        </w:rPr>
        <w:t>必须选择渠道类型，才能选择渠道类型细分，业务来源也是如此</w:t>
      </w:r>
      <w:r>
        <w:rPr>
          <w:rFonts w:hint="eastAsia" w:ascii="Times New Roman" w:hAnsi="Times New Roman"/>
        </w:rPr>
        <w:t>。选择代理人后，</w:t>
      </w:r>
      <w:r>
        <w:rPr>
          <w:rFonts w:hint="eastAsia" w:ascii="Times New Roman" w:hAnsi="Times New Roman"/>
          <w:b/>
          <w:color w:val="FF0000"/>
        </w:rPr>
        <w:t>代理人协议号会自动带出，业务归属为经手人的机构，不可修改</w:t>
      </w:r>
      <w:r>
        <w:rPr>
          <w:rFonts w:hint="eastAsia" w:ascii="Times New Roman" w:hAnsi="Times New Roman"/>
        </w:rPr>
        <w:t>。录入无误后，可在导航栏中确认，是否出现√图标，如出现则表示系统必录校验通过。</w:t>
      </w:r>
    </w:p>
    <w:p>
      <w:pPr>
        <w:pStyle w:val="21"/>
        <w:ind w:firstLine="0"/>
        <w:rPr>
          <w:rFonts w:ascii="Times New Roman" w:hAnsi="Times New Roman"/>
        </w:rPr>
      </w:pPr>
      <w:r>
        <w:rPr>
          <w:rFonts w:hint="eastAsia" w:ascii="Times New Roman" w:hAnsi="Times New Roman"/>
        </w:rPr>
        <w:drawing>
          <wp:inline distT="0" distB="0" distL="0" distR="0">
            <wp:extent cx="5264150" cy="2510790"/>
            <wp:effectExtent l="9525" t="9525" r="2222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4150" cy="2510790"/>
                    </a:xfrm>
                    <a:prstGeom prst="rect">
                      <a:avLst/>
                    </a:prstGeom>
                    <a:ln>
                      <a:solidFill>
                        <a:schemeClr val="tx1"/>
                      </a:solidFill>
                    </a:ln>
                  </pic:spPr>
                </pic:pic>
              </a:graphicData>
            </a:graphic>
          </wp:inline>
        </w:drawing>
      </w:r>
    </w:p>
    <w:p>
      <w:pPr>
        <w:pStyle w:val="6"/>
        <w:jc w:val="center"/>
      </w:pPr>
      <w:r>
        <w:t xml:space="preserve">图 </w:t>
      </w:r>
      <w:r>
        <w:fldChar w:fldCharType="begin"/>
      </w:r>
      <w:r>
        <w:instrText xml:space="preserve"> SEQ 图 \* ARABIC </w:instrText>
      </w:r>
      <w:r>
        <w:fldChar w:fldCharType="separate"/>
      </w:r>
      <w:r>
        <w:t>7</w:t>
      </w:r>
      <w:r>
        <w:fldChar w:fldCharType="end"/>
      </w:r>
      <w:r>
        <w:t>录单界面</w:t>
      </w:r>
      <w:r>
        <w:rPr>
          <w:rFonts w:hint="eastAsia"/>
        </w:rPr>
        <w:t>-</w:t>
      </w:r>
      <w:r>
        <w:t>客户信息</w:t>
      </w:r>
      <w:r>
        <w:drawing>
          <wp:inline distT="0" distB="0" distL="0" distR="0">
            <wp:extent cx="5274310" cy="3522345"/>
            <wp:effectExtent l="9525" t="9525" r="1206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5274310" cy="3522345"/>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录单界面</w:t>
      </w:r>
      <w:r>
        <w:rPr>
          <w:rFonts w:hint="eastAsia"/>
        </w:rPr>
        <w:t>-客户详细信息</w:t>
      </w:r>
    </w:p>
    <w:p>
      <w:pPr>
        <w:pStyle w:val="21"/>
        <w:rPr>
          <w:rFonts w:ascii="Times New Roman" w:hAnsi="Times New Roman"/>
        </w:rPr>
      </w:pPr>
      <w:r>
        <w:rPr>
          <w:rFonts w:ascii="Times New Roman" w:hAnsi="Times New Roman"/>
        </w:rPr>
        <w:t>客户信息由三部分组成</w:t>
      </w:r>
      <w:r>
        <w:rPr>
          <w:rFonts w:hint="eastAsia" w:ascii="Times New Roman" w:hAnsi="Times New Roman"/>
        </w:rPr>
        <w:t>，</w:t>
      </w:r>
      <w:r>
        <w:rPr>
          <w:rFonts w:hint="eastAsia" w:ascii="Times New Roman" w:hAnsi="Times New Roman"/>
          <w:b/>
          <w:color w:val="FF0000"/>
        </w:rPr>
        <w:t>投保人模块、被保险人模块、受益人模块</w:t>
      </w:r>
      <w:r>
        <w:rPr>
          <w:rFonts w:hint="eastAsia" w:ascii="Times New Roman" w:hAnsi="Times New Roman"/>
        </w:rPr>
        <w:t>（责任险不存在受益人模块，本文暂不做出讲解，后续迭代升级中本文档也会更新内容）。无论是投保人和被保险人，都可以通过</w:t>
      </w:r>
      <w:r>
        <w:rPr>
          <w:rFonts w:hint="eastAsia" w:ascii="Times New Roman" w:hAnsi="Times New Roman"/>
          <w:b/>
          <w:color w:val="FF0000"/>
        </w:rPr>
        <w:t>“切换用户”</w:t>
      </w:r>
      <w:r>
        <w:rPr>
          <w:rFonts w:hint="eastAsia" w:ascii="Times New Roman" w:hAnsi="Times New Roman"/>
        </w:rPr>
        <w:t>按钮在</w:t>
      </w:r>
      <w:r>
        <w:rPr>
          <w:rFonts w:hint="eastAsia" w:ascii="Times New Roman" w:hAnsi="Times New Roman"/>
          <w:b/>
          <w:color w:val="FF0000"/>
        </w:rPr>
        <w:t>企业用户</w:t>
      </w:r>
      <w:r>
        <w:rPr>
          <w:rFonts w:hint="eastAsia" w:ascii="Times New Roman" w:hAnsi="Times New Roman"/>
        </w:rPr>
        <w:t>和</w:t>
      </w:r>
      <w:r>
        <w:rPr>
          <w:rFonts w:hint="eastAsia" w:ascii="Times New Roman" w:hAnsi="Times New Roman"/>
          <w:b/>
          <w:color w:val="FF0000"/>
        </w:rPr>
        <w:t>个人用户</w:t>
      </w:r>
      <w:r>
        <w:rPr>
          <w:rFonts w:hint="eastAsia" w:ascii="Times New Roman" w:hAnsi="Times New Roman"/>
        </w:rPr>
        <w:t>中切换。录入了客户姓名、证件类型、证件号码后，如果是老客户，则</w:t>
      </w:r>
      <w:r>
        <w:rPr>
          <w:rFonts w:hint="eastAsia" w:ascii="Times New Roman" w:hAnsi="Times New Roman"/>
          <w:b/>
          <w:color w:val="FF0000"/>
        </w:rPr>
        <w:t>自动带出该用户的剩余未录入信息</w:t>
      </w:r>
      <w:r>
        <w:rPr>
          <w:rFonts w:hint="eastAsia" w:ascii="Times New Roman" w:hAnsi="Times New Roman"/>
        </w:rPr>
        <w:t>，可通过点击</w:t>
      </w:r>
      <w:r>
        <w:rPr>
          <w:rFonts w:hint="eastAsia" w:ascii="Times New Roman" w:hAnsi="Times New Roman"/>
          <w:b/>
          <w:color w:val="FF0000"/>
        </w:rPr>
        <w:t>“修改”</w:t>
      </w:r>
      <w:r>
        <w:rPr>
          <w:rFonts w:hint="eastAsia" w:ascii="Times New Roman" w:hAnsi="Times New Roman"/>
        </w:rPr>
        <w:t>按钮对用户详细资料进行更新。如果录入的是新客户，则会</w:t>
      </w:r>
      <w:r>
        <w:rPr>
          <w:rFonts w:hint="eastAsia" w:ascii="Times New Roman" w:hAnsi="Times New Roman"/>
          <w:b/>
          <w:color w:val="FF0000"/>
        </w:rPr>
        <w:t>自动打开用户详细资料页</w:t>
      </w:r>
      <w:r>
        <w:rPr>
          <w:rFonts w:hint="eastAsia" w:ascii="Times New Roman" w:hAnsi="Times New Roman"/>
        </w:rPr>
        <w:t>，进行完整的信息录入，录入后，会将性别、出生日期、地址等信息同步至主页面对应框体上。个人用户与企业用户的可录入要素不同，其中框体颜色遵循上文所述。</w:t>
      </w:r>
    </w:p>
    <w:p>
      <w:pPr>
        <w:pStyle w:val="21"/>
        <w:ind w:firstLine="0"/>
        <w:jc w:val="both"/>
        <w:rPr>
          <w:rFonts w:ascii="Times New Roman" w:hAnsi="Times New Roman"/>
        </w:rPr>
      </w:pPr>
      <w:r>
        <w:drawing>
          <wp:inline distT="0" distB="0" distL="0" distR="0">
            <wp:extent cx="5274310" cy="2880360"/>
            <wp:effectExtent l="9525" t="9525" r="12065" b="247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5274310" cy="2880360"/>
                    </a:xfrm>
                    <a:prstGeom prst="rect">
                      <a:avLst/>
                    </a:prstGeom>
                    <a:ln>
                      <a:solidFill>
                        <a:schemeClr val="tx1"/>
                      </a:solidFill>
                    </a:ln>
                  </pic:spPr>
                </pic:pic>
              </a:graphicData>
            </a:graphic>
          </wp:inline>
        </w:drawing>
      </w:r>
    </w:p>
    <w:p>
      <w:pPr>
        <w:pStyle w:val="6"/>
        <w:jc w:val="center"/>
        <w:rPr>
          <w:rFonts w:ascii="Times New Roman" w:hAnsi="Times New Roman"/>
        </w:rPr>
      </w:pPr>
      <w:r>
        <w:t xml:space="preserve">图 </w:t>
      </w:r>
      <w:r>
        <w:fldChar w:fldCharType="begin"/>
      </w:r>
      <w:r>
        <w:instrText xml:space="preserve"> SEQ 图 \* ARABIC </w:instrText>
      </w:r>
      <w:r>
        <w:fldChar w:fldCharType="separate"/>
      </w:r>
      <w:r>
        <w:t>9</w:t>
      </w:r>
      <w:r>
        <w:fldChar w:fldCharType="end"/>
      </w:r>
      <w:r>
        <w:t>录单界面</w:t>
      </w:r>
      <w:r>
        <w:rPr>
          <w:rFonts w:hint="eastAsia"/>
        </w:rPr>
        <w:t>-</w:t>
      </w:r>
      <w:r>
        <w:t>公共信息</w:t>
      </w:r>
    </w:p>
    <w:p>
      <w:pPr>
        <w:pStyle w:val="21"/>
        <w:rPr>
          <w:rFonts w:ascii="Times New Roman" w:hAnsi="Times New Roman"/>
        </w:rPr>
      </w:pPr>
      <w:r>
        <w:rPr>
          <w:rFonts w:hint="eastAsia" w:ascii="Times New Roman" w:hAnsi="Times New Roman"/>
        </w:rPr>
        <w:t>公共信息中，录单日期为当前日期可更改，</w:t>
      </w:r>
      <w:r>
        <w:rPr>
          <w:rFonts w:hint="eastAsia" w:ascii="Times New Roman" w:hAnsi="Times New Roman"/>
          <w:b/>
          <w:color w:val="FF0000"/>
        </w:rPr>
        <w:t>操作员代码为登陆人工号+姓名</w:t>
      </w:r>
      <w:r>
        <w:rPr>
          <w:rFonts w:hint="eastAsia" w:ascii="Times New Roman" w:hAnsi="Times New Roman"/>
        </w:rPr>
        <w:t>，不可修改。其中合同争议解决方式如选择</w:t>
      </w:r>
      <w:r>
        <w:rPr>
          <w:rFonts w:hint="eastAsia" w:ascii="Times New Roman" w:hAnsi="Times New Roman"/>
          <w:b/>
          <w:color w:val="FF0000"/>
        </w:rPr>
        <w:t>“诉讼”</w:t>
      </w:r>
      <w:r>
        <w:rPr>
          <w:rFonts w:hint="eastAsia" w:ascii="Times New Roman" w:hAnsi="Times New Roman"/>
        </w:rPr>
        <w:t>，则在右侧显示</w:t>
      </w:r>
      <w:r>
        <w:rPr>
          <w:rFonts w:hint="eastAsia" w:ascii="Times New Roman" w:hAnsi="Times New Roman"/>
          <w:b/>
          <w:color w:val="FF0000"/>
        </w:rPr>
        <w:t>诉讼文本</w:t>
      </w:r>
      <w:r>
        <w:rPr>
          <w:rFonts w:hint="eastAsia" w:ascii="Times New Roman" w:hAnsi="Times New Roman"/>
        </w:rPr>
        <w:t>，选择</w:t>
      </w:r>
      <w:r>
        <w:rPr>
          <w:rFonts w:hint="eastAsia" w:ascii="Times New Roman" w:hAnsi="Times New Roman"/>
          <w:b/>
          <w:color w:val="FF0000"/>
        </w:rPr>
        <w:t>“仲裁”</w:t>
      </w:r>
      <w:r>
        <w:rPr>
          <w:rFonts w:hint="eastAsia" w:ascii="Times New Roman" w:hAnsi="Times New Roman"/>
        </w:rPr>
        <w:t>，则显示</w:t>
      </w:r>
      <w:r>
        <w:rPr>
          <w:rFonts w:hint="eastAsia" w:ascii="Times New Roman" w:hAnsi="Times New Roman"/>
          <w:b/>
          <w:color w:val="FF0000"/>
        </w:rPr>
        <w:t>仲裁文本</w:t>
      </w:r>
      <w:r>
        <w:rPr>
          <w:rFonts w:hint="eastAsia" w:ascii="Times New Roman" w:hAnsi="Times New Roman"/>
        </w:rPr>
        <w:t>。责任险特有的</w:t>
      </w:r>
      <w:r>
        <w:rPr>
          <w:rFonts w:hint="eastAsia" w:ascii="Times New Roman" w:hAnsi="Times New Roman"/>
          <w:color w:val="FF0000"/>
        </w:rPr>
        <w:t>“</w:t>
      </w:r>
      <w:r>
        <w:rPr>
          <w:rFonts w:hint="eastAsia" w:ascii="Times New Roman" w:hAnsi="Times New Roman"/>
          <w:b/>
          <w:color w:val="FF0000"/>
        </w:rPr>
        <w:t>责任险保单基础</w:t>
      </w:r>
      <w:r>
        <w:rPr>
          <w:rFonts w:hint="eastAsia" w:ascii="Times New Roman" w:hAnsi="Times New Roman"/>
          <w:color w:val="FF0000"/>
        </w:rPr>
        <w:t>”</w:t>
      </w:r>
      <w:r>
        <w:rPr>
          <w:rFonts w:hint="eastAsia" w:ascii="Times New Roman" w:hAnsi="Times New Roman"/>
          <w:b/>
          <w:color w:val="FF0000"/>
        </w:rPr>
        <w:t>为必录选项</w:t>
      </w:r>
      <w:r>
        <w:rPr>
          <w:rFonts w:hint="eastAsia" w:ascii="Times New Roman" w:hAnsi="Times New Roman"/>
        </w:rPr>
        <w:t>，如选择</w:t>
      </w:r>
      <w:r>
        <w:rPr>
          <w:rFonts w:hint="eastAsia" w:ascii="Times New Roman" w:hAnsi="Times New Roman"/>
          <w:b/>
          <w:color w:val="FF0000"/>
        </w:rPr>
        <w:t>“事故发生制”</w:t>
      </w:r>
      <w:r>
        <w:rPr>
          <w:rFonts w:hint="eastAsia" w:ascii="Times New Roman" w:hAnsi="Times New Roman"/>
        </w:rPr>
        <w:t>，则</w:t>
      </w:r>
      <w:r>
        <w:rPr>
          <w:rFonts w:hint="eastAsia" w:ascii="Times New Roman" w:hAnsi="Times New Roman"/>
          <w:b/>
          <w:color w:val="FF0000"/>
        </w:rPr>
        <w:t>“发现终止日期”</w:t>
      </w:r>
      <w:r>
        <w:rPr>
          <w:rFonts w:hint="eastAsia" w:ascii="Times New Roman" w:hAnsi="Times New Roman"/>
        </w:rPr>
        <w:t>必录，选择</w:t>
      </w:r>
      <w:r>
        <w:rPr>
          <w:rFonts w:hint="eastAsia" w:ascii="Times New Roman" w:hAnsi="Times New Roman"/>
          <w:b/>
          <w:color w:val="FF0000"/>
        </w:rPr>
        <w:t>“索赔提出制”</w:t>
      </w:r>
      <w:r>
        <w:rPr>
          <w:rFonts w:hint="eastAsia" w:ascii="Times New Roman" w:hAnsi="Times New Roman"/>
        </w:rPr>
        <w:t>则</w:t>
      </w:r>
      <w:r>
        <w:rPr>
          <w:rFonts w:hint="eastAsia" w:ascii="Times New Roman" w:hAnsi="Times New Roman"/>
          <w:b/>
          <w:color w:val="FF0000"/>
        </w:rPr>
        <w:t>“追溯起始日期”</w:t>
      </w:r>
      <w:r>
        <w:rPr>
          <w:rFonts w:hint="eastAsia" w:ascii="Times New Roman" w:hAnsi="Times New Roman"/>
        </w:rPr>
        <w:t>必录。</w:t>
      </w:r>
      <w:r>
        <w:rPr>
          <w:rFonts w:hint="eastAsia" w:ascii="Times New Roman" w:hAnsi="Times New Roman"/>
          <w:b/>
          <w:color w:val="FF0000"/>
        </w:rPr>
        <w:t>发现终止日期默认为保单止期，并且不能晚于保单止期两年，追溯起始日期默认为保单起期，并且不能早于保单起期两年</w:t>
      </w:r>
      <w:r>
        <w:rPr>
          <w:rFonts w:hint="eastAsia" w:ascii="Times New Roman" w:hAnsi="Times New Roman"/>
        </w:rPr>
        <w:t>。地址类录入域和职业类别录入域为</w:t>
      </w:r>
      <w:r>
        <w:rPr>
          <w:rFonts w:hint="eastAsia" w:ascii="Times New Roman" w:hAnsi="Times New Roman"/>
          <w:b/>
          <w:color w:val="FF0000"/>
        </w:rPr>
        <w:t>级联下拉框</w:t>
      </w:r>
      <w:r>
        <w:rPr>
          <w:rFonts w:hint="eastAsia" w:ascii="Times New Roman" w:hAnsi="Times New Roman"/>
        </w:rPr>
        <w:t>，需要按照</w:t>
      </w:r>
      <w:r>
        <w:rPr>
          <w:rFonts w:hint="eastAsia" w:ascii="Times New Roman" w:hAnsi="Times New Roman"/>
          <w:b/>
          <w:color w:val="FF0000"/>
        </w:rPr>
        <w:t>省、市、区县</w:t>
      </w:r>
      <w:r>
        <w:rPr>
          <w:rFonts w:hint="eastAsia" w:ascii="Times New Roman" w:hAnsi="Times New Roman"/>
        </w:rPr>
        <w:t>（</w:t>
      </w:r>
      <w:r>
        <w:rPr>
          <w:rFonts w:hint="eastAsia" w:ascii="Times New Roman" w:hAnsi="Times New Roman"/>
          <w:b/>
          <w:color w:val="FF0000"/>
        </w:rPr>
        <w:t>职业大类、职业种类、职业小类，职业类别通过职业小类自动带出</w:t>
      </w:r>
      <w:r>
        <w:rPr>
          <w:rFonts w:hint="eastAsia" w:ascii="Times New Roman" w:hAnsi="Times New Roman"/>
        </w:rPr>
        <w:t>）顺序依次录入。</w:t>
      </w:r>
    </w:p>
    <w:p>
      <w:pPr>
        <w:pStyle w:val="21"/>
        <w:ind w:firstLine="0"/>
        <w:rPr>
          <w:rFonts w:ascii="Times New Roman" w:hAnsi="Times New Roman"/>
        </w:rPr>
      </w:pPr>
      <w:r>
        <w:drawing>
          <wp:inline distT="0" distB="0" distL="0" distR="0">
            <wp:extent cx="5274310" cy="1162050"/>
            <wp:effectExtent l="9525" t="9525" r="1206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6"/>
                    <a:stretch>
                      <a:fillRect/>
                    </a:stretch>
                  </pic:blipFill>
                  <pic:spPr>
                    <a:xfrm>
                      <a:off x="0" y="0"/>
                      <a:ext cx="5274310" cy="1162050"/>
                    </a:xfrm>
                    <a:prstGeom prst="rect">
                      <a:avLst/>
                    </a:prstGeom>
                    <a:ln>
                      <a:solidFill>
                        <a:schemeClr val="tx1"/>
                      </a:solid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10</w:t>
      </w:r>
      <w:r>
        <w:fldChar w:fldCharType="end"/>
      </w:r>
      <w:r>
        <w:t>录单界面</w:t>
      </w:r>
      <w:r>
        <w:rPr>
          <w:rFonts w:hint="eastAsia"/>
        </w:rPr>
        <w:t>-保单相关信息</w:t>
      </w:r>
    </w:p>
    <w:p>
      <w:pPr>
        <w:pStyle w:val="21"/>
        <w:rPr>
          <w:rFonts w:ascii="Times New Roman" w:hAnsi="Times New Roman"/>
        </w:rPr>
      </w:pPr>
      <w:r>
        <w:rPr>
          <w:rFonts w:ascii="Times New Roman" w:hAnsi="Times New Roman"/>
        </w:rPr>
        <w:t>币别分三种</w:t>
      </w:r>
      <w:r>
        <w:rPr>
          <w:rFonts w:hint="eastAsia" w:ascii="Times New Roman" w:hAnsi="Times New Roman"/>
        </w:rPr>
        <w:t>，</w:t>
      </w:r>
      <w:r>
        <w:rPr>
          <w:rFonts w:ascii="Times New Roman" w:hAnsi="Times New Roman"/>
          <w:b/>
          <w:color w:val="FF0000"/>
        </w:rPr>
        <w:t>签单币别</w:t>
      </w:r>
      <w:r>
        <w:rPr>
          <w:rFonts w:hint="eastAsia" w:ascii="Times New Roman" w:hAnsi="Times New Roman"/>
          <w:b/>
          <w:color w:val="FF0000"/>
        </w:rPr>
        <w:t>、</w:t>
      </w:r>
      <w:r>
        <w:rPr>
          <w:rFonts w:ascii="Times New Roman" w:hAnsi="Times New Roman"/>
          <w:b/>
          <w:color w:val="FF0000"/>
        </w:rPr>
        <w:t>本位币别</w:t>
      </w:r>
      <w:r>
        <w:rPr>
          <w:rFonts w:hint="eastAsia" w:ascii="Times New Roman" w:hAnsi="Times New Roman"/>
          <w:b/>
          <w:color w:val="FF0000"/>
        </w:rPr>
        <w:t>、</w:t>
      </w:r>
      <w:r>
        <w:rPr>
          <w:rFonts w:ascii="Times New Roman" w:hAnsi="Times New Roman"/>
          <w:b/>
          <w:color w:val="FF0000"/>
        </w:rPr>
        <w:t>应收币别</w:t>
      </w:r>
      <w:r>
        <w:rPr>
          <w:rFonts w:hint="eastAsia" w:ascii="Times New Roman" w:hAnsi="Times New Roman"/>
        </w:rPr>
        <w:t>。其中签单币别与应收币别可根据不同业务场景</w:t>
      </w:r>
      <w:r>
        <w:rPr>
          <w:rFonts w:hint="eastAsia" w:ascii="Times New Roman" w:hAnsi="Times New Roman"/>
          <w:b/>
          <w:color w:val="FF0000"/>
        </w:rPr>
        <w:t>自由选择</w:t>
      </w:r>
      <w:r>
        <w:rPr>
          <w:rFonts w:hint="eastAsia" w:ascii="Times New Roman" w:hAnsi="Times New Roman"/>
        </w:rPr>
        <w:t>，本位币别默认为</w:t>
      </w:r>
      <w:r>
        <w:rPr>
          <w:rFonts w:hint="eastAsia" w:ascii="Times New Roman" w:hAnsi="Times New Roman"/>
          <w:b/>
          <w:color w:val="FF0000"/>
        </w:rPr>
        <w:t>所在国家币别（人民币）</w:t>
      </w:r>
      <w:r>
        <w:rPr>
          <w:rFonts w:hint="eastAsia" w:ascii="Times New Roman" w:hAnsi="Times New Roman"/>
        </w:rPr>
        <w:t>，总保额、应收保费也会根据签单币别与应收币别进行分别显示。</w:t>
      </w:r>
    </w:p>
    <w:p>
      <w:pPr>
        <w:pStyle w:val="21"/>
        <w:rPr>
          <w:rFonts w:ascii="Times New Roman" w:hAnsi="Times New Roman"/>
        </w:rPr>
      </w:pPr>
      <w:r>
        <w:rPr>
          <w:rFonts w:ascii="Times New Roman" w:hAnsi="Times New Roman"/>
          <w:b/>
          <w:color w:val="FF0000"/>
        </w:rPr>
        <w:t>起保日期默认为当前日期</w:t>
      </w:r>
      <w:r>
        <w:rPr>
          <w:rFonts w:hint="eastAsia" w:ascii="Times New Roman" w:hAnsi="Times New Roman"/>
          <w:b/>
          <w:color w:val="FF0000"/>
        </w:rPr>
        <w:t>，且不可小于当前日期，终保日期按照起保日期向后延续一年</w:t>
      </w:r>
      <w:r>
        <w:rPr>
          <w:rFonts w:hint="eastAsia" w:ascii="Times New Roman" w:hAnsi="Times New Roman"/>
        </w:rPr>
        <w:t>。再次模块中，可录入</w:t>
      </w:r>
      <w:r>
        <w:rPr>
          <w:rFonts w:hint="eastAsia" w:ascii="Times New Roman" w:hAnsi="Times New Roman"/>
          <w:b/>
          <w:color w:val="FF0000"/>
        </w:rPr>
        <w:t>保单级</w:t>
      </w:r>
      <w:r>
        <w:rPr>
          <w:rFonts w:hint="eastAsia" w:ascii="Times New Roman" w:hAnsi="Times New Roman"/>
        </w:rPr>
        <w:t>的限额、免赔信息，此处在条款信息中详细阐述。</w:t>
      </w:r>
    </w:p>
    <w:p>
      <w:r>
        <w:drawing>
          <wp:inline distT="0" distB="0" distL="0" distR="0">
            <wp:extent cx="5274310" cy="1626870"/>
            <wp:effectExtent l="9525" t="9525" r="12065"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162687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录单界面</w:t>
      </w:r>
      <w:r>
        <w:rPr>
          <w:rFonts w:hint="eastAsia"/>
        </w:rPr>
        <w:t>-</w:t>
      </w:r>
      <w:r>
        <w:t>标的信息</w:t>
      </w:r>
    </w:p>
    <w:p>
      <w:pPr>
        <w:pStyle w:val="21"/>
        <w:rPr>
          <w:rFonts w:ascii="Times New Roman" w:hAnsi="Times New Roman"/>
        </w:rPr>
      </w:pPr>
      <w:r>
        <w:rPr>
          <w:rFonts w:ascii="Times New Roman" w:hAnsi="Times New Roman"/>
        </w:rPr>
        <w:t>标的信息中</w:t>
      </w:r>
      <w:r>
        <w:rPr>
          <w:rFonts w:hint="eastAsia" w:ascii="Times New Roman" w:hAnsi="Times New Roman"/>
        </w:rPr>
        <w:t>，</w:t>
      </w:r>
      <w:r>
        <w:rPr>
          <w:rFonts w:ascii="Times New Roman" w:hAnsi="Times New Roman"/>
        </w:rPr>
        <w:t>可录入标的基本信息与方案信息</w:t>
      </w:r>
      <w:r>
        <w:rPr>
          <w:rFonts w:hint="eastAsia" w:ascii="Times New Roman" w:hAnsi="Times New Roman"/>
        </w:rPr>
        <w:t>，</w:t>
      </w:r>
      <w:r>
        <w:rPr>
          <w:rFonts w:ascii="Times New Roman" w:hAnsi="Times New Roman"/>
        </w:rPr>
        <w:t>标的基本信息各产品内容不同</w:t>
      </w:r>
      <w:r>
        <w:rPr>
          <w:rFonts w:hint="eastAsia" w:ascii="Times New Roman" w:hAnsi="Times New Roman"/>
        </w:rPr>
        <w:t>，</w:t>
      </w:r>
      <w:r>
        <w:rPr>
          <w:rFonts w:ascii="Times New Roman" w:hAnsi="Times New Roman"/>
        </w:rPr>
        <w:t>此处不过多赘述</w:t>
      </w:r>
      <w:r>
        <w:rPr>
          <w:rFonts w:hint="eastAsia" w:ascii="Times New Roman" w:hAnsi="Times New Roman"/>
        </w:rPr>
        <w:t>。本系统支持多标的、多方案方式录入保单，可通过</w:t>
      </w:r>
      <w:r>
        <w:rPr>
          <w:rFonts w:hint="eastAsia" w:ascii="Times New Roman" w:hAnsi="Times New Roman"/>
          <w:b/>
          <w:color w:val="FF0000"/>
        </w:rPr>
        <w:t>“添加方案”、“添加标的”</w:t>
      </w:r>
      <w:r>
        <w:rPr>
          <w:rFonts w:hint="eastAsia" w:ascii="Times New Roman" w:hAnsi="Times New Roman"/>
        </w:rPr>
        <w:t>按钮添加方案、标的信息。</w:t>
      </w:r>
      <w:r>
        <w:rPr>
          <w:rFonts w:ascii="Times New Roman" w:hAnsi="Times New Roman"/>
        </w:rPr>
        <w:t>方案信息中</w:t>
      </w:r>
      <w:r>
        <w:rPr>
          <w:rFonts w:hint="eastAsia" w:ascii="Times New Roman" w:hAnsi="Times New Roman"/>
        </w:rPr>
        <w:t>，</w:t>
      </w:r>
      <w:r>
        <w:rPr>
          <w:rFonts w:ascii="Times New Roman" w:hAnsi="Times New Roman"/>
        </w:rPr>
        <w:t>可选择</w:t>
      </w:r>
      <w:r>
        <w:rPr>
          <w:rFonts w:ascii="Times New Roman" w:hAnsi="Times New Roman"/>
          <w:b/>
          <w:color w:val="FF0000"/>
        </w:rPr>
        <w:t>自主方案</w:t>
      </w:r>
      <w:r>
        <w:rPr>
          <w:rFonts w:ascii="Times New Roman" w:hAnsi="Times New Roman"/>
        </w:rPr>
        <w:t>与</w:t>
      </w:r>
      <w:r>
        <w:rPr>
          <w:rFonts w:ascii="Times New Roman" w:hAnsi="Times New Roman"/>
          <w:b/>
          <w:color w:val="FF0000"/>
        </w:rPr>
        <w:t>固定方案</w:t>
      </w:r>
      <w:r>
        <w:rPr>
          <w:rFonts w:hint="eastAsia" w:ascii="Times New Roman" w:hAnsi="Times New Roman"/>
        </w:rPr>
        <w:t>，</w:t>
      </w:r>
      <w:r>
        <w:rPr>
          <w:rFonts w:ascii="Times New Roman" w:hAnsi="Times New Roman"/>
        </w:rPr>
        <w:t>自主方案需要</w:t>
      </w:r>
      <w:r>
        <w:rPr>
          <w:rFonts w:ascii="Times New Roman" w:hAnsi="Times New Roman"/>
          <w:b/>
          <w:color w:val="FF0000"/>
        </w:rPr>
        <w:t>手动录入</w:t>
      </w:r>
      <w:r>
        <w:rPr>
          <w:rFonts w:ascii="Times New Roman" w:hAnsi="Times New Roman"/>
        </w:rPr>
        <w:t>保额</w:t>
      </w:r>
      <w:r>
        <w:rPr>
          <w:rFonts w:hint="eastAsia" w:ascii="Times New Roman" w:hAnsi="Times New Roman"/>
        </w:rPr>
        <w:t>、</w:t>
      </w:r>
      <w:r>
        <w:rPr>
          <w:rFonts w:ascii="Times New Roman" w:hAnsi="Times New Roman"/>
        </w:rPr>
        <w:t>保费等信息</w:t>
      </w:r>
      <w:r>
        <w:rPr>
          <w:rFonts w:hint="eastAsia" w:ascii="Times New Roman" w:hAnsi="Times New Roman"/>
        </w:rPr>
        <w:t>，</w:t>
      </w:r>
      <w:r>
        <w:rPr>
          <w:rFonts w:ascii="Times New Roman" w:hAnsi="Times New Roman"/>
        </w:rPr>
        <w:t>固定方案则会</w:t>
      </w:r>
      <w:r>
        <w:rPr>
          <w:rFonts w:ascii="Times New Roman" w:hAnsi="Times New Roman"/>
          <w:b/>
          <w:color w:val="FF0000"/>
        </w:rPr>
        <w:t>自动带出</w:t>
      </w:r>
      <w:r>
        <w:rPr>
          <w:rFonts w:ascii="Times New Roman" w:hAnsi="Times New Roman"/>
        </w:rPr>
        <w:t>产品工厂对于该方案配置的保额</w:t>
      </w:r>
      <w:r>
        <w:rPr>
          <w:rFonts w:hint="eastAsia" w:ascii="Times New Roman" w:hAnsi="Times New Roman"/>
        </w:rPr>
        <w:t>、</w:t>
      </w:r>
      <w:r>
        <w:rPr>
          <w:rFonts w:ascii="Times New Roman" w:hAnsi="Times New Roman"/>
        </w:rPr>
        <w:t>保费等信息</w:t>
      </w:r>
      <w:r>
        <w:rPr>
          <w:rFonts w:hint="eastAsia" w:ascii="Times New Roman" w:hAnsi="Times New Roman"/>
        </w:rPr>
        <w:t>，</w:t>
      </w:r>
      <w:r>
        <w:rPr>
          <w:rFonts w:ascii="Times New Roman" w:hAnsi="Times New Roman"/>
        </w:rPr>
        <w:t>且</w:t>
      </w:r>
      <w:r>
        <w:rPr>
          <w:rFonts w:ascii="Times New Roman" w:hAnsi="Times New Roman"/>
          <w:b/>
          <w:color w:val="FF0000"/>
        </w:rPr>
        <w:t>不可修改</w:t>
      </w:r>
      <w:r>
        <w:rPr>
          <w:rFonts w:hint="eastAsia" w:ascii="Times New Roman" w:hAnsi="Times New Roman"/>
        </w:rPr>
        <w:t>。</w:t>
      </w:r>
      <w:r>
        <w:rPr>
          <w:rFonts w:ascii="Times New Roman" w:hAnsi="Times New Roman"/>
        </w:rPr>
        <w:t>承保保费与应收保费计算方式如下</w:t>
      </w:r>
      <w:r>
        <w:rPr>
          <w:rFonts w:hint="eastAsia" w:ascii="Times New Roman" w:hAnsi="Times New Roman"/>
        </w:rPr>
        <w:t>：</w:t>
      </w:r>
    </w:p>
    <w:p>
      <w:pPr>
        <w:pStyle w:val="21"/>
        <w:rPr>
          <w:rFonts w:ascii="Times New Roman" w:hAnsi="Times New Roman"/>
          <w:b/>
          <w:color w:val="FF0000"/>
        </w:rPr>
      </w:pPr>
      <w:r>
        <w:rPr>
          <w:rFonts w:ascii="Times New Roman" w:hAnsi="Times New Roman"/>
          <w:b/>
          <w:color w:val="FF0000"/>
        </w:rPr>
        <w:t>承保保费</w:t>
      </w:r>
      <w:r>
        <w:rPr>
          <w:rFonts w:hint="eastAsia" w:ascii="Times New Roman" w:hAnsi="Times New Roman"/>
          <w:b/>
          <w:color w:val="FF0000"/>
        </w:rPr>
        <w:t>=保额×费率×短期费率；</w:t>
      </w:r>
    </w:p>
    <w:p>
      <w:pPr>
        <w:pStyle w:val="21"/>
        <w:rPr>
          <w:rFonts w:ascii="Times New Roman" w:hAnsi="Times New Roman"/>
          <w:b/>
          <w:color w:val="FF0000"/>
        </w:rPr>
      </w:pPr>
      <w:r>
        <w:rPr>
          <w:rFonts w:ascii="Times New Roman" w:hAnsi="Times New Roman"/>
          <w:b/>
          <w:color w:val="FF0000"/>
        </w:rPr>
        <w:t>应收保费</w:t>
      </w:r>
      <w:r>
        <w:rPr>
          <w:rFonts w:hint="eastAsia" w:ascii="Times New Roman" w:hAnsi="Times New Roman"/>
          <w:b/>
          <w:color w:val="FF0000"/>
        </w:rPr>
        <w:t>=</w:t>
      </w:r>
      <w:r>
        <w:rPr>
          <w:rFonts w:ascii="Times New Roman" w:hAnsi="Times New Roman"/>
          <w:b/>
          <w:color w:val="FF0000"/>
        </w:rPr>
        <w:t>承保保费×保费系数</w:t>
      </w:r>
      <w:r>
        <w:rPr>
          <w:rFonts w:hint="eastAsia" w:ascii="Times New Roman" w:hAnsi="Times New Roman"/>
          <w:b/>
          <w:color w:val="FF0000"/>
        </w:rPr>
        <w:t>（默认为1，只能录入0至1之间数字）；</w:t>
      </w:r>
    </w:p>
    <w:p>
      <w:pPr>
        <w:pStyle w:val="21"/>
        <w:rPr>
          <w:rFonts w:ascii="Times New Roman" w:hAnsi="Times New Roman"/>
        </w:rPr>
      </w:pPr>
      <w:r>
        <w:rPr>
          <w:rFonts w:ascii="Times New Roman" w:hAnsi="Times New Roman"/>
        </w:rPr>
        <w:t>其中保额</w:t>
      </w:r>
      <w:r>
        <w:rPr>
          <w:rFonts w:hint="eastAsia" w:ascii="Times New Roman" w:hAnsi="Times New Roman"/>
        </w:rPr>
        <w:t>、</w:t>
      </w:r>
      <w:r>
        <w:rPr>
          <w:rFonts w:ascii="Times New Roman" w:hAnsi="Times New Roman"/>
        </w:rPr>
        <w:t>承保保费</w:t>
      </w:r>
      <w:r>
        <w:rPr>
          <w:rFonts w:hint="eastAsia" w:ascii="Times New Roman" w:hAnsi="Times New Roman"/>
        </w:rPr>
        <w:t>、</w:t>
      </w:r>
      <w:r>
        <w:rPr>
          <w:rFonts w:ascii="Times New Roman" w:hAnsi="Times New Roman"/>
        </w:rPr>
        <w:t>应收保费保留两位小数</w:t>
      </w:r>
      <w:r>
        <w:rPr>
          <w:rFonts w:hint="eastAsia" w:ascii="Times New Roman" w:hAnsi="Times New Roman"/>
        </w:rPr>
        <w:t>，</w:t>
      </w:r>
      <w:r>
        <w:rPr>
          <w:rFonts w:ascii="Times New Roman" w:hAnsi="Times New Roman"/>
        </w:rPr>
        <w:t>费率</w:t>
      </w:r>
      <w:r>
        <w:rPr>
          <w:rFonts w:hint="eastAsia" w:ascii="Times New Roman" w:hAnsi="Times New Roman"/>
        </w:rPr>
        <w:t>、</w:t>
      </w:r>
      <w:r>
        <w:rPr>
          <w:rFonts w:ascii="Times New Roman" w:hAnsi="Times New Roman"/>
        </w:rPr>
        <w:t>保费系数保留四位小数</w:t>
      </w:r>
      <w:r>
        <w:rPr>
          <w:rFonts w:hint="eastAsia" w:ascii="Times New Roman" w:hAnsi="Times New Roman"/>
        </w:rPr>
        <w:t>。</w:t>
      </w:r>
    </w:p>
    <w:p>
      <w:pPr>
        <w:pStyle w:val="21"/>
        <w:rPr>
          <w:rFonts w:ascii="Times New Roman" w:hAnsi="Times New Roman"/>
        </w:rPr>
      </w:pPr>
      <w:r>
        <w:rPr>
          <w:rFonts w:ascii="Times New Roman" w:hAnsi="Times New Roman"/>
        </w:rPr>
        <w:t>点击</w:t>
      </w:r>
      <w:r>
        <w:rPr>
          <w:rFonts w:hint="eastAsia" w:ascii="Times New Roman" w:hAnsi="Times New Roman"/>
        </w:rPr>
        <w:t>“限额/免赔”可进入限额、免赔录入域，如下图：</w:t>
      </w:r>
    </w:p>
    <w:p>
      <w:pPr>
        <w:pStyle w:val="21"/>
        <w:ind w:firstLine="0"/>
        <w:rPr>
          <w:rFonts w:ascii="Times New Roman" w:hAnsi="Times New Roman"/>
        </w:rPr>
      </w:pPr>
      <w:r>
        <w:drawing>
          <wp:inline distT="0" distB="0" distL="0" distR="0">
            <wp:extent cx="5274310" cy="2510790"/>
            <wp:effectExtent l="9525" t="9525" r="1206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510790"/>
                    </a:xfrm>
                    <a:prstGeom prst="rect">
                      <a:avLst/>
                    </a:prstGeom>
                    <a:ln>
                      <a:solidFill>
                        <a:schemeClr val="tx1"/>
                      </a:solidFill>
                    </a:ln>
                  </pic:spPr>
                </pic:pic>
              </a:graphicData>
            </a:graphic>
          </wp:inline>
        </w:drawing>
      </w:r>
    </w:p>
    <w:p>
      <w:pPr>
        <w:pStyle w:val="6"/>
        <w:jc w:val="center"/>
        <w:rPr>
          <w:rFonts w:ascii="Times New Roman" w:hAnsi="Times New Roman"/>
        </w:rPr>
      </w:pPr>
      <w:r>
        <w:t xml:space="preserve">图 </w:t>
      </w:r>
      <w:r>
        <w:fldChar w:fldCharType="begin"/>
      </w:r>
      <w:r>
        <w:instrText xml:space="preserve"> SEQ 图 \* ARABIC </w:instrText>
      </w:r>
      <w:r>
        <w:fldChar w:fldCharType="separate"/>
      </w:r>
      <w:r>
        <w:t>12</w:t>
      </w:r>
      <w:r>
        <w:fldChar w:fldCharType="end"/>
      </w:r>
      <w:r>
        <w:t>录单界面</w:t>
      </w:r>
      <w:r>
        <w:rPr>
          <w:rFonts w:hint="eastAsia"/>
        </w:rPr>
        <w:t>-限额/免赔</w:t>
      </w:r>
    </w:p>
    <w:p>
      <w:pPr>
        <w:pStyle w:val="21"/>
        <w:rPr>
          <w:rFonts w:ascii="Times New Roman" w:hAnsi="Times New Roman"/>
        </w:rPr>
      </w:pPr>
      <w:r>
        <w:rPr>
          <w:rFonts w:hint="eastAsia" w:ascii="Times New Roman" w:hAnsi="Times New Roman"/>
        </w:rPr>
        <w:t>本系统可录入三级限额、免赔，即：</w:t>
      </w:r>
      <w:r>
        <w:rPr>
          <w:rFonts w:hint="eastAsia" w:ascii="Times New Roman" w:hAnsi="Times New Roman"/>
          <w:b/>
          <w:color w:val="FF0000"/>
        </w:rPr>
        <w:t>保单级、标的级、责任级</w:t>
      </w:r>
      <w:r>
        <w:rPr>
          <w:rFonts w:hint="eastAsia" w:ascii="Times New Roman" w:hAnsi="Times New Roman"/>
        </w:rPr>
        <w:t>。</w:t>
      </w:r>
      <w:r>
        <w:rPr>
          <w:rFonts w:hint="eastAsia" w:ascii="Times New Roman" w:hAnsi="Times New Roman"/>
          <w:b/>
          <w:color w:val="FF0000"/>
        </w:rPr>
        <w:t>功能入口分别在公共信息、标的信息、方案信息中</w:t>
      </w:r>
      <w:r>
        <w:rPr>
          <w:rFonts w:hint="eastAsia" w:ascii="Times New Roman" w:hAnsi="Times New Roman"/>
        </w:rPr>
        <w:t>。点击后，可打开上图所示窗口，点击“添加限额/免赔”按钮后，会根据不同入口生成一条默认的限额/免赔，</w:t>
      </w:r>
      <w:r>
        <w:rPr>
          <w:rFonts w:hint="eastAsia" w:ascii="Times New Roman" w:hAnsi="Times New Roman"/>
          <w:b/>
          <w:color w:val="FF0000"/>
        </w:rPr>
        <w:t>如在标的1中，添加标的级限额免赔，点击按钮后，则“级别”自动默认为标的级，“标的名称”默认为标的1。</w:t>
      </w:r>
    </w:p>
    <w:p>
      <w:pPr>
        <w:pStyle w:val="21"/>
        <w:ind w:firstLine="0"/>
        <w:rPr>
          <w:rFonts w:ascii="Times New Roman" w:hAnsi="Times New Roman"/>
        </w:rPr>
      </w:pPr>
      <w:r>
        <w:drawing>
          <wp:inline distT="0" distB="0" distL="0" distR="0">
            <wp:extent cx="5274310" cy="857885"/>
            <wp:effectExtent l="9525" t="9525" r="12065" b="279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857885"/>
                    </a:xfrm>
                    <a:prstGeom prst="rect">
                      <a:avLst/>
                    </a:prstGeom>
                    <a:ln>
                      <a:solidFill>
                        <a:schemeClr val="tx1"/>
                      </a:solidFill>
                    </a:ln>
                  </pic:spPr>
                </pic:pic>
              </a:graphicData>
            </a:graphic>
          </wp:inline>
        </w:drawing>
      </w:r>
    </w:p>
    <w:p>
      <w:pPr>
        <w:pStyle w:val="6"/>
        <w:jc w:val="center"/>
        <w:rPr>
          <w:rFonts w:ascii="Times New Roman" w:hAnsi="Times New Roman"/>
        </w:rPr>
      </w:pPr>
      <w:r>
        <w:t xml:space="preserve">图 </w:t>
      </w:r>
      <w:r>
        <w:fldChar w:fldCharType="begin"/>
      </w:r>
      <w:r>
        <w:instrText xml:space="preserve"> SEQ 图 \* ARABIC </w:instrText>
      </w:r>
      <w:r>
        <w:fldChar w:fldCharType="separate"/>
      </w:r>
      <w:r>
        <w:t>13</w:t>
      </w:r>
      <w:r>
        <w:fldChar w:fldCharType="end"/>
      </w:r>
      <w:r>
        <w:t>录单界面</w:t>
      </w:r>
      <w:r>
        <w:rPr>
          <w:rFonts w:hint="eastAsia"/>
        </w:rPr>
        <w:t>-附加险</w:t>
      </w:r>
    </w:p>
    <w:p>
      <w:pPr>
        <w:pStyle w:val="21"/>
        <w:rPr>
          <w:rFonts w:ascii="Times New Roman" w:hAnsi="Times New Roman"/>
        </w:rPr>
      </w:pPr>
      <w:r>
        <w:rPr>
          <w:rFonts w:hint="eastAsia" w:ascii="Times New Roman" w:hAnsi="Times New Roman"/>
        </w:rPr>
        <w:t>附加险录入方式与方案信息中条款录入方式类似，此处不做过多赘述，附加险模块中，为保单级附加险。</w:t>
      </w:r>
    </w:p>
    <w:p>
      <w:pPr>
        <w:pStyle w:val="21"/>
        <w:ind w:firstLine="0"/>
        <w:rPr>
          <w:rFonts w:ascii="Times New Roman" w:hAnsi="Times New Roman"/>
        </w:rPr>
      </w:pPr>
      <w:r>
        <w:drawing>
          <wp:inline distT="0" distB="0" distL="0" distR="0">
            <wp:extent cx="5274310" cy="1454785"/>
            <wp:effectExtent l="9525" t="9525" r="12065"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1454785"/>
                    </a:xfrm>
                    <a:prstGeom prst="rect">
                      <a:avLst/>
                    </a:prstGeom>
                    <a:ln>
                      <a:solidFill>
                        <a:schemeClr val="tx1"/>
                      </a:solidFill>
                    </a:ln>
                  </pic:spPr>
                </pic:pic>
              </a:graphicData>
            </a:graphic>
          </wp:inline>
        </w:drawing>
      </w:r>
    </w:p>
    <w:p>
      <w:pPr>
        <w:pStyle w:val="6"/>
        <w:jc w:val="center"/>
        <w:rPr>
          <w:rFonts w:ascii="Times New Roman" w:hAnsi="Times New Roman"/>
        </w:rPr>
      </w:pPr>
      <w:r>
        <w:t xml:space="preserve">图 </w:t>
      </w:r>
      <w:r>
        <w:fldChar w:fldCharType="begin"/>
      </w:r>
      <w:r>
        <w:instrText xml:space="preserve"> SEQ 图 \* ARABIC </w:instrText>
      </w:r>
      <w:r>
        <w:fldChar w:fldCharType="separate"/>
      </w:r>
      <w:r>
        <w:t>14</w:t>
      </w:r>
      <w:r>
        <w:fldChar w:fldCharType="end"/>
      </w:r>
      <w:r>
        <w:t>录单界面</w:t>
      </w:r>
      <w:r>
        <w:rPr>
          <w:rFonts w:hint="eastAsia"/>
        </w:rPr>
        <w:t>-佣金信息、缴费计划</w:t>
      </w:r>
    </w:p>
    <w:p>
      <w:pPr>
        <w:pStyle w:val="21"/>
        <w:ind w:firstLine="0"/>
        <w:rPr>
          <w:rFonts w:ascii="Times New Roman" w:hAnsi="Times New Roman"/>
        </w:rPr>
      </w:pPr>
      <w:r>
        <w:rPr>
          <w:rFonts w:ascii="Times New Roman" w:hAnsi="Times New Roman"/>
        </w:rPr>
        <w:tab/>
      </w:r>
      <w:r>
        <w:rPr>
          <w:rFonts w:ascii="Times New Roman" w:hAnsi="Times New Roman"/>
        </w:rPr>
        <w:t>佣金信息可添加多组</w:t>
      </w:r>
      <w:r>
        <w:rPr>
          <w:rFonts w:hint="eastAsia" w:ascii="Times New Roman" w:hAnsi="Times New Roman"/>
        </w:rPr>
        <w:t>，</w:t>
      </w:r>
      <w:r>
        <w:rPr>
          <w:rFonts w:ascii="Times New Roman" w:hAnsi="Times New Roman"/>
          <w:b/>
          <w:color w:val="FF0000"/>
        </w:rPr>
        <w:t>不同的佣金类型</w:t>
      </w:r>
      <w:r>
        <w:rPr>
          <w:rFonts w:hint="eastAsia" w:ascii="Times New Roman" w:hAnsi="Times New Roman"/>
          <w:b/>
          <w:color w:val="FF0000"/>
        </w:rPr>
        <w:t>，</w:t>
      </w:r>
      <w:r>
        <w:rPr>
          <w:rFonts w:ascii="Times New Roman" w:hAnsi="Times New Roman"/>
          <w:b/>
          <w:color w:val="FF0000"/>
        </w:rPr>
        <w:t>佣金比例上限有所不同</w:t>
      </w:r>
      <w:r>
        <w:rPr>
          <w:rFonts w:hint="eastAsia" w:ascii="Times New Roman" w:hAnsi="Times New Roman"/>
        </w:rPr>
        <w:t>，</w:t>
      </w:r>
      <w:r>
        <w:rPr>
          <w:rFonts w:ascii="Times New Roman" w:hAnsi="Times New Roman"/>
        </w:rPr>
        <w:t>此内容在销管系统中进行定义</w:t>
      </w:r>
      <w:r>
        <w:rPr>
          <w:rFonts w:hint="eastAsia" w:ascii="Times New Roman" w:hAnsi="Times New Roman"/>
        </w:rPr>
        <w:t>。缴费信息会根据约定缴费次数，按照保险期限，平均生成多期缴费信息。其中</w:t>
      </w:r>
      <w:r>
        <w:rPr>
          <w:rFonts w:hint="eastAsia" w:ascii="Times New Roman" w:hAnsi="Times New Roman"/>
          <w:b/>
          <w:color w:val="FF0000"/>
        </w:rPr>
        <w:t>“缴费截止日期”</w:t>
      </w:r>
      <w:r>
        <w:rPr>
          <w:rFonts w:hint="eastAsia" w:ascii="Times New Roman" w:hAnsi="Times New Roman"/>
        </w:rPr>
        <w:t>可修改，</w:t>
      </w:r>
      <w:r>
        <w:rPr>
          <w:rFonts w:hint="eastAsia" w:ascii="Times New Roman" w:hAnsi="Times New Roman"/>
          <w:b/>
          <w:color w:val="FF0000"/>
        </w:rPr>
        <w:t>付款人姓名默认为投保人姓名</w:t>
      </w:r>
      <w:r>
        <w:rPr>
          <w:rFonts w:hint="eastAsia" w:ascii="Times New Roman" w:hAnsi="Times New Roman"/>
        </w:rPr>
        <w:t>。</w:t>
      </w:r>
    </w:p>
    <w:p>
      <w:pPr>
        <w:pStyle w:val="21"/>
        <w:ind w:firstLine="0"/>
        <w:rPr>
          <w:rFonts w:ascii="Times New Roman" w:hAnsi="Times New Roman"/>
        </w:rPr>
      </w:pPr>
      <w:r>
        <w:rPr>
          <w:rFonts w:ascii="Times New Roman" w:hAnsi="Times New Roman"/>
        </w:rPr>
        <w:tab/>
      </w:r>
      <w:r>
        <w:drawing>
          <wp:inline distT="0" distB="0" distL="0" distR="0">
            <wp:extent cx="5274310" cy="2541905"/>
            <wp:effectExtent l="9525" t="9525" r="12065" b="203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541905"/>
                    </a:xfrm>
                    <a:prstGeom prst="rect">
                      <a:avLst/>
                    </a:prstGeom>
                    <a:ln>
                      <a:solidFill>
                        <a:schemeClr val="tx1"/>
                      </a:solid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15</w:t>
      </w:r>
      <w:r>
        <w:fldChar w:fldCharType="end"/>
      </w:r>
      <w:r>
        <w:t>录单界面</w:t>
      </w:r>
      <w:r>
        <w:rPr>
          <w:rFonts w:hint="eastAsia"/>
        </w:rPr>
        <w:t>-领款人信息、特约信息、条款文本信息</w:t>
      </w:r>
    </w:p>
    <w:p>
      <w:pPr>
        <w:pStyle w:val="21"/>
        <w:ind w:firstLine="0"/>
        <w:rPr>
          <w:rFonts w:ascii="Times New Roman" w:hAnsi="Times New Roman"/>
          <w:b/>
          <w:color w:val="FF0000"/>
        </w:rPr>
      </w:pPr>
      <w:r>
        <w:tab/>
      </w:r>
      <w:r>
        <w:rPr>
          <w:rFonts w:hint="eastAsia" w:ascii="Times New Roman" w:hAnsi="Times New Roman"/>
          <w:b/>
          <w:color w:val="FF0000"/>
        </w:rPr>
        <w:t>“</w:t>
      </w:r>
      <w:r>
        <w:rPr>
          <w:rFonts w:ascii="Times New Roman" w:hAnsi="Times New Roman"/>
          <w:b/>
          <w:color w:val="FF0000"/>
        </w:rPr>
        <w:t>领款人类型</w:t>
      </w:r>
      <w:r>
        <w:rPr>
          <w:rFonts w:hint="eastAsia" w:ascii="Times New Roman" w:hAnsi="Times New Roman"/>
          <w:b/>
          <w:color w:val="FF0000"/>
        </w:rPr>
        <w:t>”</w:t>
      </w:r>
      <w:r>
        <w:rPr>
          <w:rFonts w:ascii="Times New Roman" w:hAnsi="Times New Roman"/>
        </w:rPr>
        <w:t>可在</w:t>
      </w:r>
      <w:r>
        <w:rPr>
          <w:rFonts w:ascii="Times New Roman" w:hAnsi="Times New Roman"/>
          <w:b/>
          <w:color w:val="FF0000"/>
        </w:rPr>
        <w:t>投保人</w:t>
      </w:r>
      <w:r>
        <w:rPr>
          <w:rFonts w:hint="eastAsia" w:ascii="Times New Roman" w:hAnsi="Times New Roman"/>
          <w:b/>
          <w:color w:val="FF0000"/>
        </w:rPr>
        <w:t>、</w:t>
      </w:r>
      <w:r>
        <w:rPr>
          <w:rFonts w:ascii="Times New Roman" w:hAnsi="Times New Roman"/>
          <w:b/>
          <w:color w:val="FF0000"/>
        </w:rPr>
        <w:t>被保险人</w:t>
      </w:r>
      <w:r>
        <w:rPr>
          <w:rFonts w:hint="eastAsia" w:ascii="Times New Roman" w:hAnsi="Times New Roman"/>
          <w:b/>
          <w:color w:val="FF0000"/>
        </w:rPr>
        <w:t>、</w:t>
      </w:r>
      <w:r>
        <w:rPr>
          <w:rFonts w:ascii="Times New Roman" w:hAnsi="Times New Roman"/>
          <w:b/>
          <w:color w:val="FF0000"/>
        </w:rPr>
        <w:t>其他</w:t>
      </w:r>
      <w:r>
        <w:rPr>
          <w:rFonts w:ascii="Times New Roman" w:hAnsi="Times New Roman"/>
        </w:rPr>
        <w:t>中选择</w:t>
      </w:r>
      <w:r>
        <w:rPr>
          <w:rFonts w:hint="eastAsia" w:ascii="Times New Roman" w:hAnsi="Times New Roman"/>
        </w:rPr>
        <w:t>，</w:t>
      </w:r>
      <w:r>
        <w:rPr>
          <w:rFonts w:ascii="Times New Roman" w:hAnsi="Times New Roman"/>
          <w:b/>
          <w:color w:val="FF0000"/>
        </w:rPr>
        <w:t>如果选择投保人</w:t>
      </w:r>
      <w:r>
        <w:rPr>
          <w:rFonts w:hint="eastAsia" w:ascii="Times New Roman" w:hAnsi="Times New Roman"/>
          <w:b/>
          <w:color w:val="FF0000"/>
        </w:rPr>
        <w:t>，</w:t>
      </w:r>
      <w:r>
        <w:rPr>
          <w:rFonts w:ascii="Times New Roman" w:hAnsi="Times New Roman"/>
          <w:b/>
          <w:color w:val="FF0000"/>
        </w:rPr>
        <w:t>则</w:t>
      </w:r>
      <w:r>
        <w:rPr>
          <w:rFonts w:hint="eastAsia" w:ascii="Times New Roman" w:hAnsi="Times New Roman"/>
          <w:b/>
          <w:color w:val="FF0000"/>
        </w:rPr>
        <w:t>“领款人”自动带出投保人姓名，不可修改。如果选择被保险人，因存在多个被保险人的情况，所以可在领款人下拉选择中选取指定被保险人，选择其他时，则自主录入领款人。</w:t>
      </w:r>
    </w:p>
    <w:p>
      <w:pPr>
        <w:pStyle w:val="21"/>
        <w:ind w:firstLine="0"/>
        <w:rPr>
          <w:rFonts w:ascii="Times New Roman" w:hAnsi="Times New Roman"/>
        </w:rPr>
      </w:pPr>
      <w:r>
        <w:rPr>
          <w:rFonts w:ascii="Times New Roman" w:hAnsi="Times New Roman"/>
        </w:rPr>
        <w:tab/>
      </w:r>
      <w:r>
        <w:rPr>
          <w:rFonts w:ascii="Times New Roman" w:hAnsi="Times New Roman"/>
        </w:rPr>
        <w:t>特约信息中会</w:t>
      </w:r>
      <w:r>
        <w:rPr>
          <w:rFonts w:ascii="Times New Roman" w:hAnsi="Times New Roman"/>
          <w:b/>
          <w:color w:val="FF0000"/>
        </w:rPr>
        <w:t>自动带入产品工厂为该产品配置的默认特约信息</w:t>
      </w:r>
      <w:r>
        <w:rPr>
          <w:rFonts w:hint="eastAsia" w:ascii="Times New Roman" w:hAnsi="Times New Roman"/>
        </w:rPr>
        <w:t>，</w:t>
      </w:r>
      <w:r>
        <w:rPr>
          <w:rFonts w:ascii="Times New Roman" w:hAnsi="Times New Roman"/>
        </w:rPr>
        <w:t>可通过</w:t>
      </w:r>
      <w:r>
        <w:rPr>
          <w:rFonts w:hint="eastAsia" w:ascii="Times New Roman" w:hAnsi="Times New Roman"/>
          <w:b/>
          <w:color w:val="FF0000"/>
        </w:rPr>
        <w:t>“添加特约”、“删除”</w:t>
      </w:r>
      <w:r>
        <w:rPr>
          <w:rFonts w:hint="eastAsia" w:ascii="Times New Roman" w:hAnsi="Times New Roman"/>
        </w:rPr>
        <w:t>按钮对特约进行</w:t>
      </w:r>
      <w:r>
        <w:rPr>
          <w:rFonts w:hint="eastAsia" w:ascii="Times New Roman" w:hAnsi="Times New Roman"/>
          <w:b/>
          <w:color w:val="FF0000"/>
        </w:rPr>
        <w:t>新增</w:t>
      </w:r>
      <w:r>
        <w:rPr>
          <w:rFonts w:hint="eastAsia" w:ascii="Times New Roman" w:hAnsi="Times New Roman"/>
        </w:rPr>
        <w:t>和</w:t>
      </w:r>
      <w:r>
        <w:rPr>
          <w:rFonts w:hint="eastAsia" w:ascii="Times New Roman" w:hAnsi="Times New Roman"/>
          <w:b/>
          <w:color w:val="FF0000"/>
        </w:rPr>
        <w:t>删除</w:t>
      </w:r>
      <w:r>
        <w:rPr>
          <w:rFonts w:hint="eastAsia" w:ascii="Times New Roman" w:hAnsi="Times New Roman"/>
        </w:rPr>
        <w:t>。需要注意的是，</w:t>
      </w:r>
      <w:r>
        <w:rPr>
          <w:rFonts w:hint="eastAsia" w:ascii="Times New Roman" w:hAnsi="Times New Roman"/>
          <w:b/>
          <w:color w:val="FF0000"/>
        </w:rPr>
        <w:t>特别约定不可重复，添加过的特约无法再次添加</w:t>
      </w:r>
      <w:r>
        <w:rPr>
          <w:rFonts w:hint="eastAsia" w:ascii="Times New Roman" w:hAnsi="Times New Roman"/>
        </w:rPr>
        <w:t>。同时，在添加特约中也可选择</w:t>
      </w:r>
      <w:r>
        <w:rPr>
          <w:rFonts w:hint="eastAsia" w:ascii="Times New Roman" w:hAnsi="Times New Roman"/>
          <w:b/>
          <w:color w:val="FF0000"/>
        </w:rPr>
        <w:t>自定义特约类型</w:t>
      </w:r>
      <w:r>
        <w:rPr>
          <w:rFonts w:hint="eastAsia" w:ascii="Times New Roman" w:hAnsi="Times New Roman"/>
        </w:rPr>
        <w:t>，需要</w:t>
      </w:r>
      <w:r>
        <w:rPr>
          <w:rFonts w:hint="eastAsia" w:ascii="Times New Roman" w:hAnsi="Times New Roman"/>
          <w:b/>
          <w:color w:val="FF0000"/>
        </w:rPr>
        <w:t>手动录入</w:t>
      </w:r>
      <w:r>
        <w:rPr>
          <w:rFonts w:hint="eastAsia" w:ascii="Times New Roman" w:hAnsi="Times New Roman"/>
        </w:rPr>
        <w:t>特约名称与内容。</w:t>
      </w:r>
    </w:p>
    <w:p>
      <w:pPr>
        <w:pStyle w:val="21"/>
        <w:ind w:firstLine="0"/>
        <w:rPr>
          <w:rFonts w:ascii="Times New Roman" w:hAnsi="Times New Roman"/>
        </w:rPr>
      </w:pPr>
      <w:r>
        <w:rPr>
          <w:rFonts w:ascii="Times New Roman" w:hAnsi="Times New Roman"/>
        </w:rPr>
        <w:tab/>
      </w:r>
      <w:r>
        <w:rPr>
          <w:rFonts w:ascii="Times New Roman" w:hAnsi="Times New Roman"/>
        </w:rPr>
        <w:t>条款文本为产品工厂配置</w:t>
      </w:r>
      <w:r>
        <w:rPr>
          <w:rFonts w:hint="eastAsia" w:ascii="Times New Roman" w:hAnsi="Times New Roman"/>
        </w:rPr>
        <w:t>，</w:t>
      </w:r>
      <w:r>
        <w:rPr>
          <w:rFonts w:ascii="Times New Roman" w:hAnsi="Times New Roman"/>
        </w:rPr>
        <w:t>承保系统提供下载</w:t>
      </w:r>
      <w:r>
        <w:rPr>
          <w:rFonts w:hint="eastAsia" w:ascii="Times New Roman" w:hAnsi="Times New Roman"/>
        </w:rPr>
        <w:t>。</w:t>
      </w:r>
    </w:p>
    <w:p>
      <w:pPr>
        <w:pStyle w:val="21"/>
        <w:ind w:firstLine="0"/>
        <w:rPr>
          <w:rFonts w:ascii="Times New Roman" w:hAnsi="Times New Roman"/>
        </w:rPr>
      </w:pPr>
      <w:r>
        <w:drawing>
          <wp:inline distT="0" distB="0" distL="0" distR="0">
            <wp:extent cx="5274310" cy="431800"/>
            <wp:effectExtent l="9525" t="9525" r="12065"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431800"/>
                    </a:xfrm>
                    <a:prstGeom prst="rect">
                      <a:avLst/>
                    </a:prstGeom>
                    <a:ln>
                      <a:solidFill>
                        <a:schemeClr val="tx1"/>
                      </a:solid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16</w:t>
      </w:r>
      <w:r>
        <w:fldChar w:fldCharType="end"/>
      </w:r>
      <w:r>
        <w:t>录单界面</w:t>
      </w:r>
      <w:r>
        <w:rPr>
          <w:rFonts w:hint="eastAsia"/>
        </w:rPr>
        <w:t>-其他功能</w:t>
      </w:r>
    </w:p>
    <w:p>
      <w:pPr>
        <w:pStyle w:val="21"/>
        <w:ind w:firstLine="0"/>
        <w:rPr>
          <w:rFonts w:ascii="Times New Roman" w:hAnsi="Times New Roman"/>
        </w:rPr>
      </w:pPr>
      <w:r>
        <w:rPr>
          <w:rFonts w:ascii="Times New Roman" w:hAnsi="Times New Roman"/>
        </w:rPr>
        <w:tab/>
      </w:r>
      <w:r>
        <w:rPr>
          <w:rFonts w:ascii="Times New Roman" w:hAnsi="Times New Roman"/>
        </w:rPr>
        <w:t>录单过程中</w:t>
      </w:r>
      <w:r>
        <w:rPr>
          <w:rFonts w:hint="eastAsia" w:ascii="Times New Roman" w:hAnsi="Times New Roman"/>
        </w:rPr>
        <w:t>，</w:t>
      </w:r>
      <w:r>
        <w:rPr>
          <w:rFonts w:ascii="Times New Roman" w:hAnsi="Times New Roman"/>
        </w:rPr>
        <w:t>如需暂时保存以录入的信息</w:t>
      </w:r>
      <w:r>
        <w:rPr>
          <w:rFonts w:hint="eastAsia" w:ascii="Times New Roman" w:hAnsi="Times New Roman"/>
        </w:rPr>
        <w:t>，</w:t>
      </w:r>
      <w:r>
        <w:rPr>
          <w:rFonts w:ascii="Times New Roman" w:hAnsi="Times New Roman"/>
        </w:rPr>
        <w:t>之后进行补录</w:t>
      </w:r>
      <w:r>
        <w:rPr>
          <w:rFonts w:hint="eastAsia" w:ascii="Times New Roman" w:hAnsi="Times New Roman"/>
        </w:rPr>
        <w:t>，</w:t>
      </w:r>
      <w:r>
        <w:rPr>
          <w:rFonts w:ascii="Times New Roman" w:hAnsi="Times New Roman"/>
        </w:rPr>
        <w:t>则可以点击页面右上角的</w:t>
      </w:r>
      <w:r>
        <w:rPr>
          <w:rFonts w:hint="eastAsia" w:ascii="Times New Roman" w:hAnsi="Times New Roman"/>
          <w:b/>
          <w:color w:val="FF0000"/>
        </w:rPr>
        <w:t>“暂存”</w:t>
      </w:r>
      <w:r>
        <w:rPr>
          <w:rFonts w:hint="eastAsia" w:ascii="Times New Roman" w:hAnsi="Times New Roman"/>
        </w:rPr>
        <w:t>按钮，系统会将内容存储，</w:t>
      </w:r>
      <w:r>
        <w:rPr>
          <w:rFonts w:hint="eastAsia" w:ascii="Times New Roman" w:hAnsi="Times New Roman"/>
          <w:b/>
          <w:color w:val="FF0000"/>
        </w:rPr>
        <w:t>并生成投保单号</w:t>
      </w:r>
      <w:r>
        <w:rPr>
          <w:rFonts w:hint="eastAsia" w:ascii="Times New Roman" w:hAnsi="Times New Roman"/>
        </w:rPr>
        <w:t>，方便之后继续补充该投保单信息。信息录入完成后，可以点击右上方的</w:t>
      </w:r>
      <w:r>
        <w:drawing>
          <wp:inline distT="0" distB="0" distL="0" distR="0">
            <wp:extent cx="275590" cy="180340"/>
            <wp:effectExtent l="0" t="0" r="1016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76190" cy="180952"/>
                    </a:xfrm>
                    <a:prstGeom prst="rect">
                      <a:avLst/>
                    </a:prstGeom>
                  </pic:spPr>
                </pic:pic>
              </a:graphicData>
            </a:graphic>
          </wp:inline>
        </w:drawing>
      </w:r>
      <w:r>
        <w:rPr>
          <w:rFonts w:hint="eastAsia" w:ascii="Times New Roman" w:hAnsi="Times New Roman"/>
        </w:rPr>
        <w:t>，使用</w:t>
      </w:r>
      <w:r>
        <w:rPr>
          <w:rFonts w:hint="eastAsia" w:ascii="Times New Roman" w:hAnsi="Times New Roman"/>
          <w:b/>
          <w:color w:val="FF0000"/>
        </w:rPr>
        <w:t>影像上传</w:t>
      </w:r>
      <w:r>
        <w:rPr>
          <w:rFonts w:hint="eastAsia" w:ascii="Times New Roman" w:hAnsi="Times New Roman"/>
        </w:rPr>
        <w:t>功能对该投保单的影像资料进行补充。需要导入人员清单或者雇员清单的产品，也可点击“人员清单导入”按钮，呼出被保险人/雇员导入窗口。确认一切信息录入完毕后，点击“提交核保”按钮，可将该投保单提交至核保系统。</w:t>
      </w:r>
    </w:p>
    <w:p>
      <w:pPr>
        <w:pStyle w:val="21"/>
        <w:ind w:firstLine="0"/>
        <w:rPr>
          <w:rFonts w:ascii="Times New Roman" w:hAnsi="Times New Roman"/>
          <w:b/>
        </w:rPr>
      </w:pPr>
      <w:r>
        <w:rPr>
          <w:rFonts w:ascii="Times New Roman" w:hAnsi="Times New Roman"/>
        </w:rPr>
        <w:tab/>
      </w:r>
      <w:r>
        <w:rPr>
          <w:rFonts w:ascii="Times New Roman" w:hAnsi="Times New Roman"/>
          <w:b/>
          <w:color w:val="FF0000"/>
        </w:rPr>
        <w:t>核保通过后</w:t>
      </w:r>
      <w:r>
        <w:rPr>
          <w:rFonts w:hint="eastAsia" w:ascii="Times New Roman" w:hAnsi="Times New Roman"/>
          <w:b/>
          <w:color w:val="FF0000"/>
        </w:rPr>
        <w:t>，</w:t>
      </w:r>
      <w:r>
        <w:rPr>
          <w:rFonts w:ascii="Times New Roman" w:hAnsi="Times New Roman"/>
          <w:b/>
          <w:color w:val="FF0000"/>
        </w:rPr>
        <w:t>根据见费出单规则判断是否可生成保单</w:t>
      </w:r>
      <w:r>
        <w:rPr>
          <w:rFonts w:hint="eastAsia" w:ascii="Times New Roman" w:hAnsi="Times New Roman"/>
          <w:b/>
          <w:color w:val="FF0000"/>
        </w:rPr>
        <w:t>。对于见费出单的保单，需缴费后才能生成保单号，对于非见费出单的保单，核保通过后即可生成保单号。</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69" w:name="_Toc1805"/>
      <w:r>
        <w:rPr>
          <w:rFonts w:hint="eastAsia"/>
        </w:rPr>
        <w:t>影像上传</w:t>
      </w:r>
      <w:bookmarkEnd w:id="69"/>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70" w:name="_Toc10108"/>
      <w:r>
        <w:rPr>
          <w:rStyle w:val="20"/>
          <w:rFonts w:eastAsia="仿宋_GB2312"/>
          <w:sz w:val="28"/>
          <w:szCs w:val="28"/>
        </w:rPr>
        <w:t>功能说明</w:t>
      </w:r>
      <w:bookmarkEnd w:id="70"/>
    </w:p>
    <w:p>
      <w:pPr>
        <w:pStyle w:val="21"/>
        <w:rPr>
          <w:rFonts w:ascii="Times New Roman" w:hAnsi="Times New Roman"/>
        </w:rPr>
      </w:pPr>
      <w:r>
        <w:rPr>
          <w:rFonts w:hint="eastAsia"/>
        </w:rPr>
        <w:t>在投保、批改、支付对象修改时，可进行影像上传，对于保单、批单，可进行影像查询。</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71" w:name="_Toc31337"/>
      <w:r>
        <w:rPr>
          <w:rStyle w:val="20"/>
          <w:rFonts w:eastAsia="仿宋_GB2312"/>
          <w:sz w:val="28"/>
          <w:szCs w:val="28"/>
        </w:rPr>
        <w:t>功能介绍</w:t>
      </w:r>
      <w:bookmarkEnd w:id="71"/>
    </w:p>
    <w:p>
      <w:pPr>
        <w:pStyle w:val="21"/>
        <w:rPr>
          <w:rFonts w:ascii="Times New Roman" w:hAnsi="Times New Roman"/>
        </w:rPr>
      </w:pPr>
      <w:r>
        <w:rPr>
          <w:lang w:val="zh-CN" w:eastAsia="zh-CN"/>
        </w:rPr>
        <w:t>在</w:t>
      </w:r>
      <w:r>
        <w:rPr>
          <w:b/>
          <w:color w:val="FF0000"/>
          <w:lang w:val="zh-CN" w:eastAsia="zh-CN"/>
        </w:rPr>
        <w:t>投保录入</w:t>
      </w:r>
      <w:r>
        <w:rPr>
          <w:rFonts w:hint="eastAsia"/>
          <w:b/>
          <w:color w:val="FF0000"/>
          <w:lang w:val="zh-CN"/>
        </w:rPr>
        <w:t>、</w:t>
      </w:r>
      <w:r>
        <w:rPr>
          <w:b/>
          <w:color w:val="FF0000"/>
          <w:lang w:val="zh-CN" w:eastAsia="zh-CN"/>
        </w:rPr>
        <w:t>批改录入</w:t>
      </w:r>
      <w:r>
        <w:rPr>
          <w:rFonts w:hint="eastAsia"/>
          <w:b/>
          <w:color w:val="FF0000"/>
          <w:lang w:val="zh-CN"/>
        </w:rPr>
        <w:t>、</w:t>
      </w:r>
      <w:r>
        <w:rPr>
          <w:b/>
          <w:color w:val="FF0000"/>
          <w:lang w:val="zh-CN" w:eastAsia="zh-CN"/>
        </w:rPr>
        <w:t>支付对象修改</w:t>
      </w:r>
      <w:r>
        <w:rPr>
          <w:lang w:val="zh-CN" w:eastAsia="zh-CN"/>
        </w:rPr>
        <w:t>时</w:t>
      </w:r>
      <w:r>
        <w:rPr>
          <w:rFonts w:hint="eastAsia"/>
          <w:lang w:val="zh-CN"/>
        </w:rPr>
        <w:t>，</w:t>
      </w:r>
      <w:r>
        <w:rPr>
          <w:lang w:val="zh-CN" w:eastAsia="zh-CN"/>
        </w:rPr>
        <w:t>可使用影像上传功能</w:t>
      </w:r>
      <w:r>
        <w:rPr>
          <w:rFonts w:hint="eastAsia"/>
          <w:lang w:val="zh-CN"/>
        </w:rPr>
        <w:t>，在高级查询中，对于</w:t>
      </w:r>
      <w:r>
        <w:rPr>
          <w:rFonts w:hint="eastAsia"/>
          <w:b/>
          <w:color w:val="FF0000"/>
          <w:lang w:val="zh-CN"/>
        </w:rPr>
        <w:t>未提交的投保单</w:t>
      </w:r>
      <w:r>
        <w:rPr>
          <w:rFonts w:hint="eastAsia"/>
          <w:lang w:val="zh-CN"/>
        </w:rPr>
        <w:t>，也可以进行影像上传功能，</w:t>
      </w:r>
      <w:r>
        <w:rPr>
          <w:lang w:val="zh-CN" w:eastAsia="zh-CN"/>
        </w:rPr>
        <w:t>不同流程中</w:t>
      </w:r>
      <w:r>
        <w:rPr>
          <w:rFonts w:hint="eastAsia"/>
          <w:lang w:val="zh-CN"/>
        </w:rPr>
        <w:t>，</w:t>
      </w:r>
      <w:r>
        <w:rPr>
          <w:lang w:val="zh-CN"/>
        </w:rPr>
        <w:t>进入方式也不尽相同</w:t>
      </w:r>
      <w:r>
        <w:rPr>
          <w:rFonts w:hint="eastAsia"/>
          <w:lang w:val="zh-CN"/>
        </w:rPr>
        <w:t>。</w:t>
      </w:r>
    </w:p>
    <w:p>
      <w:pPr>
        <w:keepNext/>
      </w:pPr>
      <w:r>
        <w:rPr>
          <w:rFonts w:hint="eastAsia"/>
        </w:rPr>
        <w:drawing>
          <wp:inline distT="0" distB="0" distL="0" distR="0">
            <wp:extent cx="5266690" cy="783590"/>
            <wp:effectExtent l="9525" t="9525" r="19685" b="260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6690" cy="78359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影像入口</w:t>
      </w:r>
      <w:r>
        <w:rPr>
          <w:rFonts w:hint="eastAsia"/>
        </w:rPr>
        <w:t>-投保</w:t>
      </w:r>
    </w:p>
    <w:p>
      <w:pPr>
        <w:keepNext/>
      </w:pPr>
      <w:r>
        <w:rPr>
          <w:rFonts w:hint="eastAsia"/>
        </w:rPr>
        <w:drawing>
          <wp:inline distT="0" distB="0" distL="0" distR="0">
            <wp:extent cx="5272405" cy="1080770"/>
            <wp:effectExtent l="9525" t="9525" r="1397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2405" cy="108077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影像入口</w:t>
      </w:r>
      <w:r>
        <w:rPr>
          <w:rFonts w:hint="eastAsia"/>
        </w:rPr>
        <w:t>-批改</w:t>
      </w:r>
    </w:p>
    <w:p>
      <w:pPr>
        <w:keepNext/>
      </w:pPr>
      <w:r>
        <w:rPr>
          <w:rFonts w:hint="eastAsia"/>
        </w:rPr>
        <w:drawing>
          <wp:inline distT="0" distB="0" distL="0" distR="0">
            <wp:extent cx="5266690" cy="1710055"/>
            <wp:effectExtent l="9525" t="9525" r="1968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6690" cy="1710055"/>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t>影像入口</w:t>
      </w:r>
      <w:r>
        <w:rPr>
          <w:rFonts w:hint="eastAsia"/>
        </w:rPr>
        <w:t>-支付对象修改</w:t>
      </w:r>
    </w:p>
    <w:p>
      <w:pPr>
        <w:keepNext/>
      </w:pPr>
      <w:r>
        <w:drawing>
          <wp:inline distT="0" distB="0" distL="0" distR="0">
            <wp:extent cx="5272405" cy="896620"/>
            <wp:effectExtent l="9525" t="9525" r="13970" b="273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2405" cy="89662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t>影像入口</w:t>
      </w:r>
      <w:r>
        <w:rPr>
          <w:rFonts w:hint="eastAsia"/>
        </w:rPr>
        <w:t>-高级查询（投保单）</w:t>
      </w:r>
    </w:p>
    <w:p>
      <w:pPr>
        <w:pStyle w:val="21"/>
        <w:rPr>
          <w:rFonts w:ascii="Times New Roman" w:hAnsi="Times New Roman"/>
        </w:rPr>
      </w:pPr>
      <w:r>
        <w:rPr>
          <w:rFonts w:ascii="Times New Roman" w:hAnsi="Times New Roman"/>
        </w:rPr>
        <w:t>进入影像功能</w:t>
      </w:r>
      <w:r>
        <w:rPr>
          <w:rFonts w:hint="eastAsia" w:ascii="Times New Roman" w:hAnsi="Times New Roman"/>
        </w:rPr>
        <w:t>（图21）</w:t>
      </w:r>
      <w:r>
        <w:rPr>
          <w:rFonts w:ascii="Times New Roman" w:hAnsi="Times New Roman"/>
        </w:rPr>
        <w:t>后</w:t>
      </w:r>
      <w:r>
        <w:rPr>
          <w:rFonts w:hint="eastAsia" w:ascii="Times New Roman" w:hAnsi="Times New Roman"/>
        </w:rPr>
        <w:t>，</w:t>
      </w:r>
      <w:r>
        <w:rPr>
          <w:rFonts w:ascii="Times New Roman" w:hAnsi="Times New Roman"/>
        </w:rPr>
        <w:t>会自动带出业务单号信息</w:t>
      </w:r>
      <w:r>
        <w:rPr>
          <w:rFonts w:hint="eastAsia" w:ascii="Times New Roman" w:hAnsi="Times New Roman"/>
        </w:rPr>
        <w:t>、业务类型、产品信息等，可以将文件直接拖拽至虚线区域，进行上传，也可以通过点击“文件”按钮，选择本地文件后上传，如配置了相机、扫描仪，则可通过“拍摄”、“扫描”按钮生成上传文件。上传后可通过“纠偏”（调整图片角度）、“左转”、“右转”等功能对图片进行修改，如想恢复至未修改时的文件，则可通过“撤销”功能取消上述修改动作。上传的文件也可通过“下载”按钮进行下载。在显示方面，影像系统提供了切换视图、排序的功能，可以根据不同形式、顺序进行显示。</w:t>
      </w:r>
    </w:p>
    <w:p>
      <w:pPr>
        <w:keepNext/>
      </w:pPr>
      <w:r>
        <w:rPr>
          <w:rFonts w:hint="eastAsia"/>
        </w:rPr>
        <w:drawing>
          <wp:inline distT="0" distB="0" distL="0" distR="0">
            <wp:extent cx="5266690" cy="1395095"/>
            <wp:effectExtent l="9525" t="9525" r="19685" b="241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6690" cy="1395095"/>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t>影像上传</w:t>
      </w:r>
    </w:p>
    <w:p>
      <w:pPr>
        <w:pStyle w:val="21"/>
        <w:rPr>
          <w:rFonts w:ascii="Times New Roman" w:hAnsi="Times New Roman"/>
        </w:rPr>
      </w:pPr>
      <w:r>
        <w:rPr>
          <w:rFonts w:ascii="Times New Roman" w:hAnsi="Times New Roman"/>
        </w:rPr>
        <w:t>文件编辑结束后</w:t>
      </w:r>
      <w:r>
        <w:rPr>
          <w:rFonts w:hint="eastAsia" w:ascii="Times New Roman" w:hAnsi="Times New Roman"/>
        </w:rPr>
        <w:t>，</w:t>
      </w:r>
      <w:r>
        <w:rPr>
          <w:rFonts w:ascii="Times New Roman" w:hAnsi="Times New Roman"/>
        </w:rPr>
        <w:t>点击</w:t>
      </w:r>
      <w:r>
        <w:rPr>
          <w:rFonts w:hint="eastAsia" w:ascii="Times New Roman" w:hAnsi="Times New Roman"/>
        </w:rPr>
        <w:t>“确认上传”或进行“归类”并勾选“归类后立即上传”后，则会将此文件上传至影像系统。此时点击“完成”按钮，即可回到承保页面。</w:t>
      </w:r>
    </w:p>
    <w:p>
      <w:pPr>
        <w:pStyle w:val="21"/>
        <w:rPr>
          <w:rFonts w:ascii="Times New Roman" w:hAnsi="Times New Roman"/>
        </w:rPr>
      </w:pPr>
      <w:r>
        <w:rPr>
          <w:rFonts w:ascii="Times New Roman" w:hAnsi="Times New Roman"/>
        </w:rPr>
        <w:t>对于保单</w:t>
      </w:r>
      <w:r>
        <w:rPr>
          <w:rFonts w:hint="eastAsia" w:ascii="Times New Roman" w:hAnsi="Times New Roman"/>
        </w:rPr>
        <w:t>、</w:t>
      </w:r>
      <w:r>
        <w:rPr>
          <w:rFonts w:ascii="Times New Roman" w:hAnsi="Times New Roman"/>
        </w:rPr>
        <w:t>批改单</w:t>
      </w:r>
      <w:r>
        <w:rPr>
          <w:rFonts w:hint="eastAsia" w:ascii="Times New Roman" w:hAnsi="Times New Roman"/>
        </w:rPr>
        <w:t>，</w:t>
      </w:r>
      <w:r>
        <w:rPr>
          <w:rFonts w:ascii="Times New Roman" w:hAnsi="Times New Roman"/>
        </w:rPr>
        <w:t>提供影像查询功能</w:t>
      </w:r>
      <w:r>
        <w:rPr>
          <w:rFonts w:hint="eastAsia" w:ascii="Times New Roman" w:hAnsi="Times New Roman"/>
        </w:rPr>
        <w:t>，</w:t>
      </w:r>
      <w:r>
        <w:rPr>
          <w:rFonts w:ascii="Times New Roman" w:hAnsi="Times New Roman"/>
        </w:rPr>
        <w:t>入口在保单查看</w:t>
      </w:r>
      <w:r>
        <w:rPr>
          <w:rFonts w:hint="eastAsia" w:ascii="Times New Roman" w:hAnsi="Times New Roman"/>
        </w:rPr>
        <w:t>、</w:t>
      </w:r>
      <w:r>
        <w:rPr>
          <w:rFonts w:ascii="Times New Roman" w:hAnsi="Times New Roman"/>
        </w:rPr>
        <w:t>批单查看页面中</w:t>
      </w:r>
      <w:r>
        <w:rPr>
          <w:rFonts w:hint="eastAsia" w:ascii="Times New Roman" w:hAnsi="Times New Roman"/>
        </w:rPr>
        <w:t>，</w:t>
      </w:r>
      <w:r>
        <w:rPr>
          <w:rFonts w:ascii="Times New Roman" w:hAnsi="Times New Roman"/>
        </w:rPr>
        <w:t>与影像上传</w:t>
      </w:r>
      <w:r>
        <w:rPr>
          <w:rFonts w:hint="eastAsia" w:ascii="Times New Roman" w:hAnsi="Times New Roman"/>
        </w:rPr>
        <w:t>功能位置相同。在本功能内，仅可对上传的影像进行查看，</w:t>
      </w:r>
      <w:r>
        <w:rPr>
          <w:rFonts w:hint="eastAsia" w:ascii="Times New Roman" w:hAnsi="Times New Roman"/>
          <w:b/>
          <w:color w:val="FF0000"/>
        </w:rPr>
        <w:t>无法新增、修改、删除。</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72" w:name="_Ref509402894"/>
      <w:bookmarkStart w:id="73" w:name="_Toc12327"/>
      <w:r>
        <w:t>人员清单导入</w:t>
      </w:r>
      <w:bookmarkEnd w:id="72"/>
      <w:bookmarkEnd w:id="73"/>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74" w:name="_Toc25037"/>
      <w:r>
        <w:rPr>
          <w:rStyle w:val="20"/>
          <w:rFonts w:eastAsia="仿宋_GB2312"/>
          <w:sz w:val="28"/>
          <w:szCs w:val="28"/>
        </w:rPr>
        <w:t>功能说明</w:t>
      </w:r>
      <w:bookmarkEnd w:id="74"/>
    </w:p>
    <w:p>
      <w:pPr>
        <w:pStyle w:val="21"/>
        <w:rPr>
          <w:rFonts w:ascii="Times New Roman" w:hAnsi="Times New Roman"/>
        </w:rPr>
      </w:pPr>
      <w:r>
        <w:t>使用该功能可对雇员</w:t>
      </w:r>
      <w:r>
        <w:rPr>
          <w:rFonts w:hint="eastAsia"/>
        </w:rPr>
        <w:t>清单、被保险人清单进行导入。</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75" w:name="_Toc30952"/>
      <w:r>
        <w:rPr>
          <w:rStyle w:val="20"/>
          <w:rFonts w:eastAsia="仿宋_GB2312"/>
          <w:sz w:val="28"/>
          <w:szCs w:val="28"/>
        </w:rPr>
        <w:t>功能介绍</w:t>
      </w:r>
      <w:bookmarkEnd w:id="75"/>
    </w:p>
    <w:p>
      <w:pPr>
        <w:pStyle w:val="21"/>
        <w:rPr>
          <w:rFonts w:ascii="Times New Roman" w:hAnsi="Times New Roman"/>
        </w:rPr>
      </w:pPr>
      <w:r>
        <w:rPr>
          <w:rFonts w:ascii="Times New Roman" w:hAnsi="Times New Roman"/>
        </w:rPr>
        <w:t>人员清单导入分为</w:t>
      </w:r>
      <w:r>
        <w:rPr>
          <w:rFonts w:ascii="Times New Roman" w:hAnsi="Times New Roman"/>
          <w:b/>
          <w:color w:val="FF0000"/>
        </w:rPr>
        <w:t>被保险人清单</w:t>
      </w:r>
      <w:r>
        <w:rPr>
          <w:rFonts w:ascii="Times New Roman" w:hAnsi="Times New Roman"/>
        </w:rPr>
        <w:t>导入与</w:t>
      </w:r>
      <w:r>
        <w:rPr>
          <w:rFonts w:ascii="Times New Roman" w:hAnsi="Times New Roman"/>
          <w:b/>
          <w:color w:val="FF0000"/>
        </w:rPr>
        <w:t>雇员清单导入</w:t>
      </w:r>
      <w:r>
        <w:rPr>
          <w:rFonts w:hint="eastAsia" w:ascii="Times New Roman" w:hAnsi="Times New Roman"/>
        </w:rPr>
        <w:t>，</w:t>
      </w:r>
      <w:r>
        <w:rPr>
          <w:rFonts w:ascii="Times New Roman" w:hAnsi="Times New Roman"/>
        </w:rPr>
        <w:t>本次只描述雇员清单导入</w:t>
      </w:r>
      <w:r>
        <w:rPr>
          <w:rFonts w:hint="eastAsia" w:ascii="Times New Roman" w:hAnsi="Times New Roman"/>
        </w:rPr>
        <w:t>。</w:t>
      </w:r>
      <w:r>
        <w:rPr>
          <w:rFonts w:ascii="Times New Roman" w:hAnsi="Times New Roman"/>
        </w:rPr>
        <w:t>对于雇主责任险</w:t>
      </w:r>
      <w:r>
        <w:rPr>
          <w:rFonts w:hint="eastAsia" w:ascii="Times New Roman" w:hAnsi="Times New Roman"/>
        </w:rPr>
        <w:t>、雇员忠诚险、职业责任险等产品，需要导入雇员清单，可通过录单界面右上方的</w:t>
      </w:r>
      <w:r>
        <w:rPr>
          <w:rFonts w:hint="eastAsia" w:ascii="Times New Roman" w:hAnsi="Times New Roman"/>
          <w:b/>
          <w:color w:val="FF0000"/>
        </w:rPr>
        <w:t>“人员清单导入”</w:t>
      </w:r>
      <w:r>
        <w:rPr>
          <w:rFonts w:hint="eastAsia" w:ascii="Times New Roman" w:hAnsi="Times New Roman"/>
        </w:rPr>
        <w:t>按钮（需生成投保单号后方能使用该按钮），打开雇员导入功能弹窗。</w:t>
      </w:r>
    </w:p>
    <w:p>
      <w:pPr>
        <w:keepNext/>
      </w:pPr>
      <w:r>
        <w:rPr>
          <w:rFonts w:hint="eastAsia"/>
        </w:rPr>
        <w:drawing>
          <wp:inline distT="0" distB="0" distL="0" distR="0">
            <wp:extent cx="5266690" cy="3058160"/>
            <wp:effectExtent l="9525" t="9525" r="1968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305816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t>雇员清单导入</w:t>
      </w:r>
    </w:p>
    <w:p>
      <w:pPr>
        <w:pStyle w:val="21"/>
      </w:pPr>
      <w:r>
        <w:rPr>
          <w:rFonts w:ascii="Times New Roman" w:hAnsi="Times New Roman"/>
        </w:rPr>
        <w:t>图</w:t>
      </w:r>
      <w:r>
        <w:rPr>
          <w:rFonts w:hint="eastAsia" w:ascii="Times New Roman" w:hAnsi="Times New Roman"/>
        </w:rPr>
        <w:t>1</w:t>
      </w:r>
      <w:r>
        <w:rPr>
          <w:rFonts w:ascii="Times New Roman" w:hAnsi="Times New Roman"/>
        </w:rPr>
        <w:t>7中</w:t>
      </w:r>
      <w:r>
        <w:rPr>
          <w:rFonts w:hint="eastAsia" w:ascii="Times New Roman" w:hAnsi="Times New Roman"/>
        </w:rPr>
        <w:t>，</w:t>
      </w:r>
      <w:r>
        <w:rPr>
          <w:rFonts w:ascii="Times New Roman" w:hAnsi="Times New Roman"/>
          <w:b/>
          <w:color w:val="FF0000"/>
        </w:rPr>
        <w:t>业务号类型</w:t>
      </w:r>
      <w:r>
        <w:rPr>
          <w:rFonts w:hint="eastAsia" w:ascii="Times New Roman" w:hAnsi="Times New Roman"/>
          <w:b/>
          <w:color w:val="FF0000"/>
        </w:rPr>
        <w:t>、</w:t>
      </w:r>
      <w:r>
        <w:rPr>
          <w:rFonts w:ascii="Times New Roman" w:hAnsi="Times New Roman"/>
          <w:b/>
          <w:color w:val="FF0000"/>
        </w:rPr>
        <w:t>业务号</w:t>
      </w:r>
      <w:r>
        <w:rPr>
          <w:rFonts w:hint="eastAsia" w:ascii="Times New Roman" w:hAnsi="Times New Roman"/>
          <w:b/>
          <w:color w:val="FF0000"/>
        </w:rPr>
        <w:t>、</w:t>
      </w:r>
      <w:r>
        <w:rPr>
          <w:rFonts w:ascii="Times New Roman" w:hAnsi="Times New Roman"/>
          <w:b/>
          <w:color w:val="FF0000"/>
        </w:rPr>
        <w:t>申请人</w:t>
      </w:r>
      <w:r>
        <w:rPr>
          <w:rFonts w:ascii="Times New Roman" w:hAnsi="Times New Roman"/>
        </w:rPr>
        <w:t>根据录入的投保单自动带出</w:t>
      </w:r>
      <w:r>
        <w:rPr>
          <w:rFonts w:hint="eastAsia" w:ascii="Times New Roman" w:hAnsi="Times New Roman"/>
        </w:rPr>
        <w:t>，</w:t>
      </w:r>
      <w:r>
        <w:rPr>
          <w:rFonts w:ascii="Times New Roman" w:hAnsi="Times New Roman"/>
        </w:rPr>
        <w:t>不可修改</w:t>
      </w:r>
      <w:r>
        <w:rPr>
          <w:rFonts w:hint="eastAsia" w:ascii="Times New Roman" w:hAnsi="Times New Roman"/>
        </w:rPr>
        <w:t>。</w:t>
      </w:r>
      <w:r>
        <w:rPr>
          <w:rFonts w:ascii="Times New Roman" w:hAnsi="Times New Roman"/>
        </w:rPr>
        <w:t>可通过</w:t>
      </w:r>
      <w:r>
        <w:rPr>
          <w:rFonts w:hint="eastAsia" w:ascii="Times New Roman" w:hAnsi="Times New Roman"/>
          <w:b/>
          <w:color w:val="FF0000"/>
        </w:rPr>
        <w:t>“模板下载”</w:t>
      </w:r>
      <w:r>
        <w:rPr>
          <w:rFonts w:hint="eastAsia" w:ascii="Times New Roman" w:hAnsi="Times New Roman"/>
        </w:rPr>
        <w:t>功能，下载最新导入模板。模板录入完成后，点击“</w:t>
      </w:r>
      <w:r>
        <w:rPr>
          <w:rFonts w:hint="eastAsia" w:ascii="Times New Roman" w:hAnsi="Times New Roman"/>
          <w:b/>
          <w:color w:val="FF0000"/>
        </w:rPr>
        <w:t>选择excel文件”</w:t>
      </w:r>
      <w:r>
        <w:rPr>
          <w:rFonts w:hint="eastAsia" w:ascii="Times New Roman" w:hAnsi="Times New Roman"/>
        </w:rPr>
        <w:t>框体，可呼出文件选择框，选择要导入的文件后，点击“导入”按钮，将清单内容导入系统内。</w:t>
      </w:r>
      <w:r>
        <w:rPr>
          <w:rFonts w:hint="eastAsia" w:ascii="Times New Roman" w:hAnsi="Times New Roman"/>
          <w:b/>
          <w:color w:val="FF0000"/>
        </w:rPr>
        <w:t>如导入的文件不符合系统导入要求，则可通过“错误信息导出”功能查看导入失败的原因</w:t>
      </w:r>
      <w:r>
        <w:rPr>
          <w:rFonts w:hint="eastAsia" w:ascii="Times New Roman" w:hAnsi="Times New Roman"/>
        </w:rPr>
        <w:t>，修改后，再次导入即可。</w:t>
      </w:r>
    </w:p>
    <w:p>
      <w:r>
        <w:drawing>
          <wp:inline distT="0" distB="0" distL="0" distR="0">
            <wp:extent cx="5274310" cy="440690"/>
            <wp:effectExtent l="9525" t="9525" r="12065" b="260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74310" cy="44069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t>导入模板</w:t>
      </w:r>
    </w:p>
    <w:p>
      <w:pPr>
        <w:spacing w:line="360" w:lineRule="auto"/>
        <w:rPr>
          <w:b/>
          <w:color w:val="FF0000"/>
          <w:sz w:val="24"/>
        </w:rPr>
      </w:pPr>
      <w:r>
        <w:rPr>
          <w:sz w:val="24"/>
        </w:rPr>
        <w:t>对于雇主清单导入</w:t>
      </w:r>
      <w:r>
        <w:rPr>
          <w:rFonts w:hint="eastAsia"/>
          <w:sz w:val="24"/>
        </w:rPr>
        <w:t>，</w:t>
      </w:r>
      <w:r>
        <w:rPr>
          <w:rFonts w:hint="eastAsia"/>
          <w:b/>
          <w:color w:val="FF0000"/>
          <w:sz w:val="24"/>
        </w:rPr>
        <w:t>应遵循以下要求：</w:t>
      </w:r>
    </w:p>
    <w:p>
      <w:pPr>
        <w:pStyle w:val="22"/>
        <w:numPr>
          <w:ilvl w:val="0"/>
          <w:numId w:val="3"/>
        </w:numPr>
        <w:spacing w:line="360" w:lineRule="auto"/>
        <w:ind w:firstLineChars="0"/>
        <w:rPr>
          <w:sz w:val="24"/>
        </w:rPr>
      </w:pPr>
      <w:r>
        <w:rPr>
          <w:rFonts w:hint="eastAsia"/>
          <w:sz w:val="24"/>
        </w:rPr>
        <w:t>黄色列为必录项，导入时如果存在未填写资料，会导致导入失败。</w:t>
      </w:r>
    </w:p>
    <w:p>
      <w:pPr>
        <w:pStyle w:val="22"/>
        <w:numPr>
          <w:ilvl w:val="0"/>
          <w:numId w:val="3"/>
        </w:numPr>
        <w:spacing w:line="360" w:lineRule="auto"/>
        <w:ind w:firstLineChars="0"/>
        <w:rPr>
          <w:sz w:val="24"/>
        </w:rPr>
      </w:pPr>
      <w:r>
        <w:rPr>
          <w:sz w:val="24"/>
        </w:rPr>
        <w:t>本系统支持多方案</w:t>
      </w:r>
      <w:r>
        <w:rPr>
          <w:rFonts w:hint="eastAsia"/>
          <w:sz w:val="24"/>
        </w:rPr>
        <w:t>、</w:t>
      </w:r>
      <w:r>
        <w:rPr>
          <w:sz w:val="24"/>
        </w:rPr>
        <w:t>多标的</w:t>
      </w:r>
      <w:r>
        <w:rPr>
          <w:rFonts w:hint="eastAsia"/>
          <w:sz w:val="24"/>
        </w:rPr>
        <w:t>，并支持对多方案、多标的的雇员进行一次性导入，因此导入时，需要区分该雇员的标的序号与方案序号。</w:t>
      </w:r>
      <w:r>
        <w:rPr>
          <w:sz w:val="24"/>
        </w:rPr>
        <w:t>且每个方案下人员数需与投保录入的各方案雇员数相同</w:t>
      </w:r>
      <w:r>
        <w:rPr>
          <w:rFonts w:hint="eastAsia"/>
          <w:sz w:val="24"/>
        </w:rPr>
        <w:t>，</w:t>
      </w:r>
      <w:r>
        <w:rPr>
          <w:sz w:val="24"/>
        </w:rPr>
        <w:t>否则无法导入</w:t>
      </w:r>
      <w:r>
        <w:rPr>
          <w:rFonts w:hint="eastAsia"/>
          <w:sz w:val="24"/>
        </w:rPr>
        <w:t>。</w:t>
      </w:r>
    </w:p>
    <w:p>
      <w:pPr>
        <w:pStyle w:val="22"/>
        <w:numPr>
          <w:ilvl w:val="0"/>
          <w:numId w:val="3"/>
        </w:numPr>
        <w:spacing w:line="360" w:lineRule="auto"/>
        <w:ind w:firstLineChars="0"/>
        <w:rPr>
          <w:sz w:val="24"/>
        </w:rPr>
      </w:pPr>
      <w:r>
        <w:rPr>
          <w:rFonts w:hint="eastAsia"/>
          <w:sz w:val="24"/>
        </w:rPr>
        <w:t>“方案序号”录入时，应符合如下要求：</w:t>
      </w:r>
    </w:p>
    <w:p>
      <w:pPr>
        <w:pStyle w:val="22"/>
        <w:spacing w:line="360" w:lineRule="auto"/>
        <w:ind w:left="360" w:firstLine="0" w:firstLineChars="0"/>
        <w:rPr>
          <w:sz w:val="24"/>
        </w:rPr>
      </w:pPr>
      <w:r>
        <w:rPr>
          <w:rFonts w:hint="eastAsia"/>
          <w:sz w:val="24"/>
        </w:rPr>
        <w:t>1）字段录入时需保证相同方案序号相同，否则可能造成无法成功导入或将其识别为两个方案；</w:t>
      </w:r>
    </w:p>
    <w:p>
      <w:pPr>
        <w:spacing w:line="360" w:lineRule="auto"/>
        <w:rPr>
          <w:sz w:val="24"/>
        </w:rPr>
      </w:pPr>
      <w:r>
        <w:rPr>
          <w:rFonts w:hint="eastAsia"/>
          <w:sz w:val="24"/>
        </w:rPr>
        <w:t xml:space="preserve">   2）不同标的“方案序号”需保证自上向下为“1”开始的连续不重复的整数，否则无法成功导入；</w:t>
      </w:r>
    </w:p>
    <w:p>
      <w:pPr>
        <w:pStyle w:val="22"/>
        <w:numPr>
          <w:ilvl w:val="0"/>
          <w:numId w:val="3"/>
        </w:numPr>
        <w:spacing w:line="360" w:lineRule="auto"/>
        <w:ind w:firstLineChars="0"/>
        <w:rPr>
          <w:sz w:val="24"/>
        </w:rPr>
      </w:pPr>
      <w:r>
        <w:rPr>
          <w:rFonts w:hint="eastAsia"/>
          <w:sz w:val="24"/>
        </w:rPr>
        <w:t>序号应保证自上向下为以“1”开始的连续不重复的整数，否则无法成功导入；</w:t>
      </w:r>
    </w:p>
    <w:p>
      <w:pPr>
        <w:pStyle w:val="22"/>
        <w:numPr>
          <w:ilvl w:val="0"/>
          <w:numId w:val="3"/>
        </w:numPr>
        <w:spacing w:line="360" w:lineRule="auto"/>
        <w:ind w:firstLineChars="0"/>
        <w:rPr>
          <w:sz w:val="24"/>
        </w:rPr>
      </w:pPr>
      <w:r>
        <w:rPr>
          <w:rFonts w:hint="eastAsia"/>
          <w:sz w:val="24"/>
        </w:rPr>
        <w:t>证件类型如果选择“居民身份证”，导入时会做身份证信息校验，所以请确保身份证录入无误，否则无法成功导入；</w:t>
      </w:r>
    </w:p>
    <w:p>
      <w:pPr>
        <w:pStyle w:val="22"/>
        <w:numPr>
          <w:ilvl w:val="0"/>
          <w:numId w:val="3"/>
        </w:numPr>
        <w:spacing w:line="360" w:lineRule="auto"/>
        <w:ind w:firstLineChars="0"/>
        <w:rPr>
          <w:sz w:val="24"/>
        </w:rPr>
      </w:pPr>
      <w:r>
        <w:rPr>
          <w:rFonts w:hint="eastAsia"/>
          <w:sz w:val="24"/>
        </w:rPr>
        <w:t>“入职日期”中只能录入日期类型的内容，格式为YYYY/MM/DD，如：2018/01/01；</w:t>
      </w:r>
    </w:p>
    <w:p>
      <w:pPr>
        <w:pStyle w:val="22"/>
        <w:numPr>
          <w:ilvl w:val="0"/>
          <w:numId w:val="3"/>
        </w:numPr>
        <w:spacing w:line="360" w:lineRule="auto"/>
        <w:ind w:firstLineChars="0"/>
        <w:rPr>
          <w:sz w:val="24"/>
        </w:rPr>
      </w:pPr>
      <w:r>
        <w:rPr>
          <w:rFonts w:hint="eastAsia"/>
          <w:sz w:val="24"/>
        </w:rPr>
        <w:t>被保险人不允许从重复录入/导入，被保险人重复校验的规则：“姓名+证件类型+证件号码”相同则视为同一人；</w:t>
      </w:r>
    </w:p>
    <w:p>
      <w:pPr>
        <w:pStyle w:val="22"/>
        <w:numPr>
          <w:ilvl w:val="0"/>
          <w:numId w:val="3"/>
        </w:numPr>
        <w:spacing w:line="360" w:lineRule="auto"/>
        <w:ind w:firstLineChars="0"/>
        <w:rPr>
          <w:sz w:val="24"/>
        </w:rPr>
      </w:pPr>
      <w:r>
        <w:rPr>
          <w:sz w:val="24"/>
        </w:rPr>
        <w:t>对于性别</w:t>
      </w:r>
      <w:r>
        <w:rPr>
          <w:rFonts w:hint="eastAsia"/>
          <w:sz w:val="24"/>
        </w:rPr>
        <w:t>、</w:t>
      </w:r>
      <w:r>
        <w:rPr>
          <w:sz w:val="24"/>
        </w:rPr>
        <w:t>证件类型</w:t>
      </w:r>
      <w:r>
        <w:rPr>
          <w:rFonts w:hint="eastAsia"/>
          <w:sz w:val="24"/>
        </w:rPr>
        <w:t>、</w:t>
      </w:r>
      <w:r>
        <w:rPr>
          <w:sz w:val="24"/>
        </w:rPr>
        <w:t>职业类别</w:t>
      </w:r>
      <w:r>
        <w:rPr>
          <w:rFonts w:hint="eastAsia"/>
          <w:sz w:val="24"/>
        </w:rPr>
        <w:t>，</w:t>
      </w:r>
      <w:r>
        <w:rPr>
          <w:sz w:val="24"/>
        </w:rPr>
        <w:t>本系统提供预设内容</w:t>
      </w:r>
      <w:r>
        <w:rPr>
          <w:rFonts w:hint="eastAsia"/>
          <w:sz w:val="24"/>
        </w:rPr>
        <w:t>，</w:t>
      </w:r>
      <w:r>
        <w:rPr>
          <w:sz w:val="24"/>
        </w:rPr>
        <w:t>请通过下拉选择配置好的选项</w:t>
      </w:r>
      <w:r>
        <w:rPr>
          <w:rFonts w:hint="eastAsia"/>
          <w:sz w:val="24"/>
        </w:rPr>
        <w:t>，</w:t>
      </w:r>
      <w:r>
        <w:rPr>
          <w:sz w:val="24"/>
        </w:rPr>
        <w:t>不可随意输入</w:t>
      </w:r>
      <w:r>
        <w:rPr>
          <w:rFonts w:hint="eastAsia"/>
          <w:sz w:val="24"/>
        </w:rPr>
        <w:t>。</w:t>
      </w:r>
      <w:r>
        <w:rPr>
          <w:sz w:val="24"/>
        </w:rPr>
        <w:t>对于职业类别</w:t>
      </w:r>
      <w:r>
        <w:rPr>
          <w:rFonts w:hint="eastAsia"/>
          <w:sz w:val="24"/>
        </w:rPr>
        <w:t>、</w:t>
      </w:r>
      <w:r>
        <w:rPr>
          <w:sz w:val="24"/>
        </w:rPr>
        <w:t>高风险作业类型代码</w:t>
      </w:r>
      <w:r>
        <w:rPr>
          <w:rFonts w:hint="eastAsia"/>
          <w:sz w:val="24"/>
        </w:rPr>
        <w:t>，</w:t>
      </w:r>
      <w:r>
        <w:rPr>
          <w:sz w:val="24"/>
        </w:rPr>
        <w:t>模板内提供了对照表</w:t>
      </w:r>
      <w:r>
        <w:rPr>
          <w:rFonts w:hint="eastAsia"/>
          <w:sz w:val="24"/>
        </w:rPr>
        <w:t>，分别</w:t>
      </w:r>
      <w:r>
        <w:rPr>
          <w:sz w:val="24"/>
        </w:rPr>
        <w:t>位于第</w:t>
      </w:r>
      <w:r>
        <w:rPr>
          <w:rFonts w:hint="eastAsia"/>
          <w:sz w:val="24"/>
        </w:rPr>
        <w:t>3、4sh</w:t>
      </w:r>
      <w:r>
        <w:rPr>
          <w:sz w:val="24"/>
        </w:rPr>
        <w:t>eet页中</w:t>
      </w:r>
      <w:r>
        <w:rPr>
          <w:rFonts w:hint="eastAsia"/>
          <w:sz w:val="24"/>
        </w:rPr>
        <w:t>。</w:t>
      </w:r>
      <w:r>
        <w:rPr>
          <w:sz w:val="24"/>
        </w:rPr>
        <w:t>以上内容请勿随意输入</w:t>
      </w:r>
      <w:r>
        <w:rPr>
          <w:rFonts w:hint="eastAsia"/>
          <w:sz w:val="24"/>
        </w:rPr>
        <w:t>，</w:t>
      </w:r>
      <w:r>
        <w:rPr>
          <w:sz w:val="24"/>
        </w:rPr>
        <w:t>以免导入失败</w:t>
      </w:r>
      <w:r>
        <w:rPr>
          <w:rFonts w:hint="eastAsia"/>
          <w:sz w:val="24"/>
        </w:rPr>
        <w:t>。</w:t>
      </w:r>
    </w:p>
    <w:p>
      <w:pPr>
        <w:pStyle w:val="3"/>
        <w:widowControl w:val="0"/>
        <w:numPr>
          <w:ilvl w:val="1"/>
          <w:numId w:val="2"/>
        </w:numPr>
        <w:tabs>
          <w:tab w:val="left" w:pos="720"/>
          <w:tab w:val="clear" w:pos="576"/>
        </w:tabs>
        <w:adjustRightInd w:val="0"/>
        <w:snapToGrid w:val="0"/>
        <w:spacing w:beforeLines="0" w:afterLines="0"/>
        <w:ind w:left="567" w:hanging="567"/>
        <w:jc w:val="both"/>
        <w:rPr>
          <w:rFonts w:hint="eastAsia" w:eastAsia="宋体"/>
          <w:lang w:eastAsia="zh-CN"/>
        </w:rPr>
      </w:pPr>
      <w:bookmarkStart w:id="76" w:name="_Toc357"/>
      <w:r>
        <w:rPr>
          <w:rFonts w:hint="eastAsia"/>
          <w:lang w:eastAsia="zh-CN"/>
        </w:rPr>
        <w:t>车辆清单导入</w:t>
      </w:r>
      <w:bookmarkEnd w:id="76"/>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77" w:name="_Toc18615"/>
      <w:r>
        <w:rPr>
          <w:rStyle w:val="20"/>
          <w:rFonts w:eastAsia="仿宋_GB2312"/>
          <w:sz w:val="28"/>
          <w:szCs w:val="28"/>
        </w:rPr>
        <w:t>功能说明</w:t>
      </w:r>
      <w:bookmarkEnd w:id="77"/>
    </w:p>
    <w:p>
      <w:r>
        <w:t>使用该功能可对</w:t>
      </w:r>
      <w:r>
        <w:rPr>
          <w:rFonts w:hint="eastAsia"/>
          <w:lang w:eastAsia="zh-CN"/>
        </w:rPr>
        <w:t>车辆</w:t>
      </w:r>
      <w:r>
        <w:rPr>
          <w:rFonts w:hint="eastAsia"/>
        </w:rPr>
        <w:t>清单进行导入。</w:t>
      </w:r>
    </w:p>
    <w:p>
      <w:pPr>
        <w:pStyle w:val="4"/>
        <w:numPr>
          <w:ilvl w:val="2"/>
          <w:numId w:val="2"/>
        </w:numPr>
        <w:tabs>
          <w:tab w:val="left" w:pos="720"/>
          <w:tab w:val="left" w:pos="1080"/>
        </w:tabs>
        <w:adjustRightInd w:val="0"/>
        <w:snapToGrid w:val="0"/>
        <w:spacing w:before="120" w:after="120" w:line="240" w:lineRule="auto"/>
        <w:ind w:left="709" w:hanging="709"/>
        <w:rPr>
          <w:rFonts w:hint="eastAsia"/>
          <w:lang w:eastAsia="zh-CN"/>
        </w:rPr>
      </w:pPr>
      <w:bookmarkStart w:id="78" w:name="_Toc12755"/>
      <w:r>
        <w:rPr>
          <w:rStyle w:val="20"/>
          <w:rFonts w:eastAsia="仿宋_GB2312"/>
          <w:sz w:val="28"/>
          <w:szCs w:val="28"/>
        </w:rPr>
        <w:t>功能介绍</w:t>
      </w:r>
      <w:bookmarkEnd w:id="78"/>
    </w:p>
    <w:p>
      <w:pPr>
        <w:pStyle w:val="21"/>
        <w:rPr>
          <w:rFonts w:hint="eastAsia" w:ascii="Times New Roman" w:hAnsi="Times New Roman"/>
        </w:rPr>
      </w:pPr>
      <w:r>
        <w:rPr>
          <w:rFonts w:ascii="Times New Roman" w:hAnsi="Times New Roman"/>
        </w:rPr>
        <w:t>对于</w:t>
      </w:r>
      <w:r>
        <w:rPr>
          <w:rFonts w:hint="eastAsia" w:ascii="Times New Roman" w:hAnsi="Times New Roman"/>
        </w:rPr>
        <w:t>道路危险货物承运人责任保险等产品，需要导入</w:t>
      </w:r>
      <w:r>
        <w:rPr>
          <w:rFonts w:hint="eastAsia" w:ascii="Times New Roman" w:hAnsi="Times New Roman"/>
          <w:lang w:eastAsia="zh-CN"/>
        </w:rPr>
        <w:t>车辆</w:t>
      </w:r>
      <w:r>
        <w:rPr>
          <w:rFonts w:hint="eastAsia" w:ascii="Times New Roman" w:hAnsi="Times New Roman"/>
        </w:rPr>
        <w:t>清单，可通过录单界面右上方的</w:t>
      </w:r>
      <w:r>
        <w:rPr>
          <w:rFonts w:hint="eastAsia" w:ascii="Times New Roman" w:hAnsi="Times New Roman"/>
          <w:b/>
          <w:color w:val="FF0000"/>
        </w:rPr>
        <w:t>“</w:t>
      </w:r>
      <w:r>
        <w:rPr>
          <w:rFonts w:hint="eastAsia" w:ascii="Times New Roman" w:hAnsi="Times New Roman"/>
          <w:b/>
          <w:color w:val="FF0000"/>
          <w:lang w:eastAsia="zh-CN"/>
        </w:rPr>
        <w:t>车辆</w:t>
      </w:r>
      <w:r>
        <w:rPr>
          <w:rFonts w:hint="eastAsia" w:ascii="Times New Roman" w:hAnsi="Times New Roman"/>
          <w:b/>
          <w:color w:val="FF0000"/>
        </w:rPr>
        <w:t>清单导入”</w:t>
      </w:r>
      <w:r>
        <w:rPr>
          <w:rFonts w:hint="eastAsia" w:ascii="Times New Roman" w:hAnsi="Times New Roman"/>
        </w:rPr>
        <w:t>按钮（需生成投保单号后方能使用该按钮），打开</w:t>
      </w:r>
      <w:r>
        <w:rPr>
          <w:rFonts w:hint="eastAsia" w:ascii="Times New Roman" w:hAnsi="Times New Roman"/>
          <w:lang w:eastAsia="zh-CN"/>
        </w:rPr>
        <w:t>车辆</w:t>
      </w:r>
      <w:r>
        <w:rPr>
          <w:rFonts w:hint="eastAsia" w:ascii="Times New Roman" w:hAnsi="Times New Roman"/>
        </w:rPr>
        <w:t>导入功能弹窗。</w:t>
      </w:r>
    </w:p>
    <w:p>
      <w:pPr>
        <w:pStyle w:val="21"/>
        <w:rPr>
          <w:rFonts w:hint="eastAsia" w:ascii="Times New Roman" w:hAnsi="Times New Roman"/>
        </w:rPr>
      </w:pPr>
      <w:r>
        <w:rPr>
          <w:rFonts w:hint="eastAsia"/>
        </w:rPr>
        <w:drawing>
          <wp:inline distT="0" distB="0" distL="0" distR="0">
            <wp:extent cx="4882515" cy="3058160"/>
            <wp:effectExtent l="9525" t="9525" r="22860" b="18415"/>
            <wp:docPr id="52" name="图片 52" descr="C:\Users\Administrator\Desktop\EDE04824-B68C-46b0-822B-D09F8F03AAFF.pngEDE04824-B68C-46b0-822B-D09F8F03A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Desktop\EDE04824-B68C-46b0-822B-D09F8F03AAFF.pngEDE04824-B68C-46b0-822B-D09F8F03AAFF"/>
                    <pic:cNvPicPr>
                      <a:picLocks noChangeAspect="1" noChangeArrowheads="1"/>
                    </pic:cNvPicPr>
                  </pic:nvPicPr>
                  <pic:blipFill>
                    <a:blip r:embed="rId31"/>
                    <a:srcRect/>
                    <a:stretch>
                      <a:fillRect/>
                    </a:stretch>
                  </pic:blipFill>
                  <pic:spPr>
                    <a:xfrm>
                      <a:off x="0" y="0"/>
                      <a:ext cx="4882515" cy="3058160"/>
                    </a:xfrm>
                    <a:prstGeom prst="rect">
                      <a:avLst/>
                    </a:prstGeom>
                    <a:ln>
                      <a:solidFill>
                        <a:schemeClr val="tx1"/>
                      </a:solidFill>
                    </a:ln>
                  </pic:spPr>
                </pic:pic>
              </a:graphicData>
            </a:graphic>
          </wp:inline>
        </w:drawing>
      </w:r>
    </w:p>
    <w:p>
      <w:pPr>
        <w:keepNext/>
      </w:pP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24</w:t>
      </w:r>
      <w:r>
        <w:fldChar w:fldCharType="end"/>
      </w:r>
      <w:r>
        <w:rPr>
          <w:rFonts w:hint="eastAsia"/>
          <w:lang w:eastAsia="zh-CN"/>
        </w:rPr>
        <w:t>车辆</w:t>
      </w:r>
      <w:r>
        <w:t>清单导入</w:t>
      </w:r>
    </w:p>
    <w:p>
      <w:pPr>
        <w:pStyle w:val="21"/>
      </w:pPr>
      <w:r>
        <w:rPr>
          <w:rFonts w:ascii="Times New Roman" w:hAnsi="Times New Roman"/>
        </w:rPr>
        <w:t>可通过</w:t>
      </w:r>
      <w:r>
        <w:rPr>
          <w:rFonts w:hint="eastAsia" w:ascii="Times New Roman" w:hAnsi="Times New Roman"/>
          <w:b/>
          <w:color w:val="FF0000"/>
        </w:rPr>
        <w:t>“模板下载”</w:t>
      </w:r>
      <w:r>
        <w:rPr>
          <w:rFonts w:hint="eastAsia" w:ascii="Times New Roman" w:hAnsi="Times New Roman"/>
        </w:rPr>
        <w:t>功能，下载最新导入模板。模板录入完成后，点击“</w:t>
      </w:r>
      <w:r>
        <w:rPr>
          <w:rFonts w:hint="eastAsia" w:ascii="Times New Roman" w:hAnsi="Times New Roman"/>
          <w:b/>
          <w:color w:val="FF0000"/>
        </w:rPr>
        <w:t>选择excel文件”</w:t>
      </w:r>
      <w:r>
        <w:rPr>
          <w:rFonts w:hint="eastAsia" w:ascii="Times New Roman" w:hAnsi="Times New Roman"/>
        </w:rPr>
        <w:t>框体，可呼出文件选择框，选择要导入的文件后，点击“导入”按钮，将清单内容导入系统内。</w:t>
      </w:r>
      <w:r>
        <w:rPr>
          <w:rFonts w:hint="eastAsia" w:ascii="Times New Roman" w:hAnsi="Times New Roman"/>
          <w:b/>
          <w:color w:val="FF0000"/>
        </w:rPr>
        <w:t>如导入的文件不符合系统导入要求，则可通过“错误信息导出”功能查看导入失败的原因</w:t>
      </w:r>
      <w:r>
        <w:rPr>
          <w:rFonts w:hint="eastAsia" w:ascii="Times New Roman" w:hAnsi="Times New Roman"/>
        </w:rPr>
        <w:t>，修改后，再次导入即可。</w:t>
      </w:r>
    </w:p>
    <w:p>
      <w:r>
        <w:drawing>
          <wp:inline distT="0" distB="0" distL="0" distR="0">
            <wp:extent cx="5274310" cy="414020"/>
            <wp:effectExtent l="9525" t="9525" r="12065" b="14605"/>
            <wp:docPr id="11" name="图片 11" descr="C:\Users\Administrator\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2.png2"/>
                    <pic:cNvPicPr>
                      <a:picLocks noChangeAspect="1"/>
                    </pic:cNvPicPr>
                  </pic:nvPicPr>
                  <pic:blipFill>
                    <a:blip r:embed="rId32"/>
                    <a:srcRect/>
                    <a:stretch>
                      <a:fillRect/>
                    </a:stretch>
                  </pic:blipFill>
                  <pic:spPr>
                    <a:xfrm>
                      <a:off x="0" y="0"/>
                      <a:ext cx="5274310" cy="414020"/>
                    </a:xfrm>
                    <a:prstGeom prst="rect">
                      <a:avLst/>
                    </a:prstGeom>
                    <a:ln>
                      <a:solidFill>
                        <a:schemeClr val="tx1"/>
                      </a:solid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25</w:t>
      </w:r>
      <w:r>
        <w:fldChar w:fldCharType="end"/>
      </w:r>
      <w:r>
        <w:t>导入模板</w:t>
      </w:r>
    </w:p>
    <w:p>
      <w:pPr>
        <w:spacing w:line="360" w:lineRule="auto"/>
        <w:rPr>
          <w:b/>
          <w:color w:val="FF0000"/>
          <w:sz w:val="24"/>
        </w:rPr>
      </w:pPr>
      <w:r>
        <w:rPr>
          <w:sz w:val="24"/>
        </w:rPr>
        <w:t>对于</w:t>
      </w:r>
      <w:r>
        <w:rPr>
          <w:rFonts w:hint="eastAsia"/>
          <w:sz w:val="24"/>
          <w:lang w:eastAsia="zh-CN"/>
        </w:rPr>
        <w:t>车辆</w:t>
      </w:r>
      <w:r>
        <w:rPr>
          <w:sz w:val="24"/>
        </w:rPr>
        <w:t>清单导入</w:t>
      </w:r>
      <w:r>
        <w:rPr>
          <w:rFonts w:hint="eastAsia"/>
          <w:sz w:val="24"/>
        </w:rPr>
        <w:t>，</w:t>
      </w:r>
      <w:r>
        <w:rPr>
          <w:rFonts w:hint="eastAsia"/>
          <w:b/>
          <w:color w:val="FF0000"/>
          <w:sz w:val="24"/>
        </w:rPr>
        <w:t>应遵循以下要求：</w:t>
      </w:r>
    </w:p>
    <w:p>
      <w:pPr>
        <w:pStyle w:val="22"/>
        <w:numPr>
          <w:ilvl w:val="0"/>
          <w:numId w:val="4"/>
        </w:numPr>
        <w:spacing w:line="360" w:lineRule="auto"/>
        <w:ind w:firstLineChars="0"/>
        <w:rPr>
          <w:rFonts w:hint="eastAsia"/>
          <w:sz w:val="24"/>
        </w:rPr>
      </w:pPr>
      <w:r>
        <w:rPr>
          <w:rFonts w:hint="eastAsia"/>
          <w:sz w:val="24"/>
        </w:rPr>
        <w:t>黄色标识字段为必录项，不录入则无法成功导入；</w:t>
      </w:r>
    </w:p>
    <w:p>
      <w:pPr>
        <w:pStyle w:val="22"/>
        <w:numPr>
          <w:ilvl w:val="0"/>
          <w:numId w:val="4"/>
        </w:numPr>
        <w:spacing w:line="360" w:lineRule="auto"/>
        <w:ind w:firstLineChars="0"/>
        <w:rPr>
          <w:rFonts w:hint="eastAsia"/>
          <w:sz w:val="24"/>
        </w:rPr>
      </w:pPr>
      <w:r>
        <w:rPr>
          <w:rFonts w:hint="eastAsia"/>
          <w:sz w:val="24"/>
        </w:rPr>
        <w:t>“方案序号”录入时，应符合如下要求：</w:t>
      </w:r>
    </w:p>
    <w:p>
      <w:pPr>
        <w:pStyle w:val="22"/>
        <w:numPr>
          <w:ilvl w:val="0"/>
          <w:numId w:val="0"/>
        </w:numPr>
        <w:spacing w:line="360" w:lineRule="auto"/>
        <w:ind w:left="479" w:leftChars="228" w:firstLine="0" w:firstLineChars="0"/>
        <w:rPr>
          <w:rFonts w:hint="eastAsia"/>
          <w:sz w:val="24"/>
        </w:rPr>
      </w:pPr>
      <w:r>
        <w:rPr>
          <w:rFonts w:hint="eastAsia"/>
          <w:sz w:val="24"/>
          <w:lang w:val="en-US" w:eastAsia="zh-CN"/>
        </w:rPr>
        <w:t>1）</w:t>
      </w:r>
      <w:r>
        <w:rPr>
          <w:rFonts w:hint="eastAsia"/>
          <w:sz w:val="24"/>
        </w:rPr>
        <w:t>字段录入时需保证相同方案序号相同，否则可能造成无法成功导入或将其识别为两个方案；</w:t>
      </w:r>
    </w:p>
    <w:p>
      <w:pPr>
        <w:pStyle w:val="22"/>
        <w:numPr>
          <w:ilvl w:val="0"/>
          <w:numId w:val="0"/>
        </w:numPr>
        <w:spacing w:line="360" w:lineRule="auto"/>
        <w:ind w:left="479" w:leftChars="228" w:firstLine="0" w:firstLineChars="0"/>
        <w:rPr>
          <w:rFonts w:hint="eastAsia"/>
          <w:sz w:val="24"/>
        </w:rPr>
      </w:pPr>
      <w:r>
        <w:rPr>
          <w:rFonts w:hint="eastAsia"/>
          <w:sz w:val="24"/>
        </w:rPr>
        <w:t>2）不同标的“方案序号”需保证自上向下为“1”开始的连续不重复的整数，否则无法成功导入；</w:t>
      </w:r>
    </w:p>
    <w:p>
      <w:pPr>
        <w:pStyle w:val="22"/>
        <w:numPr>
          <w:ilvl w:val="0"/>
          <w:numId w:val="4"/>
        </w:numPr>
        <w:spacing w:line="360" w:lineRule="auto"/>
        <w:ind w:firstLineChars="0"/>
        <w:rPr>
          <w:rFonts w:hint="eastAsia"/>
          <w:sz w:val="24"/>
        </w:rPr>
      </w:pPr>
      <w:r>
        <w:rPr>
          <w:rFonts w:hint="eastAsia"/>
          <w:sz w:val="24"/>
        </w:rPr>
        <w:t>序号应保证自上向下为以“1”开始的连续不重复的整数，否则无法成功导入；</w:t>
      </w:r>
    </w:p>
    <w:p>
      <w:pPr>
        <w:pStyle w:val="22"/>
        <w:numPr>
          <w:ilvl w:val="0"/>
          <w:numId w:val="4"/>
        </w:numPr>
        <w:spacing w:line="360" w:lineRule="auto"/>
        <w:ind w:firstLineChars="0"/>
        <w:rPr>
          <w:rFonts w:hint="eastAsia"/>
          <w:sz w:val="24"/>
        </w:rPr>
      </w:pPr>
      <w:r>
        <w:rPr>
          <w:rFonts w:hint="eastAsia"/>
          <w:sz w:val="24"/>
        </w:rPr>
        <w:t>“初登日期”中只能录入日期类型的内容，格式为YYYY/MM/DD，如：2018/01/01；</w:t>
      </w:r>
    </w:p>
    <w:p>
      <w:pPr>
        <w:pStyle w:val="22"/>
        <w:numPr>
          <w:ilvl w:val="0"/>
          <w:numId w:val="4"/>
        </w:numPr>
        <w:spacing w:line="360" w:lineRule="auto"/>
        <w:ind w:firstLineChars="0"/>
        <w:rPr>
          <w:rFonts w:hint="eastAsia"/>
          <w:sz w:val="24"/>
          <w:lang w:eastAsia="zh-CN"/>
        </w:rPr>
      </w:pPr>
      <w:r>
        <w:rPr>
          <w:rFonts w:hint="eastAsia"/>
          <w:sz w:val="24"/>
        </w:rPr>
        <w:t>车辆不允许重复录入/导入，车辆重复校验的规则：“车架号”或“车牌号”相同则视为同一辆车</w:t>
      </w:r>
      <w:r>
        <w:rPr>
          <w:rFonts w:hint="eastAsia"/>
          <w:sz w:val="24"/>
          <w:lang w:eastAsia="zh-CN"/>
        </w:rPr>
        <w:t>。</w:t>
      </w:r>
    </w:p>
    <w:p>
      <w:pPr>
        <w:pStyle w:val="3"/>
        <w:widowControl w:val="0"/>
        <w:numPr>
          <w:ilvl w:val="1"/>
          <w:numId w:val="2"/>
        </w:numPr>
        <w:tabs>
          <w:tab w:val="left" w:pos="720"/>
          <w:tab w:val="clear" w:pos="576"/>
        </w:tabs>
        <w:adjustRightInd w:val="0"/>
        <w:snapToGrid w:val="0"/>
        <w:spacing w:beforeLines="0" w:afterLines="0"/>
        <w:ind w:left="567" w:hanging="567"/>
        <w:jc w:val="both"/>
        <w:rPr>
          <w:rFonts w:hint="eastAsia" w:eastAsia="宋体"/>
          <w:lang w:eastAsia="zh-CN"/>
        </w:rPr>
      </w:pPr>
      <w:bookmarkStart w:id="79" w:name="_Toc21750"/>
      <w:r>
        <w:t>缴费管理</w:t>
      </w:r>
      <w:bookmarkEnd w:id="79"/>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80" w:name="_Toc15641"/>
      <w:r>
        <w:rPr>
          <w:rStyle w:val="20"/>
          <w:rFonts w:eastAsia="仿宋_GB2312"/>
          <w:sz w:val="28"/>
          <w:szCs w:val="28"/>
        </w:rPr>
        <w:t>功能说明</w:t>
      </w:r>
      <w:bookmarkEnd w:id="80"/>
    </w:p>
    <w:p>
      <w:pPr>
        <w:pStyle w:val="21"/>
        <w:rPr>
          <w:rFonts w:ascii="Times New Roman" w:hAnsi="Times New Roman"/>
        </w:rPr>
      </w:pPr>
      <w:r>
        <w:t>可对未缴费的业务单进行缴费处理</w:t>
      </w:r>
      <w:r>
        <w:rPr>
          <w:rFonts w:hint="eastAsia"/>
        </w:rPr>
        <w:t>。</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81" w:name="_Toc2361"/>
      <w:r>
        <w:rPr>
          <w:rStyle w:val="20"/>
          <w:rFonts w:eastAsia="仿宋_GB2312"/>
          <w:sz w:val="28"/>
          <w:szCs w:val="28"/>
        </w:rPr>
        <w:t>功能介绍</w:t>
      </w:r>
      <w:bookmarkEnd w:id="81"/>
    </w:p>
    <w:p>
      <w:pPr>
        <w:pStyle w:val="21"/>
        <w:rPr>
          <w:rFonts w:ascii="Times New Roman" w:hAnsi="Times New Roman"/>
        </w:rPr>
      </w:pPr>
      <w:r>
        <w:rPr>
          <w:rFonts w:ascii="Times New Roman" w:hAnsi="Times New Roman"/>
        </w:rPr>
        <w:t>缴费管理</w:t>
      </w:r>
      <w:r>
        <w:rPr>
          <w:rFonts w:hint="eastAsia" w:ascii="Times New Roman" w:hAnsi="Times New Roman"/>
        </w:rPr>
        <w:t>功能页面可通过菜单中的</w:t>
      </w:r>
      <w:r>
        <w:rPr>
          <w:rFonts w:hint="eastAsia" w:ascii="Times New Roman" w:hAnsi="Times New Roman"/>
          <w:b/>
          <w:color w:val="FF0000"/>
        </w:rPr>
        <w:t>“缴费管理”</w:t>
      </w:r>
      <w:r>
        <w:rPr>
          <w:rFonts w:hint="eastAsia" w:ascii="Times New Roman" w:hAnsi="Times New Roman"/>
        </w:rPr>
        <w:t>进入，缴费管理中，可根据查询条件查询所有出于待缴费的业务单，如下图：</w:t>
      </w:r>
    </w:p>
    <w:p>
      <w:pPr>
        <w:keepNext/>
      </w:pPr>
      <w:r>
        <w:rPr>
          <w:rFonts w:hint="eastAsia"/>
        </w:rPr>
        <w:drawing>
          <wp:inline distT="0" distB="0" distL="0" distR="0">
            <wp:extent cx="5266690" cy="2546985"/>
            <wp:effectExtent l="9525" t="9525" r="19685"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6690" cy="2546985"/>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26</w:t>
      </w:r>
      <w:r>
        <w:t>缴费管理</w:t>
      </w:r>
      <w:r>
        <w:rPr>
          <w:rFonts w:hint="eastAsia"/>
        </w:rPr>
        <w:t>-查询</w:t>
      </w:r>
    </w:p>
    <w:p>
      <w:pPr>
        <w:pStyle w:val="21"/>
        <w:rPr>
          <w:rFonts w:ascii="Times New Roman" w:hAnsi="Times New Roman"/>
        </w:rPr>
      </w:pPr>
      <w:r>
        <w:rPr>
          <w:rFonts w:ascii="Times New Roman" w:hAnsi="Times New Roman"/>
        </w:rPr>
        <w:t>可点击查询结果后方的</w:t>
      </w:r>
      <w:r>
        <w:rPr>
          <w:rFonts w:hint="eastAsia" w:ascii="Times New Roman" w:hAnsi="Times New Roman"/>
          <w:b/>
          <w:color w:val="FF0000"/>
        </w:rPr>
        <w:t>“支付按钮”</w:t>
      </w:r>
      <w:r>
        <w:rPr>
          <w:rFonts w:hint="eastAsia" w:ascii="Times New Roman" w:hAnsi="Times New Roman"/>
        </w:rPr>
        <w:t>，进入支付页面。</w:t>
      </w:r>
      <w:r>
        <w:rPr>
          <w:rFonts w:hint="eastAsia" w:ascii="Times New Roman" w:hAnsi="Times New Roman"/>
          <w:b/>
          <w:color w:val="FF0000"/>
        </w:rPr>
        <w:t>本系统支持合并缴费</w:t>
      </w:r>
      <w:r>
        <w:rPr>
          <w:rFonts w:hint="eastAsia" w:ascii="Times New Roman" w:hAnsi="Times New Roman"/>
        </w:rPr>
        <w:t>，也选择一条或多条待缴费的业务单，点击页面右下方的“去支付”按钮，进入支付页面。</w:t>
      </w:r>
      <w:r>
        <w:rPr>
          <w:rFonts w:hint="eastAsia" w:ascii="Times New Roman" w:hAnsi="Times New Roman"/>
          <w:b/>
          <w:color w:val="FF0000"/>
        </w:rPr>
        <w:t>无论以哪种操作进入支付页面，系统都会为此条支付记录生成一条独一无二的包号</w:t>
      </w:r>
      <w:r>
        <w:rPr>
          <w:rFonts w:hint="eastAsia" w:ascii="Times New Roman" w:hAnsi="Times New Roman"/>
        </w:rPr>
        <w:t>。如选择合并支付，但因故未能完成支付，再次支付时，无需重复上述操作，可选择任意一个包号与之前生成包号相同的业务单，点击后方的“支付”按钮，进入支付页面后，系统会自动带出该包号下的所有业务单信息。如果想取消本包号关联，可通过点击支付页面下方的</w:t>
      </w:r>
      <w:r>
        <w:rPr>
          <w:rFonts w:hint="eastAsia" w:ascii="Times New Roman" w:hAnsi="Times New Roman"/>
          <w:b/>
          <w:color w:val="FF0000"/>
        </w:rPr>
        <w:t>“解包”</w:t>
      </w:r>
      <w:r>
        <w:rPr>
          <w:rFonts w:hint="eastAsia" w:ascii="Times New Roman" w:hAnsi="Times New Roman"/>
        </w:rPr>
        <w:t>按钮，取消该包号，页面会跳转回缴费查询界面。</w:t>
      </w:r>
    </w:p>
    <w:p>
      <w:pPr>
        <w:keepNext/>
      </w:pPr>
      <w:r>
        <w:drawing>
          <wp:inline distT="0" distB="0" distL="0" distR="0">
            <wp:extent cx="5274310" cy="2533650"/>
            <wp:effectExtent l="9525" t="9525" r="1206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stretch>
                      <a:fillRect/>
                    </a:stretch>
                  </pic:blipFill>
                  <pic:spPr>
                    <a:xfrm>
                      <a:off x="0" y="0"/>
                      <a:ext cx="5274310" cy="253365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27</w:t>
      </w:r>
      <w:r>
        <w:t>缴费管理</w:t>
      </w:r>
      <w:r>
        <w:rPr>
          <w:rFonts w:hint="eastAsia"/>
        </w:rPr>
        <w:t>-支付</w:t>
      </w:r>
    </w:p>
    <w:p>
      <w:pPr>
        <w:pStyle w:val="21"/>
        <w:rPr>
          <w:rFonts w:ascii="Times New Roman" w:hAnsi="Times New Roman"/>
        </w:rPr>
      </w:pPr>
      <w:r>
        <w:rPr>
          <w:rFonts w:ascii="Times New Roman" w:hAnsi="Times New Roman"/>
        </w:rPr>
        <w:t>支付信息页面的上方会显示该此缴费的总应收保费</w:t>
      </w:r>
      <w:r>
        <w:rPr>
          <w:rFonts w:hint="eastAsia" w:ascii="Times New Roman" w:hAnsi="Times New Roman"/>
        </w:rPr>
        <w:t>、</w:t>
      </w:r>
      <w:r>
        <w:rPr>
          <w:rFonts w:ascii="Times New Roman" w:hAnsi="Times New Roman"/>
        </w:rPr>
        <w:t>币别</w:t>
      </w:r>
      <w:r>
        <w:rPr>
          <w:rFonts w:hint="eastAsia" w:ascii="Times New Roman" w:hAnsi="Times New Roman"/>
        </w:rPr>
        <w:t>、</w:t>
      </w:r>
      <w:r>
        <w:rPr>
          <w:rFonts w:ascii="Times New Roman" w:hAnsi="Times New Roman"/>
        </w:rPr>
        <w:t>支付包号</w:t>
      </w:r>
      <w:r>
        <w:rPr>
          <w:rFonts w:hint="eastAsia" w:ascii="Times New Roman" w:hAnsi="Times New Roman"/>
        </w:rPr>
        <w:t>、操作员信息。投保信息中会显示此次缴费对应的业务单信息，多条业务单合并缴费时，此处会显示多条。</w:t>
      </w:r>
    </w:p>
    <w:p>
      <w:pPr>
        <w:pStyle w:val="21"/>
        <w:rPr>
          <w:rFonts w:ascii="Times New Roman" w:hAnsi="Times New Roman"/>
        </w:rPr>
      </w:pPr>
      <w:r>
        <w:rPr>
          <w:rFonts w:ascii="Times New Roman" w:hAnsi="Times New Roman"/>
        </w:rPr>
        <w:t>目前系统提供三种支付方式</w:t>
      </w:r>
      <w:r>
        <w:rPr>
          <w:rFonts w:hint="eastAsia" w:ascii="Times New Roman" w:hAnsi="Times New Roman"/>
        </w:rPr>
        <w:t>，“支付/汇款”、“移动POS”、“银联汇款”。选择相应的支付方式，下方会提供支付需要的信息，如“支票/汇款”会提供支票银行信息等，录入完成后，待到缴费成功后，见费出单的投保单则会生成保单号。“移动pos”则提供二维码，可使用POS机进行缴费，本系统缴费结果以收付系统提供结果为准。</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82" w:name="_Toc27563"/>
      <w:r>
        <w:t>批改管理</w:t>
      </w:r>
      <w:bookmarkEnd w:id="82"/>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83" w:name="_Toc12947"/>
      <w:r>
        <w:rPr>
          <w:rFonts w:eastAsia="仿宋_GB2312"/>
          <w:sz w:val="28"/>
          <w:szCs w:val="28"/>
        </w:rPr>
        <w:t>功能说明</w:t>
      </w:r>
      <w:bookmarkEnd w:id="83"/>
    </w:p>
    <w:p>
      <w:pPr>
        <w:pStyle w:val="21"/>
        <w:rPr>
          <w:rFonts w:ascii="Times New Roman" w:hAnsi="Times New Roman"/>
        </w:rPr>
      </w:pPr>
      <w:r>
        <w:rPr>
          <w:rFonts w:hint="eastAsia"/>
        </w:rPr>
        <w:t>业务流程中规定任何已经生效的保单，即通过了核保审批通过的保单，如需要进行变更必须进行批改处理，批改也同样需要经过录入、修改、核批等操作，核批通过之后才可以生效，</w:t>
      </w:r>
      <w:r>
        <w:rPr>
          <w:rFonts w:hint="eastAsia"/>
          <w:b/>
          <w:color w:val="FF0000"/>
        </w:rPr>
        <w:t>同一张保单若存在还未核批通过的批单，则不允许进行新的批改操作，若有未处理完毕的赔案，也不允许进行批改操作</w:t>
      </w:r>
      <w:r>
        <w:rPr>
          <w:rFonts w:hint="eastAsia"/>
        </w:rPr>
        <w:t>。</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84" w:name="_Toc2834"/>
      <w:r>
        <w:rPr>
          <w:rFonts w:eastAsia="仿宋_GB2312"/>
          <w:sz w:val="28"/>
          <w:szCs w:val="28"/>
        </w:rPr>
        <w:t>功能介绍</w:t>
      </w:r>
      <w:bookmarkEnd w:id="84"/>
    </w:p>
    <w:p>
      <w:pPr>
        <w:pStyle w:val="21"/>
        <w:rPr>
          <w:rFonts w:ascii="Times New Roman" w:hAnsi="Times New Roman"/>
        </w:rPr>
      </w:pPr>
      <w:r>
        <w:rPr>
          <w:rFonts w:hint="eastAsia" w:ascii="Times New Roman" w:hAnsi="Times New Roman"/>
        </w:rPr>
        <w:t>批改功能可通过菜单中的</w:t>
      </w:r>
      <w:r>
        <w:rPr>
          <w:rFonts w:hint="eastAsia" w:ascii="Times New Roman" w:hAnsi="Times New Roman"/>
          <w:b/>
          <w:color w:val="FF0000"/>
        </w:rPr>
        <w:t>“批改管理”</w:t>
      </w:r>
      <w:r>
        <w:rPr>
          <w:rFonts w:hint="eastAsia" w:ascii="Times New Roman" w:hAnsi="Times New Roman"/>
        </w:rPr>
        <w:t>进入功能页面，也可通过</w:t>
      </w:r>
      <w:r>
        <w:rPr>
          <w:rFonts w:hint="eastAsia" w:ascii="Times New Roman" w:hAnsi="Times New Roman"/>
          <w:b/>
          <w:color w:val="FF0000"/>
        </w:rPr>
        <w:t>高级查询-保单查询下的“操作”按钮进入</w:t>
      </w:r>
      <w:r>
        <w:rPr>
          <w:rFonts w:hint="eastAsia" w:ascii="Times New Roman" w:hAnsi="Times New Roman"/>
        </w:rPr>
        <w:t>。</w:t>
      </w:r>
    </w:p>
    <w:p>
      <w:pPr>
        <w:keepNext/>
      </w:pPr>
      <w:r>
        <w:drawing>
          <wp:inline distT="0" distB="0" distL="0" distR="0">
            <wp:extent cx="5274310" cy="1708785"/>
            <wp:effectExtent l="9525" t="9525" r="12065"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5274310" cy="1708785"/>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28</w:t>
      </w:r>
      <w:r>
        <w:t>批改类型选择界面</w:t>
      </w:r>
    </w:p>
    <w:p>
      <w:pPr>
        <w:pStyle w:val="21"/>
        <w:rPr>
          <w:rFonts w:ascii="Times New Roman" w:hAnsi="Times New Roman"/>
          <w:b/>
          <w:color w:val="FF0000"/>
        </w:rPr>
      </w:pPr>
      <w:r>
        <w:rPr>
          <w:rFonts w:ascii="Times New Roman" w:hAnsi="Times New Roman"/>
        </w:rPr>
        <w:t>输入保单号码后</w:t>
      </w:r>
      <w:r>
        <w:rPr>
          <w:rFonts w:hint="eastAsia" w:ascii="Times New Roman" w:hAnsi="Times New Roman"/>
        </w:rPr>
        <w:t>，</w:t>
      </w:r>
      <w:r>
        <w:rPr>
          <w:rFonts w:ascii="Times New Roman" w:hAnsi="Times New Roman"/>
        </w:rPr>
        <w:t>可自动带出保单资料</w:t>
      </w:r>
      <w:r>
        <w:rPr>
          <w:rFonts w:hint="eastAsia" w:ascii="Times New Roman" w:hAnsi="Times New Roman"/>
        </w:rPr>
        <w:t>，</w:t>
      </w:r>
      <w:r>
        <w:rPr>
          <w:rFonts w:hint="eastAsia" w:ascii="Times New Roman" w:hAnsi="Times New Roman"/>
          <w:b/>
          <w:color w:val="FF0000"/>
        </w:rPr>
        <w:t>“申请人角色”可以选择投保人、被保险人，批改生效日期默认系统当前时间+1的日期，可修改。批改申请日期默认系统当前时间，不可修改。</w:t>
      </w:r>
      <w:r>
        <w:rPr>
          <w:rFonts w:hint="eastAsia" w:ascii="Times New Roman" w:hAnsi="Times New Roman"/>
        </w:rPr>
        <w:t>录入完毕后，选择要进行的批改项目，点击</w:t>
      </w:r>
      <w:r>
        <w:rPr>
          <w:rFonts w:hint="eastAsia" w:ascii="Times New Roman" w:hAnsi="Times New Roman"/>
          <w:b/>
          <w:color w:val="FF0000"/>
        </w:rPr>
        <w:t>“下一步”</w:t>
      </w:r>
      <w:r>
        <w:rPr>
          <w:rFonts w:hint="eastAsia" w:ascii="Times New Roman" w:hAnsi="Times New Roman"/>
        </w:rPr>
        <w:t>进入批改页面，</w:t>
      </w:r>
      <w:r>
        <w:rPr>
          <w:rFonts w:hint="eastAsia" w:ascii="Times New Roman" w:hAnsi="Times New Roman"/>
          <w:b/>
          <w:color w:val="FF0000"/>
        </w:rPr>
        <w:t>以下保单无法进行批改操作。</w:t>
      </w:r>
    </w:p>
    <w:p>
      <w:pPr>
        <w:pStyle w:val="21"/>
        <w:numPr>
          <w:ilvl w:val="0"/>
          <w:numId w:val="5"/>
        </w:numPr>
        <w:rPr>
          <w:rFonts w:ascii="Times New Roman" w:hAnsi="Times New Roman"/>
          <w:b/>
          <w:color w:val="FF0000"/>
        </w:rPr>
      </w:pPr>
      <w:r>
        <w:rPr>
          <w:rFonts w:ascii="Times New Roman" w:hAnsi="Times New Roman"/>
          <w:b/>
          <w:color w:val="FF0000"/>
        </w:rPr>
        <w:t>保单责任结束的保单</w:t>
      </w:r>
      <w:r>
        <w:rPr>
          <w:rFonts w:hint="eastAsia" w:ascii="Times New Roman" w:hAnsi="Times New Roman"/>
          <w:b/>
          <w:color w:val="FF0000"/>
        </w:rPr>
        <w:t>。</w:t>
      </w:r>
    </w:p>
    <w:p>
      <w:pPr>
        <w:pStyle w:val="21"/>
        <w:numPr>
          <w:ilvl w:val="0"/>
          <w:numId w:val="5"/>
        </w:numPr>
        <w:rPr>
          <w:rFonts w:ascii="Times New Roman" w:hAnsi="Times New Roman"/>
          <w:b/>
          <w:color w:val="FF0000"/>
        </w:rPr>
      </w:pPr>
      <w:r>
        <w:rPr>
          <w:rFonts w:ascii="Times New Roman" w:hAnsi="Times New Roman"/>
          <w:b/>
          <w:color w:val="FF0000"/>
        </w:rPr>
        <w:t>理赔尚未结束的保单</w:t>
      </w:r>
      <w:r>
        <w:rPr>
          <w:rFonts w:hint="eastAsia" w:ascii="Times New Roman" w:hAnsi="Times New Roman"/>
          <w:b/>
          <w:color w:val="FF0000"/>
        </w:rPr>
        <w:t>。</w:t>
      </w:r>
    </w:p>
    <w:p>
      <w:pPr>
        <w:pStyle w:val="21"/>
        <w:numPr>
          <w:ilvl w:val="0"/>
          <w:numId w:val="5"/>
        </w:numPr>
        <w:rPr>
          <w:rFonts w:ascii="Times New Roman" w:hAnsi="Times New Roman"/>
          <w:b/>
          <w:color w:val="FF0000"/>
        </w:rPr>
      </w:pPr>
      <w:r>
        <w:rPr>
          <w:rFonts w:ascii="Times New Roman" w:hAnsi="Times New Roman"/>
          <w:b/>
          <w:color w:val="FF0000"/>
        </w:rPr>
        <w:t>上次批改核保未结束的保单</w:t>
      </w:r>
      <w:r>
        <w:rPr>
          <w:rFonts w:hint="eastAsia" w:ascii="Times New Roman" w:hAnsi="Times New Roman"/>
          <w:b/>
          <w:color w:val="FF0000"/>
        </w:rPr>
        <w:t>。</w:t>
      </w:r>
    </w:p>
    <w:p>
      <w:pPr>
        <w:pStyle w:val="21"/>
        <w:rPr>
          <w:rFonts w:ascii="Times New Roman" w:hAnsi="Times New Roman"/>
        </w:rPr>
      </w:pPr>
      <w:r>
        <w:rPr>
          <w:rFonts w:hint="eastAsia" w:ascii="Times New Roman" w:hAnsi="Times New Roman"/>
        </w:rPr>
        <w:t>选择批改类型后，系统会自动生成批单申请号，下文会根据批改类型分别介绍。</w:t>
      </w:r>
    </w:p>
    <w:p>
      <w:pPr>
        <w:pStyle w:val="5"/>
        <w:rPr>
          <w:rFonts w:eastAsia="仿宋_GB2312"/>
        </w:rPr>
      </w:pPr>
      <w:r>
        <w:t>退保</w:t>
      </w:r>
    </w:p>
    <w:p>
      <w:pPr>
        <w:keepNext/>
      </w:pPr>
      <w:r>
        <w:drawing>
          <wp:inline distT="0" distB="0" distL="0" distR="0">
            <wp:extent cx="5272405" cy="2654300"/>
            <wp:effectExtent l="9525" t="9525" r="13970" b="222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2405" cy="265430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29</w:t>
      </w:r>
      <w:r>
        <w:t>批改管理</w:t>
      </w:r>
      <w:r>
        <w:rPr>
          <w:rFonts w:hint="eastAsia"/>
        </w:rPr>
        <w:t>-退保</w:t>
      </w:r>
    </w:p>
    <w:p>
      <w:pPr>
        <w:pStyle w:val="21"/>
        <w:rPr>
          <w:rFonts w:ascii="Times New Roman" w:hAnsi="Times New Roman"/>
          <w:b/>
          <w:color w:val="FF0000"/>
        </w:rPr>
      </w:pPr>
      <w:r>
        <w:rPr>
          <w:rFonts w:ascii="Times New Roman" w:hAnsi="Times New Roman"/>
        </w:rPr>
        <w:t>选择退保批改类型后</w:t>
      </w:r>
      <w:r>
        <w:rPr>
          <w:rFonts w:hint="eastAsia" w:ascii="Times New Roman" w:hAnsi="Times New Roman"/>
        </w:rPr>
        <w:t>，</w:t>
      </w:r>
      <w:r>
        <w:rPr>
          <w:rFonts w:ascii="Times New Roman" w:hAnsi="Times New Roman"/>
        </w:rPr>
        <w:t>申请人</w:t>
      </w:r>
      <w:r>
        <w:rPr>
          <w:rFonts w:hint="eastAsia" w:ascii="Times New Roman" w:hAnsi="Times New Roman"/>
        </w:rPr>
        <w:t>、批改生效日期、批改日期、批改类型在此页面中做只读显示。</w:t>
      </w:r>
      <w:r>
        <w:rPr>
          <w:rFonts w:ascii="Times New Roman" w:hAnsi="Times New Roman"/>
          <w:b/>
          <w:color w:val="FF0000"/>
        </w:rPr>
        <w:t xml:space="preserve"> </w:t>
      </w:r>
    </w:p>
    <w:p>
      <w:pPr>
        <w:pStyle w:val="21"/>
        <w:rPr>
          <w:rFonts w:ascii="Times New Roman" w:hAnsi="Times New Roman"/>
        </w:rPr>
      </w:pPr>
      <w:r>
        <w:rPr>
          <w:rFonts w:ascii="Times New Roman" w:hAnsi="Times New Roman"/>
        </w:rPr>
        <w:t>批改信息录入完毕后</w:t>
      </w:r>
      <w:r>
        <w:rPr>
          <w:rFonts w:hint="eastAsia" w:ascii="Times New Roman" w:hAnsi="Times New Roman"/>
        </w:rPr>
        <w:t>，</w:t>
      </w:r>
      <w:r>
        <w:rPr>
          <w:rFonts w:hint="eastAsia" w:ascii="Times New Roman" w:hAnsi="Times New Roman"/>
          <w:b/>
          <w:color w:val="FF0000"/>
        </w:rPr>
        <w:t>下方的总应收保费、保险剩余天数、剩余保费、保费变化量、退款手续费会自动根据上方录入的内容计算并更新。</w:t>
      </w:r>
      <w:r>
        <w:rPr>
          <w:rFonts w:hint="eastAsia" w:ascii="Times New Roman" w:hAnsi="Times New Roman"/>
        </w:rPr>
        <w:t>确认无误后，点击生成批文，系统会根据</w:t>
      </w:r>
      <w:r>
        <w:rPr>
          <w:rFonts w:hint="eastAsia" w:ascii="Times New Roman" w:hAnsi="Times New Roman"/>
          <w:b/>
          <w:color w:val="FF0000"/>
        </w:rPr>
        <w:t>修改的内容生成一条批文信息</w:t>
      </w:r>
      <w:r>
        <w:rPr>
          <w:rFonts w:hint="eastAsia" w:ascii="Times New Roman" w:hAnsi="Times New Roman"/>
        </w:rPr>
        <w:t>。</w:t>
      </w:r>
    </w:p>
    <w:p>
      <w:pPr>
        <w:pStyle w:val="21"/>
        <w:rPr>
          <w:rFonts w:ascii="Times New Roman" w:hAnsi="Times New Roman"/>
        </w:rPr>
      </w:pPr>
      <w:r>
        <w:rPr>
          <w:rFonts w:ascii="Times New Roman" w:hAnsi="Times New Roman"/>
        </w:rPr>
        <w:t>完成此步骤后</w:t>
      </w:r>
      <w:r>
        <w:rPr>
          <w:rFonts w:hint="eastAsia" w:ascii="Times New Roman" w:hAnsi="Times New Roman"/>
        </w:rPr>
        <w:t>，</w:t>
      </w:r>
      <w:r>
        <w:rPr>
          <w:rFonts w:ascii="Times New Roman" w:hAnsi="Times New Roman"/>
        </w:rPr>
        <w:t>亦可进行</w:t>
      </w:r>
      <w:r>
        <w:rPr>
          <w:rFonts w:hint="eastAsia" w:ascii="Times New Roman" w:hAnsi="Times New Roman"/>
        </w:rPr>
        <w:t>“影像上传”，资料齐全后，点击右上方“提交核保”按钮，可将此批改申请单提交至核保系统。</w:t>
      </w:r>
    </w:p>
    <w:p>
      <w:pPr>
        <w:pStyle w:val="5"/>
        <w:rPr>
          <w:rFonts w:eastAsia="仿宋_GB2312"/>
        </w:rPr>
      </w:pPr>
      <w:r>
        <w:t>批改雇员清单</w:t>
      </w:r>
    </w:p>
    <w:p>
      <w:pPr>
        <w:pStyle w:val="21"/>
        <w:ind w:firstLine="0"/>
        <w:rPr>
          <w:rFonts w:hint="eastAsia" w:ascii="Times New Roman" w:hAnsi="Times New Roman"/>
        </w:rPr>
      </w:pPr>
      <w:r>
        <w:rPr>
          <w:rFonts w:hint="eastAsia" w:ascii="Times New Roman" w:hAnsi="Times New Roman"/>
        </w:rPr>
        <w:drawing>
          <wp:inline distT="0" distB="0" distL="0" distR="0">
            <wp:extent cx="5303520" cy="2743200"/>
            <wp:effectExtent l="9525" t="9525" r="2095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ln>
                      <a:solidFill>
                        <a:schemeClr val="tx1"/>
                      </a:solidFill>
                    </a:ln>
                  </pic:spPr>
                </pic:pic>
              </a:graphicData>
            </a:graphic>
          </wp:inline>
        </w:drawing>
      </w:r>
    </w:p>
    <w:p>
      <w:pPr>
        <w:pStyle w:val="6"/>
        <w:jc w:val="center"/>
        <w:rPr>
          <w:rFonts w:hint="eastAsia"/>
          <w:lang w:eastAsia="zh-CN"/>
        </w:rPr>
      </w:pPr>
      <w:r>
        <w:rPr>
          <w:rFonts w:hint="eastAsia"/>
          <w:lang w:eastAsia="zh-CN"/>
        </w:rPr>
        <w:t>图</w:t>
      </w:r>
      <w:r>
        <w:rPr>
          <w:rFonts w:hint="eastAsia"/>
          <w:lang w:val="en-US" w:eastAsia="zh-CN"/>
        </w:rPr>
        <w:t>30批改雇员界面</w:t>
      </w:r>
    </w:p>
    <w:p>
      <w:pPr>
        <w:pStyle w:val="21"/>
        <w:ind w:firstLine="0"/>
        <w:rPr>
          <w:rFonts w:ascii="Times New Roman" w:hAnsi="Times New Roman"/>
        </w:rPr>
      </w:pPr>
      <w:r>
        <w:rPr>
          <w:rFonts w:ascii="Times New Roman" w:hAnsi="Times New Roman"/>
        </w:rPr>
        <w:tab/>
      </w:r>
      <w:r>
        <w:rPr>
          <w:rFonts w:ascii="Times New Roman" w:hAnsi="Times New Roman"/>
        </w:rPr>
        <w:t>选择批改雇员清单</w:t>
      </w:r>
      <w:r>
        <w:rPr>
          <w:rFonts w:hint="eastAsia" w:ascii="Times New Roman" w:hAnsi="Times New Roman"/>
        </w:rPr>
        <w:t>可进入本页面，原保单的雇员清单会在导入列表信息模块中展示。“操作类型”可选择增量、全量。此批改采用导入的形式进行，即新增、修改、删除以导入形式进行体现，在雇员导入模板中增加了批改标注，此模板与投保录入处不同，需使用专门批改雇员模板进行配置与导入。</w:t>
      </w:r>
      <w:r>
        <w:rPr>
          <w:rFonts w:ascii="Times New Roman" w:hAnsi="Times New Roman"/>
        </w:rPr>
        <w:t>导入形式与人员清单导入相同</w:t>
      </w:r>
      <w:r>
        <w:rPr>
          <w:rFonts w:hint="eastAsia" w:ascii="Times New Roman" w:hAnsi="Times New Roman"/>
        </w:rPr>
        <w:t>，</w:t>
      </w:r>
      <w:r>
        <w:rPr>
          <w:rFonts w:ascii="Times New Roman" w:hAnsi="Times New Roman"/>
        </w:rPr>
        <w:t>可参照</w:t>
      </w:r>
      <w:r>
        <w:rPr>
          <w:rFonts w:ascii="Times New Roman" w:hAnsi="Times New Roman"/>
        </w:rPr>
        <w:fldChar w:fldCharType="begin"/>
      </w:r>
      <w:r>
        <w:rPr>
          <w:rFonts w:ascii="Times New Roman" w:hAnsi="Times New Roman"/>
        </w:rPr>
        <w:instrText xml:space="preserve"> REF _Ref509402894 \r \h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hint="eastAsia" w:ascii="Times New Roman" w:hAnsi="Times New Roman"/>
        </w:rPr>
        <w:t>。</w:t>
      </w:r>
    </w:p>
    <w:p>
      <w:pPr>
        <w:pStyle w:val="21"/>
        <w:ind w:firstLine="0"/>
        <w:rPr>
          <w:rFonts w:ascii="Times New Roman" w:hAnsi="Times New Roman"/>
        </w:rPr>
      </w:pPr>
      <w:r>
        <w:rPr>
          <w:rFonts w:ascii="Times New Roman" w:hAnsi="Times New Roman"/>
        </w:rPr>
        <w:tab/>
      </w:r>
      <w:r>
        <w:rPr>
          <w:rFonts w:ascii="Times New Roman" w:hAnsi="Times New Roman"/>
        </w:rPr>
        <w:t>导入后</w:t>
      </w:r>
      <w:r>
        <w:rPr>
          <w:rFonts w:hint="eastAsia" w:ascii="Times New Roman" w:hAnsi="Times New Roman"/>
        </w:rPr>
        <w:t>，</w:t>
      </w:r>
      <w:r>
        <w:rPr>
          <w:rFonts w:ascii="Times New Roman" w:hAnsi="Times New Roman"/>
        </w:rPr>
        <w:t>下方会更新最新的雇员信息</w:t>
      </w:r>
      <w:r>
        <w:rPr>
          <w:rFonts w:hint="eastAsia" w:ascii="Times New Roman" w:hAnsi="Times New Roman"/>
        </w:rPr>
        <w:t>，</w:t>
      </w:r>
      <w:r>
        <w:rPr>
          <w:rFonts w:ascii="Times New Roman" w:hAnsi="Times New Roman"/>
          <w:b/>
          <w:color w:val="FF0000"/>
        </w:rPr>
        <w:t>对于涉费情况</w:t>
      </w:r>
      <w:r>
        <w:rPr>
          <w:rFonts w:hint="eastAsia" w:ascii="Times New Roman" w:hAnsi="Times New Roman"/>
          <w:b/>
          <w:color w:val="FF0000"/>
        </w:rPr>
        <w:t>（新增/删除），导入列表信息中的“保费变化量”会自动计算并显示。并将所有产生保费变化的雇员的保费变化加和，现在在清单导入下的“保费变化量”文本框中。</w:t>
      </w:r>
    </w:p>
    <w:p>
      <w:pPr>
        <w:pStyle w:val="21"/>
        <w:rPr>
          <w:rFonts w:ascii="Times New Roman" w:hAnsi="Times New Roman"/>
        </w:rPr>
      </w:pPr>
      <w:r>
        <w:rPr>
          <w:rFonts w:hint="eastAsia" w:ascii="Times New Roman" w:hAnsi="Times New Roman"/>
        </w:rPr>
        <w:t>确认无误后，点击生成批文，系统会根据修改的内容生成一条批文信息。</w:t>
      </w:r>
      <w:r>
        <w:rPr>
          <w:rFonts w:ascii="Times New Roman" w:hAnsi="Times New Roman"/>
        </w:rPr>
        <w:t>完成此步骤后</w:t>
      </w:r>
      <w:r>
        <w:rPr>
          <w:rFonts w:hint="eastAsia" w:ascii="Times New Roman" w:hAnsi="Times New Roman"/>
        </w:rPr>
        <w:t>，</w:t>
      </w:r>
      <w:r>
        <w:rPr>
          <w:rFonts w:ascii="Times New Roman" w:hAnsi="Times New Roman"/>
        </w:rPr>
        <w:t>亦可进行</w:t>
      </w:r>
      <w:r>
        <w:rPr>
          <w:rFonts w:hint="eastAsia" w:ascii="Times New Roman" w:hAnsi="Times New Roman"/>
        </w:rPr>
        <w:t>“影像上传”，资料齐全后，点击右上方“提交核保”按钮，可将此批改申请单提交至核保系统。</w:t>
      </w:r>
    </w:p>
    <w:p>
      <w:pPr>
        <w:pStyle w:val="21"/>
        <w:rPr>
          <w:rFonts w:ascii="Times New Roman" w:hAnsi="Times New Roman"/>
          <w:b/>
          <w:color w:val="FF0000"/>
        </w:rPr>
      </w:pPr>
      <w:r>
        <w:rPr>
          <w:rFonts w:ascii="Times New Roman" w:hAnsi="Times New Roman"/>
          <w:b/>
          <w:color w:val="FF0000"/>
        </w:rPr>
        <w:t>批改雇员导入规则</w:t>
      </w:r>
      <w:r>
        <w:rPr>
          <w:rFonts w:hint="eastAsia" w:ascii="Times New Roman" w:hAnsi="Times New Roman"/>
          <w:b/>
          <w:color w:val="FF0000"/>
        </w:rPr>
        <w:t>：</w:t>
      </w:r>
    </w:p>
    <w:p>
      <w:pPr>
        <w:pStyle w:val="21"/>
        <w:numPr>
          <w:ilvl w:val="0"/>
          <w:numId w:val="6"/>
        </w:numPr>
        <w:rPr>
          <w:rFonts w:ascii="Times New Roman" w:hAnsi="Times New Roman"/>
        </w:rPr>
      </w:pPr>
      <w:r>
        <w:rPr>
          <w:rFonts w:ascii="Times New Roman" w:hAnsi="Times New Roman"/>
        </w:rPr>
        <w:t>导入模板内</w:t>
      </w:r>
      <w:r>
        <w:rPr>
          <w:rFonts w:hint="eastAsia" w:ascii="Times New Roman" w:hAnsi="Times New Roman"/>
        </w:rPr>
        <w:t>，</w:t>
      </w:r>
      <w:r>
        <w:rPr>
          <w:rFonts w:ascii="Times New Roman" w:hAnsi="Times New Roman"/>
        </w:rPr>
        <w:t>新增批改标志列</w:t>
      </w:r>
      <w:r>
        <w:rPr>
          <w:rFonts w:hint="eastAsia" w:ascii="Times New Roman" w:hAnsi="Times New Roman"/>
        </w:rPr>
        <w:t>，其中：U-修改、C</w:t>
      </w:r>
      <w:r>
        <w:rPr>
          <w:rFonts w:ascii="Times New Roman" w:hAnsi="Times New Roman"/>
        </w:rPr>
        <w:t>-新增</w:t>
      </w:r>
      <w:r>
        <w:rPr>
          <w:rFonts w:hint="eastAsia" w:ascii="Times New Roman" w:hAnsi="Times New Roman"/>
        </w:rPr>
        <w:t>、D-删除。批改时，需在批改目标前加入此标志，否则会导致无法识别批改项或导入失败的情况。</w:t>
      </w:r>
    </w:p>
    <w:p>
      <w:pPr>
        <w:pStyle w:val="21"/>
        <w:numPr>
          <w:ilvl w:val="0"/>
          <w:numId w:val="6"/>
        </w:numPr>
        <w:rPr>
          <w:rFonts w:ascii="Times New Roman" w:hAnsi="Times New Roman"/>
        </w:rPr>
      </w:pPr>
      <w:r>
        <w:rPr>
          <w:rFonts w:ascii="Times New Roman" w:hAnsi="Times New Roman"/>
        </w:rPr>
        <w:t>其他规则参照</w:t>
      </w:r>
      <w:r>
        <w:rPr>
          <w:rFonts w:ascii="Times New Roman" w:hAnsi="Times New Roman"/>
        </w:rPr>
        <w:fldChar w:fldCharType="begin"/>
      </w:r>
      <w:r>
        <w:rPr>
          <w:rFonts w:ascii="Times New Roman" w:hAnsi="Times New Roman"/>
        </w:rPr>
        <w:instrText xml:space="preserve"> REF _Ref509402894 \r \h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hint="eastAsia" w:ascii="Times New Roman" w:hAnsi="Times New Roman"/>
        </w:rPr>
        <w:t>。</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85" w:name="_Toc21021"/>
      <w:r>
        <w:t>高级查询</w:t>
      </w:r>
      <w:bookmarkEnd w:id="85"/>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86" w:name="_Toc17112"/>
      <w:r>
        <w:rPr>
          <w:rFonts w:eastAsia="仿宋_GB2312"/>
          <w:sz w:val="28"/>
          <w:szCs w:val="28"/>
        </w:rPr>
        <w:t>功能说明</w:t>
      </w:r>
      <w:bookmarkEnd w:id="86"/>
    </w:p>
    <w:p>
      <w:pPr>
        <w:pStyle w:val="21"/>
        <w:rPr>
          <w:rFonts w:ascii="Times New Roman" w:hAnsi="Times New Roman"/>
        </w:rPr>
      </w:pPr>
      <w:r>
        <w:rPr>
          <w:rFonts w:hint="eastAsia" w:ascii="Times New Roman" w:hAnsi="Times New Roman"/>
        </w:rPr>
        <w:t>用户可以查询投保单、保单、批单情况。</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87" w:name="_Toc14534"/>
      <w:r>
        <w:rPr>
          <w:rFonts w:eastAsia="仿宋_GB2312"/>
          <w:sz w:val="28"/>
          <w:szCs w:val="28"/>
        </w:rPr>
        <w:t>功能介绍</w:t>
      </w:r>
      <w:bookmarkEnd w:id="87"/>
    </w:p>
    <w:p>
      <w:pPr>
        <w:pStyle w:val="21"/>
        <w:rPr>
          <w:rFonts w:ascii="Times New Roman" w:hAnsi="Times New Roman"/>
        </w:rPr>
      </w:pPr>
      <w:r>
        <w:rPr>
          <w:rFonts w:ascii="Times New Roman" w:hAnsi="Times New Roman"/>
        </w:rPr>
        <w:t>点击菜单中的</w:t>
      </w:r>
      <w:r>
        <w:rPr>
          <w:rFonts w:hint="eastAsia" w:ascii="Times New Roman" w:hAnsi="Times New Roman"/>
        </w:rPr>
        <w:t>“高级查询”，可进入高级查询页面。目前高级查询支持</w:t>
      </w:r>
      <w:r>
        <w:rPr>
          <w:rFonts w:hint="eastAsia" w:ascii="Times New Roman" w:hAnsi="Times New Roman"/>
          <w:b/>
          <w:color w:val="FF0000"/>
        </w:rPr>
        <w:t>投保单、保单、批单查询</w:t>
      </w:r>
      <w:r>
        <w:rPr>
          <w:rFonts w:hint="eastAsia" w:ascii="Times New Roman" w:hAnsi="Times New Roman"/>
        </w:rPr>
        <w:t>，并可在高级查询中对不同业务单类型做出不同操作。</w:t>
      </w:r>
    </w:p>
    <w:p>
      <w:pPr>
        <w:keepNext/>
      </w:pPr>
      <w:r>
        <w:drawing>
          <wp:inline distT="0" distB="0" distL="0" distR="0">
            <wp:extent cx="5274310" cy="950595"/>
            <wp:effectExtent l="9525" t="9525" r="1206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274310" cy="950595"/>
                    </a:xfrm>
                    <a:prstGeom prst="rect">
                      <a:avLst/>
                    </a:prstGeom>
                    <a:ln>
                      <a:solidFill>
                        <a:schemeClr val="tx1"/>
                      </a:solidFill>
                    </a:ln>
                  </pic:spPr>
                </pic:pic>
              </a:graphicData>
            </a:graphic>
          </wp:inline>
        </w:drawing>
      </w:r>
      <w:r>
        <w:t xml:space="preserve"> </w:t>
      </w:r>
    </w:p>
    <w:p>
      <w:pPr>
        <w:pStyle w:val="6"/>
        <w:jc w:val="center"/>
      </w:pPr>
      <w:r>
        <w:rPr>
          <w:rFonts w:hint="eastAsia"/>
        </w:rPr>
        <w:t xml:space="preserve">图 </w:t>
      </w:r>
      <w:r>
        <w:rPr>
          <w:rFonts w:hint="eastAsia"/>
          <w:lang w:val="en-US" w:eastAsia="zh-CN"/>
        </w:rPr>
        <w:t>31</w:t>
      </w:r>
      <w:r>
        <w:t>高级查询</w:t>
      </w:r>
    </w:p>
    <w:p>
      <w:pPr>
        <w:pStyle w:val="21"/>
        <w:rPr>
          <w:rFonts w:ascii="Times New Roman" w:hAnsi="Times New Roman"/>
        </w:rPr>
      </w:pPr>
      <w:r>
        <w:rPr>
          <w:rFonts w:ascii="Times New Roman" w:hAnsi="Times New Roman"/>
        </w:rPr>
        <w:t>可通过切换左上角业务单类型</w:t>
      </w:r>
      <w:r>
        <w:rPr>
          <w:rFonts w:hint="eastAsia" w:ascii="Times New Roman" w:hAnsi="Times New Roman"/>
        </w:rPr>
        <w:t>切换不同的查询目标。此处介绍两处要素录入规则及两处查询功能使用说明，其他功能中如有相同要素，亦可参照此处。</w:t>
      </w:r>
    </w:p>
    <w:p>
      <w:pPr>
        <w:pStyle w:val="21"/>
        <w:rPr>
          <w:rFonts w:ascii="Times New Roman" w:hAnsi="Times New Roman"/>
        </w:rPr>
      </w:pPr>
      <w:r>
        <w:rPr>
          <w:rFonts w:ascii="Times New Roman" w:hAnsi="Times New Roman"/>
        </w:rPr>
        <w:t>系统中提供日期选择</w:t>
      </w:r>
      <w:r>
        <w:rPr>
          <w:rFonts w:hint="eastAsia" w:ascii="Times New Roman" w:hAnsi="Times New Roman"/>
        </w:rPr>
        <w:t>/输入</w:t>
      </w:r>
      <w:r>
        <w:rPr>
          <w:rFonts w:ascii="Times New Roman" w:hAnsi="Times New Roman"/>
        </w:rPr>
        <w:t>框</w:t>
      </w:r>
      <w:r>
        <w:rPr>
          <w:rFonts w:hint="eastAsia" w:ascii="Times New Roman" w:hAnsi="Times New Roman"/>
        </w:rPr>
        <w:t>，默认日期为系统当前日期。可通过切换栏中间处进行进行</w:t>
      </w:r>
      <w:r>
        <w:rPr>
          <w:rFonts w:hint="eastAsia" w:ascii="Times New Roman" w:hAnsi="Times New Roman"/>
          <w:b/>
          <w:color w:val="FF0000"/>
        </w:rPr>
        <w:t>日期、月份、年份</w:t>
      </w:r>
      <w:r>
        <w:rPr>
          <w:rFonts w:hint="eastAsia" w:ascii="Times New Roman" w:hAnsi="Times New Roman"/>
        </w:rPr>
        <w:t>切换。也可在框体中</w:t>
      </w:r>
      <w:r>
        <w:rPr>
          <w:rFonts w:hint="eastAsia" w:ascii="Times New Roman" w:hAnsi="Times New Roman"/>
          <w:b/>
          <w:color w:val="FF0000"/>
        </w:rPr>
        <w:t>直接输入</w:t>
      </w:r>
      <w:r>
        <w:rPr>
          <w:rFonts w:hint="eastAsia" w:ascii="Times New Roman" w:hAnsi="Times New Roman"/>
        </w:rPr>
        <w:t>日期，格式为</w:t>
      </w:r>
      <w:r>
        <w:rPr>
          <w:rFonts w:hint="eastAsia" w:ascii="Times New Roman" w:hAnsi="Times New Roman"/>
          <w:b/>
          <w:color w:val="FF0000"/>
        </w:rPr>
        <w:t>“YYYY-MM</w:t>
      </w:r>
      <w:r>
        <w:rPr>
          <w:rFonts w:ascii="Times New Roman" w:hAnsi="Times New Roman"/>
          <w:b/>
          <w:color w:val="FF0000"/>
        </w:rPr>
        <w:t>-DD</w:t>
      </w:r>
      <w:r>
        <w:rPr>
          <w:rFonts w:hint="eastAsia" w:ascii="Times New Roman" w:hAnsi="Times New Roman"/>
          <w:b/>
          <w:color w:val="FF0000"/>
        </w:rPr>
        <w:t>”,例如：2000-01-01，输入后，日期控件会自动找到2000年1月1日；</w:t>
      </w:r>
    </w:p>
    <w:p>
      <w:pPr>
        <w:pStyle w:val="21"/>
        <w:keepNext/>
        <w:jc w:val="center"/>
      </w:pPr>
      <w:r>
        <w:drawing>
          <wp:inline distT="0" distB="0" distL="0" distR="0">
            <wp:extent cx="3159125" cy="2440305"/>
            <wp:effectExtent l="9525" t="9525" r="1270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59125" cy="2440305"/>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32</w:t>
      </w:r>
      <w:r>
        <w:t>日历</w:t>
      </w:r>
      <w:r>
        <w:rPr>
          <w:rFonts w:hint="eastAsia"/>
        </w:rPr>
        <w:t>-日期</w:t>
      </w:r>
    </w:p>
    <w:p>
      <w:pPr>
        <w:pStyle w:val="21"/>
        <w:keepNext/>
        <w:jc w:val="center"/>
      </w:pPr>
      <w:r>
        <w:drawing>
          <wp:inline distT="0" distB="0" distL="0" distR="0">
            <wp:extent cx="2475865" cy="2380615"/>
            <wp:effectExtent l="9525" t="9525" r="1016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2476190" cy="2380952"/>
                    </a:xfrm>
                    <a:prstGeom prst="rect">
                      <a:avLst/>
                    </a:prstGeom>
                    <a:ln>
                      <a:solidFill>
                        <a:schemeClr val="tx1"/>
                      </a:solidFill>
                    </a:ln>
                  </pic:spPr>
                </pic:pic>
              </a:graphicData>
            </a:graphic>
          </wp:inline>
        </w:drawing>
      </w:r>
    </w:p>
    <w:p>
      <w:pPr>
        <w:pStyle w:val="6"/>
        <w:jc w:val="center"/>
      </w:pPr>
      <w:r>
        <w:t>图</w:t>
      </w:r>
      <w:r>
        <w:rPr>
          <w:rFonts w:hint="eastAsia"/>
          <w:lang w:val="en-US" w:eastAsia="zh-CN"/>
        </w:rPr>
        <w:t>33</w:t>
      </w:r>
      <w:r>
        <w:t>日历</w:t>
      </w:r>
      <w:r>
        <w:rPr>
          <w:rFonts w:hint="eastAsia"/>
        </w:rPr>
        <w:t>-月份</w:t>
      </w:r>
    </w:p>
    <w:p>
      <w:pPr>
        <w:pStyle w:val="21"/>
        <w:keepNext/>
        <w:jc w:val="center"/>
      </w:pPr>
      <w:r>
        <w:drawing>
          <wp:inline distT="0" distB="0" distL="0" distR="0">
            <wp:extent cx="2542540" cy="2352040"/>
            <wp:effectExtent l="9525" t="9525" r="19685"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542857" cy="2352381"/>
                    </a:xfrm>
                    <a:prstGeom prst="rect">
                      <a:avLst/>
                    </a:prstGeom>
                    <a:ln>
                      <a:solidFill>
                        <a:schemeClr val="tx1"/>
                      </a:solidFill>
                    </a:ln>
                  </pic:spPr>
                </pic:pic>
              </a:graphicData>
            </a:graphic>
          </wp:inline>
        </w:drawing>
      </w:r>
    </w:p>
    <w:p>
      <w:pPr>
        <w:pStyle w:val="6"/>
        <w:jc w:val="center"/>
      </w:pPr>
      <w:r>
        <w:t xml:space="preserve">图 </w:t>
      </w:r>
      <w:r>
        <w:rPr>
          <w:rFonts w:hint="eastAsia"/>
          <w:lang w:val="en-US" w:eastAsia="zh-CN"/>
        </w:rPr>
        <w:t>34</w:t>
      </w:r>
      <w:r>
        <w:t>日历</w:t>
      </w:r>
      <w:r>
        <w:rPr>
          <w:rFonts w:hint="eastAsia"/>
        </w:rPr>
        <w:t>-年份</w:t>
      </w:r>
    </w:p>
    <w:p>
      <w:pPr>
        <w:pStyle w:val="21"/>
        <w:rPr>
          <w:rFonts w:ascii="Times New Roman" w:hAnsi="Times New Roman"/>
        </w:rPr>
      </w:pPr>
      <w:r>
        <w:rPr>
          <w:rFonts w:ascii="Times New Roman" w:hAnsi="Times New Roman"/>
        </w:rPr>
        <w:t>对于</w:t>
      </w:r>
      <w:r>
        <w:rPr>
          <w:rFonts w:ascii="Times New Roman" w:hAnsi="Times New Roman"/>
          <w:b/>
          <w:color w:val="FF0000"/>
        </w:rPr>
        <w:t>机构类下拉框</w:t>
      </w:r>
      <w:r>
        <w:rPr>
          <w:rFonts w:hint="eastAsia" w:ascii="Times New Roman" w:hAnsi="Times New Roman"/>
        </w:rPr>
        <w:t>，由于内容较多，</w:t>
      </w:r>
      <w:r>
        <w:rPr>
          <w:rFonts w:ascii="Times New Roman" w:hAnsi="Times New Roman"/>
        </w:rPr>
        <w:t>系统</w:t>
      </w:r>
      <w:r>
        <w:rPr>
          <w:rFonts w:ascii="Times New Roman" w:hAnsi="Times New Roman"/>
          <w:b/>
          <w:color w:val="FF0000"/>
        </w:rPr>
        <w:t>提供模糊查询</w:t>
      </w:r>
      <w:r>
        <w:rPr>
          <w:rFonts w:hint="eastAsia" w:ascii="Times New Roman" w:hAnsi="Times New Roman"/>
        </w:rPr>
        <w:t>，</w:t>
      </w:r>
      <w:r>
        <w:rPr>
          <w:rFonts w:ascii="Times New Roman" w:hAnsi="Times New Roman"/>
        </w:rPr>
        <w:t>以方便用户选择</w:t>
      </w:r>
      <w:r>
        <w:rPr>
          <w:rFonts w:hint="eastAsia" w:ascii="Times New Roman" w:hAnsi="Times New Roman"/>
        </w:rPr>
        <w:t>，</w:t>
      </w:r>
      <w:r>
        <w:rPr>
          <w:rFonts w:ascii="Times New Roman" w:hAnsi="Times New Roman"/>
          <w:b/>
          <w:color w:val="FF0000"/>
        </w:rPr>
        <w:t>可使用机构代码或机构名称进行模糊查询</w:t>
      </w:r>
      <w:r>
        <w:rPr>
          <w:rFonts w:hint="eastAsia" w:ascii="Times New Roman" w:hAnsi="Times New Roman"/>
        </w:rPr>
        <w:t>。</w:t>
      </w:r>
      <w:r>
        <w:rPr>
          <w:rFonts w:ascii="Times New Roman" w:hAnsi="Times New Roman"/>
        </w:rPr>
        <w:t>输入关键字后</w:t>
      </w:r>
      <w:r>
        <w:rPr>
          <w:rFonts w:hint="eastAsia" w:ascii="Times New Roman" w:hAnsi="Times New Roman"/>
        </w:rPr>
        <w:t>，</w:t>
      </w:r>
      <w:r>
        <w:rPr>
          <w:rFonts w:ascii="Times New Roman" w:hAnsi="Times New Roman"/>
        </w:rPr>
        <w:t>系统后查找符合模糊查询方式的结果</w:t>
      </w:r>
      <w:r>
        <w:rPr>
          <w:rFonts w:hint="eastAsia" w:ascii="Times New Roman" w:hAnsi="Times New Roman"/>
        </w:rPr>
        <w:t>，</w:t>
      </w:r>
      <w:r>
        <w:rPr>
          <w:rFonts w:ascii="Times New Roman" w:hAnsi="Times New Roman"/>
        </w:rPr>
        <w:t>并更新在选择域中</w:t>
      </w:r>
      <w:r>
        <w:rPr>
          <w:rFonts w:hint="eastAsia" w:ascii="Times New Roman" w:hAnsi="Times New Roman"/>
        </w:rPr>
        <w:t>，</w:t>
      </w:r>
      <w:r>
        <w:rPr>
          <w:rFonts w:ascii="Times New Roman" w:hAnsi="Times New Roman"/>
        </w:rPr>
        <w:t>如下图</w:t>
      </w:r>
      <w:r>
        <w:rPr>
          <w:rFonts w:hint="eastAsia" w:ascii="Times New Roman" w:hAnsi="Times New Roman"/>
        </w:rPr>
        <w:t>：</w:t>
      </w:r>
    </w:p>
    <w:p>
      <w:pPr>
        <w:pStyle w:val="21"/>
        <w:keepNext/>
      </w:pPr>
      <w:r>
        <w:drawing>
          <wp:inline distT="0" distB="0" distL="0" distR="0">
            <wp:extent cx="4771390" cy="3142615"/>
            <wp:effectExtent l="9525" t="9525" r="1968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4771429" cy="3142857"/>
                    </a:xfrm>
                    <a:prstGeom prst="rect">
                      <a:avLst/>
                    </a:prstGeom>
                    <a:ln>
                      <a:solidFill>
                        <a:schemeClr val="tx1"/>
                      </a:solidFill>
                    </a:ln>
                  </pic:spPr>
                </pic:pic>
              </a:graphicData>
            </a:graphic>
          </wp:inline>
        </w:drawing>
      </w:r>
    </w:p>
    <w:p>
      <w:pPr>
        <w:pStyle w:val="6"/>
        <w:jc w:val="center"/>
      </w:pPr>
      <w:r>
        <w:t xml:space="preserve">图 </w:t>
      </w:r>
      <w:r>
        <w:rPr>
          <w:rFonts w:hint="eastAsia"/>
          <w:lang w:val="en-US" w:eastAsia="zh-CN"/>
        </w:rPr>
        <w:t>35</w:t>
      </w:r>
      <w:r>
        <w:t>模糊查询</w:t>
      </w:r>
      <w:r>
        <w:rPr>
          <w:rFonts w:hint="eastAsia"/>
        </w:rPr>
        <w:t>-使用前</w:t>
      </w:r>
    </w:p>
    <w:p>
      <w:pPr>
        <w:keepNext/>
        <w:jc w:val="center"/>
      </w:pPr>
      <w:r>
        <w:drawing>
          <wp:inline distT="0" distB="0" distL="0" distR="0">
            <wp:extent cx="3085465" cy="770890"/>
            <wp:effectExtent l="9525" t="9525" r="10160" b="196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085714" cy="771429"/>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36</w:t>
      </w:r>
      <w:r>
        <w:t>模糊查询</w:t>
      </w:r>
      <w:r>
        <w:rPr>
          <w:rFonts w:hint="eastAsia"/>
        </w:rPr>
        <w:t>-使用后</w:t>
      </w:r>
    </w:p>
    <w:p>
      <w:pPr>
        <w:pStyle w:val="21"/>
        <w:rPr>
          <w:rFonts w:ascii="Times New Roman" w:hAnsi="Times New Roman"/>
        </w:rPr>
      </w:pPr>
      <w:r>
        <w:rPr>
          <w:rFonts w:ascii="Times New Roman" w:hAnsi="Times New Roman"/>
        </w:rPr>
        <w:t>系统内所有查询功能均</w:t>
      </w:r>
      <w:r>
        <w:rPr>
          <w:rFonts w:hint="eastAsia" w:ascii="Times New Roman" w:hAnsi="Times New Roman"/>
        </w:rPr>
        <w:t>配置</w:t>
      </w:r>
      <w:r>
        <w:rPr>
          <w:rFonts w:hint="eastAsia" w:ascii="Times New Roman" w:hAnsi="Times New Roman"/>
          <w:b/>
          <w:color w:val="FF0000"/>
        </w:rPr>
        <w:t>过滤器功能</w:t>
      </w:r>
      <w:r>
        <w:rPr>
          <w:rFonts w:hint="eastAsia" w:ascii="Times New Roman" w:hAnsi="Times New Roman"/>
        </w:rPr>
        <w:t>，当录入好一组查询条件后，可以点击“保存过滤器”按钮，并输入该过滤器名称后点击“确定”，该条过滤器信息会被系统留存。如后续需要再次使用该查询条件时，可点击</w:t>
      </w:r>
      <w:r>
        <w:rPr>
          <w:rFonts w:hint="eastAsia" w:ascii="Times New Roman" w:hAnsi="Times New Roman"/>
          <w:b/>
          <w:color w:val="FF0000"/>
        </w:rPr>
        <w:t>“选择过滤器”</w:t>
      </w:r>
      <w:r>
        <w:rPr>
          <w:rFonts w:hint="eastAsia" w:ascii="Times New Roman" w:hAnsi="Times New Roman"/>
        </w:rPr>
        <w:t>后的下拉框，</w:t>
      </w:r>
      <w:r>
        <w:rPr>
          <w:rFonts w:hint="eastAsia" w:ascii="Times New Roman" w:hAnsi="Times New Roman"/>
          <w:b/>
          <w:color w:val="FF0000"/>
        </w:rPr>
        <w:t>选择指定过滤器，系统会将该过滤器中储存的查询条件自动带入页面。在“过滤器管理”中</w:t>
      </w:r>
      <w:r>
        <w:rPr>
          <w:rFonts w:hint="eastAsia" w:ascii="Times New Roman" w:hAnsi="Times New Roman"/>
        </w:rPr>
        <w:t>，我们提供了过滤器</w:t>
      </w:r>
      <w:r>
        <w:rPr>
          <w:rFonts w:hint="eastAsia" w:ascii="Times New Roman" w:hAnsi="Times New Roman"/>
          <w:b/>
          <w:color w:val="FF0000"/>
        </w:rPr>
        <w:t>删除功能</w:t>
      </w:r>
      <w:r>
        <w:rPr>
          <w:rFonts w:hint="eastAsia" w:ascii="Times New Roman" w:hAnsi="Times New Roman"/>
        </w:rPr>
        <w:t>，不需要再次使用的过滤器可在该功能下进行删除。</w:t>
      </w:r>
    </w:p>
    <w:p>
      <w:pPr>
        <w:pStyle w:val="21"/>
        <w:rPr>
          <w:rFonts w:ascii="Times New Roman" w:hAnsi="Times New Roman"/>
        </w:rPr>
      </w:pPr>
      <w:r>
        <w:rPr>
          <w:rFonts w:ascii="Times New Roman" w:hAnsi="Times New Roman"/>
        </w:rPr>
        <w:t>系统查询结果支持两种显示方式</w:t>
      </w:r>
      <w:r>
        <w:rPr>
          <w:rFonts w:hint="eastAsia" w:ascii="Times New Roman" w:hAnsi="Times New Roman"/>
        </w:rPr>
        <w:t>，</w:t>
      </w:r>
      <w:r>
        <w:rPr>
          <w:rFonts w:ascii="Times New Roman" w:hAnsi="Times New Roman"/>
          <w:b/>
          <w:color w:val="FF0000"/>
        </w:rPr>
        <w:t>列表式</w:t>
      </w:r>
      <w:r>
        <w:rPr>
          <w:rFonts w:hint="eastAsia" w:ascii="Times New Roman" w:hAnsi="Times New Roman"/>
          <w:b/>
          <w:color w:val="FF0000"/>
        </w:rPr>
        <w:t>、</w:t>
      </w:r>
      <w:r>
        <w:rPr>
          <w:rFonts w:ascii="Times New Roman" w:hAnsi="Times New Roman"/>
          <w:b/>
          <w:color w:val="FF0000"/>
        </w:rPr>
        <w:t>模组式</w:t>
      </w:r>
      <w:r>
        <w:rPr>
          <w:rFonts w:hint="eastAsia" w:ascii="Times New Roman" w:hAnsi="Times New Roman"/>
        </w:rPr>
        <w:t>，</w:t>
      </w:r>
      <w:r>
        <w:rPr>
          <w:rFonts w:ascii="Times New Roman" w:hAnsi="Times New Roman"/>
        </w:rPr>
        <w:t>可通过查询结果右侧的</w:t>
      </w:r>
      <w:r>
        <w:rPr>
          <w:rFonts w:ascii="Times New Roman" w:hAnsi="Times New Roman"/>
        </w:rPr>
        <w:drawing>
          <wp:inline distT="0" distB="0" distL="0" distR="0">
            <wp:extent cx="742315" cy="256540"/>
            <wp:effectExtent l="0" t="0" r="63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742857" cy="257143"/>
                    </a:xfrm>
                    <a:prstGeom prst="rect">
                      <a:avLst/>
                    </a:prstGeom>
                  </pic:spPr>
                </pic:pic>
              </a:graphicData>
            </a:graphic>
          </wp:inline>
        </w:drawing>
      </w:r>
      <w:r>
        <w:rPr>
          <w:rFonts w:ascii="Times New Roman" w:hAnsi="Times New Roman"/>
        </w:rPr>
        <w:t>图标进行切换</w:t>
      </w:r>
      <w:r>
        <w:rPr>
          <w:rFonts w:hint="eastAsia" w:ascii="Times New Roman" w:hAnsi="Times New Roman"/>
        </w:rPr>
        <w:t>。</w:t>
      </w:r>
    </w:p>
    <w:p>
      <w:pPr>
        <w:keepNext/>
      </w:pPr>
      <w:r>
        <w:drawing>
          <wp:inline distT="0" distB="0" distL="0" distR="0">
            <wp:extent cx="5274310" cy="765810"/>
            <wp:effectExtent l="9525" t="9525" r="12065" b="247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274310" cy="76581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37</w:t>
      </w:r>
      <w:r>
        <w:t>列表式查询结果</w:t>
      </w:r>
    </w:p>
    <w:p>
      <w:pPr>
        <w:keepNext/>
      </w:pPr>
      <w:r>
        <w:drawing>
          <wp:inline distT="0" distB="0" distL="0" distR="0">
            <wp:extent cx="5274310" cy="1015365"/>
            <wp:effectExtent l="9525" t="9525" r="12065"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274310" cy="1015365"/>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38</w:t>
      </w:r>
      <w:r>
        <w:t>模组式查询结果</w:t>
      </w:r>
    </w:p>
    <w:p>
      <w:pPr>
        <w:pStyle w:val="21"/>
        <w:rPr>
          <w:rFonts w:ascii="Times New Roman" w:hAnsi="Times New Roman"/>
          <w:b/>
          <w:color w:val="FF0000"/>
        </w:rPr>
      </w:pPr>
      <w:r>
        <w:rPr>
          <w:rFonts w:ascii="Times New Roman" w:hAnsi="Times New Roman"/>
          <w:b/>
          <w:color w:val="FF0000"/>
        </w:rPr>
        <w:t>如需要选择查询查询列内容</w:t>
      </w:r>
      <w:r>
        <w:rPr>
          <w:rFonts w:hint="eastAsia" w:ascii="Times New Roman" w:hAnsi="Times New Roman"/>
          <w:b/>
          <w:color w:val="FF0000"/>
        </w:rPr>
        <w:t>，</w:t>
      </w:r>
      <w:r>
        <w:rPr>
          <w:rFonts w:ascii="Times New Roman" w:hAnsi="Times New Roman"/>
          <w:b/>
          <w:color w:val="FF0000"/>
        </w:rPr>
        <w:t>可通过点击查询结果右侧的</w:t>
      </w:r>
      <w:r>
        <w:rPr>
          <w:rFonts w:hint="eastAsia" w:ascii="Times New Roman" w:hAnsi="Times New Roman"/>
          <w:b/>
          <w:color w:val="FF0000"/>
        </w:rPr>
        <w:t>“设置”按钮，对需要显示的查询结果要素进行勾选，对不需要显示的查询结果要素进行取消勾选，勾选后点击确定，即可生效。</w:t>
      </w:r>
    </w:p>
    <w:p>
      <w:pPr>
        <w:keepNext/>
        <w:jc w:val="center"/>
      </w:pPr>
      <w:r>
        <w:drawing>
          <wp:inline distT="0" distB="0" distL="0" distR="0">
            <wp:extent cx="2418715" cy="3571240"/>
            <wp:effectExtent l="9525" t="9525" r="10160" b="196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2419048" cy="3571429"/>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39</w:t>
      </w:r>
      <w:r>
        <w:t>查询结果要素修改</w:t>
      </w:r>
    </w:p>
    <w:p>
      <w:pPr>
        <w:pStyle w:val="21"/>
        <w:rPr>
          <w:rFonts w:ascii="Times New Roman" w:hAnsi="Times New Roman"/>
          <w:b/>
          <w:color w:val="FF0000"/>
        </w:rPr>
      </w:pPr>
      <w:r>
        <w:rPr>
          <w:rFonts w:ascii="Times New Roman" w:hAnsi="Times New Roman"/>
          <w:b/>
          <w:color w:val="FF0000"/>
        </w:rPr>
        <w:t>如需对查询结果进行导出操作</w:t>
      </w:r>
      <w:r>
        <w:rPr>
          <w:rFonts w:hint="eastAsia" w:ascii="Times New Roman" w:hAnsi="Times New Roman"/>
          <w:b/>
          <w:color w:val="FF0000"/>
        </w:rPr>
        <w:t>，</w:t>
      </w:r>
      <w:r>
        <w:rPr>
          <w:rFonts w:ascii="Times New Roman" w:hAnsi="Times New Roman"/>
          <w:b/>
          <w:color w:val="FF0000"/>
        </w:rPr>
        <w:t>点击查询结果右侧的</w:t>
      </w:r>
      <w:r>
        <w:rPr>
          <w:rFonts w:hint="eastAsia" w:ascii="Times New Roman" w:hAnsi="Times New Roman"/>
          <w:b/>
          <w:color w:val="FF0000"/>
        </w:rPr>
        <w:t>“导出excel”按钮，系统会提供该查询结果的excel下载文件。</w:t>
      </w:r>
    </w:p>
    <w:p>
      <w:pPr>
        <w:pStyle w:val="5"/>
        <w:rPr>
          <w:rFonts w:eastAsia="仿宋_GB2312"/>
        </w:rPr>
      </w:pPr>
      <w:r>
        <w:t>保单查询</w:t>
      </w:r>
    </w:p>
    <w:p>
      <w:r>
        <w:drawing>
          <wp:inline distT="0" distB="0" distL="0" distR="0">
            <wp:extent cx="5274310" cy="2567940"/>
            <wp:effectExtent l="9525" t="9525" r="1206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5274310" cy="2567940"/>
                    </a:xfrm>
                    <a:prstGeom prst="rect">
                      <a:avLst/>
                    </a:prstGeom>
                    <a:ln>
                      <a:solidFill>
                        <a:schemeClr val="tx1"/>
                      </a:solidFill>
                    </a:ln>
                  </pic:spPr>
                </pic:pic>
              </a:graphicData>
            </a:graphic>
          </wp:inline>
        </w:drawing>
      </w:r>
    </w:p>
    <w:p>
      <w:pPr>
        <w:jc w:val="center"/>
      </w:pPr>
      <w:r>
        <w:rPr>
          <w:rFonts w:hint="eastAsia"/>
        </w:rPr>
        <w:t xml:space="preserve">图 </w:t>
      </w:r>
      <w:r>
        <w:rPr>
          <w:rFonts w:hint="eastAsia"/>
          <w:lang w:val="en-US" w:eastAsia="zh-CN"/>
        </w:rPr>
        <w:t>40</w:t>
      </w:r>
      <w:r>
        <w:t>高级查询</w:t>
      </w:r>
      <w:r>
        <w:rPr>
          <w:rFonts w:hint="eastAsia"/>
        </w:rPr>
        <w:t>-保单查询</w:t>
      </w:r>
    </w:p>
    <w:p>
      <w:pPr>
        <w:pStyle w:val="21"/>
      </w:pPr>
      <w:r>
        <w:rPr>
          <w:rFonts w:ascii="Times New Roman" w:hAnsi="Times New Roman"/>
        </w:rPr>
        <w:t>可根据查询条件将符合条件的保单带入页面中</w:t>
      </w:r>
      <w:r>
        <w:rPr>
          <w:rFonts w:hint="eastAsia" w:ascii="Times New Roman" w:hAnsi="Times New Roman"/>
        </w:rPr>
        <w:t>，</w:t>
      </w:r>
      <w:r>
        <w:rPr>
          <w:rFonts w:ascii="Times New Roman" w:hAnsi="Times New Roman"/>
        </w:rPr>
        <w:t>如上图所示</w:t>
      </w:r>
      <w:r>
        <w:rPr>
          <w:rFonts w:hint="eastAsia" w:ascii="Times New Roman" w:hAnsi="Times New Roman"/>
        </w:rPr>
        <w:t>，</w:t>
      </w:r>
      <w:r>
        <w:rPr>
          <w:rFonts w:ascii="Times New Roman" w:hAnsi="Times New Roman"/>
        </w:rPr>
        <w:t>含义为</w:t>
      </w:r>
      <w:r>
        <w:rPr>
          <w:rFonts w:hint="eastAsia" w:ascii="Times New Roman" w:hAnsi="Times New Roman"/>
        </w:rPr>
        <w:t>：</w:t>
      </w:r>
      <w:r>
        <w:rPr>
          <w:rFonts w:ascii="Times New Roman" w:hAnsi="Times New Roman"/>
        </w:rPr>
        <w:t>保单起期在</w:t>
      </w:r>
      <w:r>
        <w:rPr>
          <w:rFonts w:hint="eastAsia" w:ascii="Times New Roman" w:hAnsi="Times New Roman"/>
        </w:rPr>
        <w:t>2008年1月2日至2018年1月31日，保单止期在2019年3月1日至2019年4月30日，投保人为张三，被保险人为李四的保单。</w:t>
      </w:r>
    </w:p>
    <w:p>
      <w:pPr>
        <w:pStyle w:val="21"/>
        <w:rPr>
          <w:rFonts w:ascii="Times New Roman" w:hAnsi="Times New Roman"/>
        </w:rPr>
      </w:pPr>
      <w:r>
        <w:rPr>
          <w:rFonts w:ascii="Times New Roman" w:hAnsi="Times New Roman"/>
        </w:rPr>
        <w:t>点击保单后操作可选择具体的操作内容</w:t>
      </w:r>
      <w:r>
        <w:rPr>
          <w:rFonts w:hint="eastAsia" w:ascii="Times New Roman" w:hAnsi="Times New Roman"/>
        </w:rPr>
        <w:t>，</w:t>
      </w:r>
      <w:r>
        <w:rPr>
          <w:rFonts w:hint="eastAsia" w:ascii="Times New Roman" w:hAnsi="Times New Roman"/>
          <w:b/>
          <w:color w:val="FF0000"/>
        </w:rPr>
        <w:t>操作内容配置规则如下：</w:t>
      </w:r>
    </w:p>
    <w:p>
      <w:pPr>
        <w:pStyle w:val="22"/>
        <w:numPr>
          <w:ilvl w:val="0"/>
          <w:numId w:val="7"/>
        </w:numPr>
        <w:spacing w:line="360" w:lineRule="auto"/>
        <w:ind w:left="777" w:hanging="357" w:firstLineChars="0"/>
        <w:rPr>
          <w:sz w:val="24"/>
        </w:rPr>
      </w:pPr>
      <w:r>
        <w:rPr>
          <w:rFonts w:hint="eastAsia"/>
          <w:sz w:val="24"/>
        </w:rPr>
        <w:t>批改：点击后可进入批改类型选择界面，并自动带出该保单信息。</w:t>
      </w:r>
    </w:p>
    <w:p>
      <w:pPr>
        <w:pStyle w:val="22"/>
        <w:numPr>
          <w:ilvl w:val="0"/>
          <w:numId w:val="7"/>
        </w:numPr>
        <w:spacing w:line="360" w:lineRule="auto"/>
        <w:ind w:left="777" w:hanging="357" w:firstLineChars="0"/>
        <w:rPr>
          <w:sz w:val="24"/>
        </w:rPr>
      </w:pPr>
      <w:r>
        <w:rPr>
          <w:sz w:val="24"/>
        </w:rPr>
        <w:t>打印</w:t>
      </w:r>
      <w:r>
        <w:rPr>
          <w:rFonts w:hint="eastAsia"/>
          <w:sz w:val="24"/>
        </w:rPr>
        <w:t>：</w:t>
      </w:r>
      <w:r>
        <w:rPr>
          <w:sz w:val="24"/>
        </w:rPr>
        <w:t>点击够可进入打印类型选择界面</w:t>
      </w:r>
      <w:r>
        <w:rPr>
          <w:rFonts w:hint="eastAsia"/>
          <w:sz w:val="24"/>
        </w:rPr>
        <w:t>，默认打印该保单。</w:t>
      </w:r>
    </w:p>
    <w:p>
      <w:pPr>
        <w:pStyle w:val="5"/>
        <w:rPr>
          <w:rFonts w:eastAsia="仿宋_GB2312"/>
        </w:rPr>
      </w:pPr>
      <w:r>
        <w:t>批单查询</w:t>
      </w:r>
    </w:p>
    <w:p>
      <w:pPr>
        <w:keepNext/>
      </w:pPr>
      <w:r>
        <w:drawing>
          <wp:inline distT="0" distB="0" distL="0" distR="0">
            <wp:extent cx="5274310" cy="2583180"/>
            <wp:effectExtent l="9525" t="9525" r="12065" b="171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5274310" cy="258318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41</w:t>
      </w:r>
      <w:r>
        <w:t>高级查询</w:t>
      </w:r>
      <w:r>
        <w:rPr>
          <w:rFonts w:hint="eastAsia"/>
        </w:rPr>
        <w:t>-批单查询</w:t>
      </w:r>
    </w:p>
    <w:p>
      <w:pPr>
        <w:spacing w:line="360" w:lineRule="auto"/>
        <w:rPr>
          <w:b/>
          <w:color w:val="FF0000"/>
          <w:sz w:val="24"/>
        </w:rPr>
      </w:pPr>
      <w:r>
        <w:rPr>
          <w:sz w:val="24"/>
        </w:rPr>
        <w:tab/>
      </w:r>
      <w:r>
        <w:rPr>
          <w:sz w:val="24"/>
        </w:rPr>
        <w:t>查询方式与保单查询方式相同</w:t>
      </w:r>
      <w:r>
        <w:rPr>
          <w:rFonts w:hint="eastAsia"/>
          <w:sz w:val="24"/>
        </w:rPr>
        <w:t>，</w:t>
      </w:r>
      <w:r>
        <w:rPr>
          <w:sz w:val="24"/>
        </w:rPr>
        <w:t>本处不做赘述</w:t>
      </w:r>
      <w:r>
        <w:rPr>
          <w:rFonts w:hint="eastAsia"/>
          <w:sz w:val="24"/>
        </w:rPr>
        <w:t>，</w:t>
      </w:r>
      <w:r>
        <w:rPr>
          <w:sz w:val="24"/>
        </w:rPr>
        <w:t>点击批单后的操作</w:t>
      </w:r>
      <w:r>
        <w:rPr>
          <w:rFonts w:hint="eastAsia"/>
          <w:sz w:val="24"/>
        </w:rPr>
        <w:t>可选择的具体操作内容，</w:t>
      </w:r>
      <w:r>
        <w:rPr>
          <w:rFonts w:hint="eastAsia"/>
          <w:b/>
          <w:color w:val="FF0000"/>
          <w:sz w:val="24"/>
        </w:rPr>
        <w:t>操作内容配置规则如下：</w:t>
      </w:r>
    </w:p>
    <w:p>
      <w:pPr>
        <w:pStyle w:val="22"/>
        <w:numPr>
          <w:ilvl w:val="0"/>
          <w:numId w:val="8"/>
        </w:numPr>
        <w:spacing w:line="360" w:lineRule="auto"/>
        <w:ind w:firstLineChars="0"/>
        <w:rPr>
          <w:sz w:val="24"/>
        </w:rPr>
      </w:pPr>
      <w:r>
        <w:rPr>
          <w:rFonts w:hint="eastAsia"/>
          <w:sz w:val="24"/>
        </w:rPr>
        <w:t xml:space="preserve"> 对于“核保状态”为“待审核”的批改申请单，查询结果操作列表配置“撤回”按钮，可对提交核保的投保单进行撤销操作。</w:t>
      </w:r>
    </w:p>
    <w:p>
      <w:pPr>
        <w:pStyle w:val="22"/>
        <w:numPr>
          <w:ilvl w:val="0"/>
          <w:numId w:val="8"/>
        </w:numPr>
        <w:spacing w:line="360" w:lineRule="auto"/>
        <w:ind w:firstLineChars="0"/>
        <w:rPr>
          <w:sz w:val="24"/>
        </w:rPr>
      </w:pPr>
      <w:r>
        <w:rPr>
          <w:rFonts w:hint="eastAsia"/>
          <w:sz w:val="24"/>
        </w:rPr>
        <w:t>对于“核保状态”为“主动撤回”、“初始状态”、“核保退回”状态的批改申请单，查询结果操作列表配置“提交审核”按钮，可通过该按钮将投保单提交至核保系统。提交前需进行提交核保校验。</w:t>
      </w:r>
    </w:p>
    <w:p>
      <w:pPr>
        <w:pStyle w:val="22"/>
        <w:numPr>
          <w:ilvl w:val="0"/>
          <w:numId w:val="8"/>
        </w:numPr>
        <w:spacing w:line="360" w:lineRule="auto"/>
        <w:ind w:firstLineChars="0"/>
        <w:rPr>
          <w:sz w:val="24"/>
        </w:rPr>
      </w:pPr>
      <w:r>
        <w:rPr>
          <w:rFonts w:hint="eastAsia"/>
          <w:sz w:val="24"/>
        </w:rPr>
        <w:t>对于“核保状态”为“主动撤回”、“初始状态”、“核保退回”状态的批改申请单，查询结果操作列表配置“修改”按钮，可转入修改页面。</w:t>
      </w:r>
    </w:p>
    <w:p>
      <w:pPr>
        <w:pStyle w:val="22"/>
        <w:numPr>
          <w:ilvl w:val="0"/>
          <w:numId w:val="8"/>
        </w:numPr>
        <w:spacing w:line="360" w:lineRule="auto"/>
        <w:ind w:firstLineChars="0"/>
        <w:rPr>
          <w:sz w:val="24"/>
        </w:rPr>
      </w:pPr>
      <w:r>
        <w:rPr>
          <w:rFonts w:hint="eastAsia"/>
          <w:sz w:val="24"/>
        </w:rPr>
        <w:t>对于“核保状态”为“主动撤回”、“初始状态”、“核保退回”状态的批改申请单，查询结果操作列表配置“删除”按钮，可删除该条信息。</w:t>
      </w:r>
    </w:p>
    <w:p>
      <w:pPr>
        <w:pStyle w:val="22"/>
        <w:numPr>
          <w:ilvl w:val="0"/>
          <w:numId w:val="8"/>
        </w:numPr>
        <w:spacing w:line="360" w:lineRule="auto"/>
        <w:ind w:firstLineChars="0"/>
        <w:rPr>
          <w:sz w:val="24"/>
        </w:rPr>
      </w:pPr>
      <w:r>
        <w:rPr>
          <w:rFonts w:hint="eastAsia"/>
          <w:sz w:val="24"/>
        </w:rPr>
        <w:t>打印，进入打印类型选择页面。</w:t>
      </w:r>
    </w:p>
    <w:p>
      <w:pPr>
        <w:pStyle w:val="22"/>
        <w:numPr>
          <w:ilvl w:val="0"/>
          <w:numId w:val="8"/>
        </w:numPr>
        <w:spacing w:line="360" w:lineRule="auto"/>
        <w:ind w:firstLineChars="0"/>
        <w:rPr>
          <w:sz w:val="24"/>
        </w:rPr>
      </w:pPr>
      <w:r>
        <w:rPr>
          <w:rFonts w:hint="eastAsia"/>
          <w:sz w:val="24"/>
        </w:rPr>
        <w:t>对于批改单，配置打印功能，进入打印类型选择页面。</w:t>
      </w:r>
    </w:p>
    <w:p>
      <w:pPr>
        <w:pStyle w:val="22"/>
        <w:numPr>
          <w:ilvl w:val="0"/>
          <w:numId w:val="8"/>
        </w:numPr>
        <w:spacing w:line="360" w:lineRule="auto"/>
        <w:ind w:firstLineChars="0"/>
        <w:rPr>
          <w:sz w:val="24"/>
        </w:rPr>
      </w:pPr>
      <w:r>
        <w:rPr>
          <w:rFonts w:hint="eastAsia"/>
          <w:sz w:val="24"/>
        </w:rPr>
        <w:t>对于“核保状态”为“主动撤回”、“初始状态”、“核保退回”状态的批改申请单，查询结果操作列表配置“影像上传”按钮。</w:t>
      </w:r>
    </w:p>
    <w:p>
      <w:pPr>
        <w:pStyle w:val="5"/>
        <w:rPr>
          <w:rFonts w:eastAsia="仿宋_GB2312"/>
        </w:rPr>
      </w:pPr>
      <w:r>
        <w:t>投保单查询</w:t>
      </w:r>
    </w:p>
    <w:p>
      <w:pPr>
        <w:keepNext/>
      </w:pPr>
      <w:r>
        <w:drawing>
          <wp:inline distT="0" distB="0" distL="0" distR="0">
            <wp:extent cx="5274310" cy="2631440"/>
            <wp:effectExtent l="9525" t="9525" r="12065" b="260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5274310" cy="263144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42</w:t>
      </w:r>
      <w:r>
        <w:t>投保单查询</w:t>
      </w:r>
    </w:p>
    <w:p>
      <w:pPr>
        <w:spacing w:line="360" w:lineRule="auto"/>
        <w:rPr>
          <w:b/>
          <w:color w:val="FF0000"/>
          <w:sz w:val="24"/>
        </w:rPr>
      </w:pPr>
      <w:r>
        <w:rPr>
          <w:sz w:val="24"/>
        </w:rPr>
        <w:tab/>
      </w:r>
      <w:r>
        <w:rPr>
          <w:sz w:val="24"/>
        </w:rPr>
        <w:t>查询方式与保单查询方式相同</w:t>
      </w:r>
      <w:r>
        <w:rPr>
          <w:rFonts w:hint="eastAsia"/>
          <w:sz w:val="24"/>
        </w:rPr>
        <w:t>，</w:t>
      </w:r>
      <w:r>
        <w:rPr>
          <w:sz w:val="24"/>
        </w:rPr>
        <w:t>本处不做赘述</w:t>
      </w:r>
      <w:r>
        <w:rPr>
          <w:rFonts w:hint="eastAsia"/>
          <w:sz w:val="24"/>
        </w:rPr>
        <w:t>，</w:t>
      </w:r>
      <w:r>
        <w:rPr>
          <w:sz w:val="24"/>
        </w:rPr>
        <w:t>点击批单后的操作</w:t>
      </w:r>
      <w:r>
        <w:rPr>
          <w:rFonts w:hint="eastAsia"/>
          <w:sz w:val="24"/>
        </w:rPr>
        <w:t>可选择的具体操作内容，</w:t>
      </w:r>
      <w:r>
        <w:rPr>
          <w:rFonts w:hint="eastAsia"/>
          <w:b/>
          <w:color w:val="FF0000"/>
          <w:sz w:val="24"/>
        </w:rPr>
        <w:t>操作内容配置规则如下：</w:t>
      </w:r>
    </w:p>
    <w:p>
      <w:pPr>
        <w:pStyle w:val="22"/>
        <w:numPr>
          <w:ilvl w:val="0"/>
          <w:numId w:val="9"/>
        </w:numPr>
        <w:spacing w:line="360" w:lineRule="auto"/>
        <w:ind w:firstLineChars="0"/>
        <w:rPr>
          <w:sz w:val="24"/>
        </w:rPr>
      </w:pPr>
      <w:r>
        <w:rPr>
          <w:rFonts w:hint="eastAsia"/>
          <w:sz w:val="24"/>
        </w:rPr>
        <w:t>对于“核保状态”为“待审核”的投保单，查询结果操作列表配置“撤回”按钮，可对提交核保且核保未处理的投保单进行撤销操作。</w:t>
      </w:r>
    </w:p>
    <w:p>
      <w:pPr>
        <w:pStyle w:val="22"/>
        <w:numPr>
          <w:ilvl w:val="0"/>
          <w:numId w:val="9"/>
        </w:numPr>
        <w:spacing w:line="360" w:lineRule="auto"/>
        <w:ind w:firstLineChars="0"/>
        <w:rPr>
          <w:sz w:val="24"/>
        </w:rPr>
      </w:pPr>
      <w:r>
        <w:rPr>
          <w:rFonts w:hint="eastAsia"/>
          <w:sz w:val="24"/>
        </w:rPr>
        <w:t>对于“核保状态”为“主动撤回”、“初始状态”、“核保退回”状态的投保单，查询结果操作列表配置“提交审核”按钮，可通过该按钮将投保单提交至核保系统。提交前需进行提交核保校验，如有名单的团单是否导入人员清单、是否上传影像等。</w:t>
      </w:r>
    </w:p>
    <w:p>
      <w:pPr>
        <w:pStyle w:val="22"/>
        <w:numPr>
          <w:ilvl w:val="0"/>
          <w:numId w:val="9"/>
        </w:numPr>
        <w:spacing w:line="360" w:lineRule="auto"/>
        <w:ind w:firstLineChars="0"/>
        <w:rPr>
          <w:sz w:val="24"/>
        </w:rPr>
      </w:pPr>
      <w:r>
        <w:rPr>
          <w:rFonts w:hint="eastAsia"/>
          <w:sz w:val="24"/>
        </w:rPr>
        <w:t>对于“核保状态”为“主动撤回”、“初始状态”、“核保退回”状态的投保单，查询结果操作列表配置“修改”按钮，可转入投保单修改页面。</w:t>
      </w:r>
    </w:p>
    <w:p>
      <w:pPr>
        <w:pStyle w:val="22"/>
        <w:numPr>
          <w:ilvl w:val="0"/>
          <w:numId w:val="9"/>
        </w:numPr>
        <w:spacing w:line="360" w:lineRule="auto"/>
        <w:ind w:firstLineChars="0"/>
        <w:rPr>
          <w:sz w:val="24"/>
        </w:rPr>
      </w:pPr>
      <w:r>
        <w:rPr>
          <w:rFonts w:hint="eastAsia"/>
          <w:sz w:val="24"/>
        </w:rPr>
        <w:t xml:space="preserve">对于“核保状态”为“主动撤回”、“初始状态”、“核保退回”状态的投保单，查询结果操作列表配置“删除”按钮，可对该批改申请单进行删除操作。 </w:t>
      </w:r>
    </w:p>
    <w:p>
      <w:pPr>
        <w:pStyle w:val="22"/>
        <w:numPr>
          <w:ilvl w:val="0"/>
          <w:numId w:val="9"/>
        </w:numPr>
        <w:spacing w:line="360" w:lineRule="auto"/>
        <w:ind w:firstLineChars="0"/>
        <w:rPr>
          <w:sz w:val="24"/>
        </w:rPr>
      </w:pPr>
      <w:r>
        <w:rPr>
          <w:rFonts w:hint="eastAsia"/>
          <w:sz w:val="24"/>
        </w:rPr>
        <w:t>对于暂存单，显示“修改”按钮，进入录单页面，并带出暂存信息。</w:t>
      </w:r>
    </w:p>
    <w:p>
      <w:pPr>
        <w:pStyle w:val="22"/>
        <w:numPr>
          <w:ilvl w:val="0"/>
          <w:numId w:val="9"/>
        </w:numPr>
        <w:spacing w:line="360" w:lineRule="auto"/>
        <w:ind w:firstLineChars="0"/>
        <w:rPr>
          <w:sz w:val="24"/>
        </w:rPr>
      </w:pPr>
      <w:r>
        <w:rPr>
          <w:rFonts w:hint="eastAsia"/>
          <w:sz w:val="24"/>
        </w:rPr>
        <w:t>对于暂存单，显示“删除”按钮，删除该暂存单。</w:t>
      </w:r>
    </w:p>
    <w:p>
      <w:pPr>
        <w:pStyle w:val="22"/>
        <w:numPr>
          <w:ilvl w:val="0"/>
          <w:numId w:val="9"/>
        </w:numPr>
        <w:spacing w:line="360" w:lineRule="auto"/>
        <w:ind w:firstLineChars="0"/>
        <w:rPr>
          <w:sz w:val="24"/>
        </w:rPr>
      </w:pPr>
      <w:r>
        <w:rPr>
          <w:rFonts w:hint="eastAsia"/>
          <w:sz w:val="24"/>
        </w:rPr>
        <w:t>对于“核保状态”为“撤回”、“未提交”、“退回”状态的投保单，查询结果操作列表配置“影像上传”按钮。</w:t>
      </w:r>
    </w:p>
    <w:p>
      <w:pPr>
        <w:pStyle w:val="22"/>
        <w:numPr>
          <w:ilvl w:val="0"/>
          <w:numId w:val="9"/>
        </w:numPr>
        <w:spacing w:line="360" w:lineRule="auto"/>
        <w:ind w:firstLineChars="0"/>
        <w:rPr>
          <w:sz w:val="24"/>
        </w:rPr>
      </w:pPr>
      <w:r>
        <w:rPr>
          <w:rFonts w:hint="eastAsia"/>
          <w:sz w:val="24"/>
        </w:rPr>
        <w:t>打印，进入打印类型选择页面。</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88" w:name="_Toc29067"/>
      <w:r>
        <w:rPr>
          <w:rFonts w:hint="eastAsia"/>
        </w:rPr>
        <w:t>单证</w:t>
      </w:r>
      <w:r>
        <w:t>打印</w:t>
      </w:r>
      <w:bookmarkEnd w:id="88"/>
    </w:p>
    <w:p>
      <w:pPr>
        <w:pStyle w:val="4"/>
        <w:numPr>
          <w:ilvl w:val="2"/>
          <w:numId w:val="2"/>
        </w:numPr>
        <w:tabs>
          <w:tab w:val="left" w:pos="720"/>
          <w:tab w:val="left" w:pos="1080"/>
        </w:tabs>
        <w:adjustRightInd w:val="0"/>
        <w:snapToGrid w:val="0"/>
        <w:spacing w:before="120" w:after="120" w:line="240" w:lineRule="auto"/>
        <w:ind w:left="709" w:hanging="709"/>
        <w:rPr>
          <w:rStyle w:val="20"/>
          <w:rFonts w:eastAsia="仿宋_GB2312"/>
          <w:sz w:val="28"/>
          <w:szCs w:val="28"/>
        </w:rPr>
      </w:pPr>
      <w:bookmarkStart w:id="89" w:name="_Toc24253"/>
      <w:r>
        <w:rPr>
          <w:rStyle w:val="20"/>
          <w:rFonts w:eastAsia="仿宋_GB2312"/>
          <w:sz w:val="28"/>
          <w:szCs w:val="28"/>
        </w:rPr>
        <w:t>功能说明</w:t>
      </w:r>
      <w:bookmarkEnd w:id="89"/>
    </w:p>
    <w:p>
      <w:pPr>
        <w:pStyle w:val="21"/>
        <w:rPr>
          <w:rFonts w:ascii="Times New Roman" w:hAnsi="Times New Roman"/>
        </w:rPr>
      </w:pPr>
      <w:r>
        <w:t>打印业务单相关资料</w:t>
      </w:r>
      <w:r>
        <w:rPr>
          <w:rFonts w:hint="eastAsia"/>
        </w:rPr>
        <w:t>，</w:t>
      </w:r>
      <w:r>
        <w:t>不同业务单类型可进行的打印类型不同</w:t>
      </w:r>
      <w:r>
        <w:rPr>
          <w:rFonts w:hint="eastAsia"/>
        </w:rPr>
        <w:t>。</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90" w:name="_Toc23320"/>
      <w:r>
        <w:rPr>
          <w:rStyle w:val="20"/>
          <w:rFonts w:eastAsia="仿宋_GB2312"/>
          <w:sz w:val="28"/>
          <w:szCs w:val="28"/>
        </w:rPr>
        <w:t>功能说明</w:t>
      </w:r>
      <w:bookmarkEnd w:id="90"/>
    </w:p>
    <w:p>
      <w:pPr>
        <w:pStyle w:val="21"/>
        <w:rPr>
          <w:rFonts w:ascii="Times New Roman" w:hAnsi="Times New Roman"/>
        </w:rPr>
      </w:pPr>
      <w:r>
        <w:rPr>
          <w:rFonts w:ascii="Times New Roman" w:hAnsi="Times New Roman"/>
        </w:rPr>
        <w:t>单证打印功能可通过点击菜单中的</w:t>
      </w:r>
      <w:r>
        <w:rPr>
          <w:rFonts w:hint="eastAsia" w:ascii="Times New Roman" w:hAnsi="Times New Roman"/>
          <w:b/>
          <w:color w:val="FF0000"/>
        </w:rPr>
        <w:t>“单证打印”</w:t>
      </w:r>
      <w:r>
        <w:rPr>
          <w:rFonts w:hint="eastAsia" w:ascii="Times New Roman" w:hAnsi="Times New Roman"/>
        </w:rPr>
        <w:t>按钮直接进入其功能页面，也可通过高级查询中，查询结果列</w:t>
      </w:r>
      <w:r>
        <w:rPr>
          <w:rFonts w:hint="eastAsia" w:ascii="Times New Roman" w:hAnsi="Times New Roman"/>
          <w:b/>
          <w:color w:val="FF0000"/>
        </w:rPr>
        <w:t>“操作栏”</w:t>
      </w:r>
      <w:r>
        <w:rPr>
          <w:rFonts w:hint="eastAsia" w:ascii="Times New Roman" w:hAnsi="Times New Roman"/>
        </w:rPr>
        <w:t>中的</w:t>
      </w:r>
      <w:r>
        <w:rPr>
          <w:rFonts w:hint="eastAsia" w:ascii="Times New Roman" w:hAnsi="Times New Roman"/>
          <w:b/>
          <w:color w:val="FF0000"/>
        </w:rPr>
        <w:t>“打印”</w:t>
      </w:r>
      <w:r>
        <w:rPr>
          <w:rFonts w:hint="eastAsia" w:ascii="Times New Roman" w:hAnsi="Times New Roman"/>
        </w:rPr>
        <w:t>按钮进入，以此方式进入可直接进入打印类型选择界面。</w:t>
      </w:r>
    </w:p>
    <w:p>
      <w:pPr>
        <w:keepNext/>
      </w:pPr>
      <w:r>
        <w:rPr>
          <w:rFonts w:hint="eastAsia"/>
        </w:rPr>
        <w:drawing>
          <wp:inline distT="0" distB="0" distL="0" distR="0">
            <wp:extent cx="5266690" cy="2392680"/>
            <wp:effectExtent l="9525" t="9525" r="1968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66690" cy="239268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43</w:t>
      </w:r>
      <w:r>
        <w:t>打印查询界面</w:t>
      </w:r>
    </w:p>
    <w:p>
      <w:pPr>
        <w:pStyle w:val="21"/>
        <w:rPr>
          <w:rFonts w:ascii="Times New Roman" w:hAnsi="Times New Roman"/>
        </w:rPr>
      </w:pPr>
      <w:r>
        <w:rPr>
          <w:rFonts w:ascii="Times New Roman" w:hAnsi="Times New Roman"/>
        </w:rPr>
        <w:t>此页面中业务类型为必录</w:t>
      </w:r>
      <w:r>
        <w:rPr>
          <w:rFonts w:hint="eastAsia" w:ascii="Times New Roman" w:hAnsi="Times New Roman"/>
        </w:rPr>
        <w:t>，</w:t>
      </w:r>
      <w:r>
        <w:rPr>
          <w:rFonts w:ascii="Times New Roman" w:hAnsi="Times New Roman"/>
        </w:rPr>
        <w:t>点击查询后</w:t>
      </w:r>
      <w:r>
        <w:rPr>
          <w:rFonts w:hint="eastAsia" w:ascii="Times New Roman" w:hAnsi="Times New Roman"/>
        </w:rPr>
        <w:t>，</w:t>
      </w:r>
      <w:r>
        <w:rPr>
          <w:rFonts w:ascii="Times New Roman" w:hAnsi="Times New Roman"/>
        </w:rPr>
        <w:t>可直接点击查询结果右侧操作下的</w:t>
      </w:r>
      <w:r>
        <w:rPr>
          <w:rFonts w:hint="eastAsia" w:ascii="Times New Roman" w:hAnsi="Times New Roman"/>
          <w:b/>
          <w:color w:val="FF0000"/>
        </w:rPr>
        <w:t>“打印”按钮，进入打印类型选择界面。也可以勾选一条或多条查询结果</w:t>
      </w:r>
      <w:r>
        <w:rPr>
          <w:rFonts w:hint="eastAsia" w:ascii="Times New Roman" w:hAnsi="Times New Roman"/>
        </w:rPr>
        <w:t>，如采用此形式，</w:t>
      </w:r>
      <w:r>
        <w:rPr>
          <w:rFonts w:hint="eastAsia" w:ascii="Times New Roman" w:hAnsi="Times New Roman"/>
          <w:b/>
          <w:color w:val="FF0000"/>
        </w:rPr>
        <w:t>页面下方会弹出逐条打印域，点击其中的“打印”按钮后，可进入打印类型选择页面。</w:t>
      </w:r>
    </w:p>
    <w:p>
      <w:pPr>
        <w:keepNext/>
      </w:pPr>
      <w:r>
        <w:drawing>
          <wp:inline distT="0" distB="0" distL="0" distR="0">
            <wp:extent cx="5266690" cy="1478280"/>
            <wp:effectExtent l="9525" t="9525" r="1968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66690" cy="147828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44</w:t>
      </w:r>
      <w:r>
        <w:t>打印类型选择</w:t>
      </w:r>
    </w:p>
    <w:p>
      <w:pPr>
        <w:pStyle w:val="21"/>
        <w:rPr>
          <w:rFonts w:ascii="Times New Roman" w:hAnsi="Times New Roman"/>
        </w:rPr>
      </w:pPr>
      <w:r>
        <w:rPr>
          <w:rFonts w:ascii="Times New Roman" w:hAnsi="Times New Roman"/>
        </w:rPr>
        <w:t>在打印类型选择界面中</w:t>
      </w:r>
      <w:r>
        <w:rPr>
          <w:rFonts w:hint="eastAsia" w:ascii="Times New Roman" w:hAnsi="Times New Roman"/>
        </w:rPr>
        <w:t>，</w:t>
      </w:r>
      <w:r>
        <w:rPr>
          <w:rFonts w:ascii="Times New Roman" w:hAnsi="Times New Roman"/>
        </w:rPr>
        <w:t>可根据自身需要</w:t>
      </w:r>
      <w:r>
        <w:rPr>
          <w:rFonts w:hint="eastAsia" w:ascii="Times New Roman" w:hAnsi="Times New Roman"/>
        </w:rPr>
        <w:t>，</w:t>
      </w:r>
      <w:r>
        <w:rPr>
          <w:rFonts w:ascii="Times New Roman" w:hAnsi="Times New Roman"/>
        </w:rPr>
        <w:t>选择打印类型</w:t>
      </w:r>
      <w:r>
        <w:rPr>
          <w:rFonts w:hint="eastAsia" w:ascii="Times New Roman" w:hAnsi="Times New Roman"/>
        </w:rPr>
        <w:t>，</w:t>
      </w:r>
      <w:r>
        <w:rPr>
          <w:rFonts w:ascii="Times New Roman" w:hAnsi="Times New Roman"/>
        </w:rPr>
        <w:t>点击该类型后的</w:t>
      </w:r>
      <w:r>
        <w:rPr>
          <w:rFonts w:hint="eastAsia" w:ascii="Times New Roman" w:hAnsi="Times New Roman"/>
        </w:rPr>
        <w:t>“打印”按钮，进入</w:t>
      </w:r>
      <w:r>
        <w:rPr>
          <w:rFonts w:hint="eastAsia" w:ascii="Times New Roman" w:hAnsi="Times New Roman"/>
          <w:b/>
          <w:color w:val="FF0000"/>
        </w:rPr>
        <w:t>打印预览页面</w:t>
      </w:r>
      <w:r>
        <w:rPr>
          <w:rFonts w:hint="eastAsia" w:ascii="Times New Roman" w:hAnsi="Times New Roman"/>
        </w:rPr>
        <w:t>，进行打印。</w:t>
      </w:r>
      <w:r>
        <w:rPr>
          <w:rFonts w:hint="eastAsia" w:ascii="Times New Roman" w:hAnsi="Times New Roman"/>
          <w:b/>
          <w:color w:val="FF0000"/>
        </w:rPr>
        <w:t>本系统支持合并打印，相同业务单类型可以多张共同打印。</w:t>
      </w:r>
    </w:p>
    <w:p>
      <w:pPr>
        <w:pStyle w:val="3"/>
        <w:widowControl w:val="0"/>
        <w:numPr>
          <w:ilvl w:val="1"/>
          <w:numId w:val="2"/>
        </w:numPr>
        <w:tabs>
          <w:tab w:val="left" w:pos="720"/>
          <w:tab w:val="clear" w:pos="576"/>
        </w:tabs>
        <w:adjustRightInd w:val="0"/>
        <w:snapToGrid w:val="0"/>
        <w:spacing w:beforeLines="0" w:afterLines="0"/>
        <w:ind w:left="567" w:hanging="567"/>
        <w:jc w:val="both"/>
        <w:rPr>
          <w:rFonts w:ascii="Times New Roman" w:hAnsi="Times New Roman" w:eastAsia="仿宋_GB2312" w:cs="Arial"/>
          <w:bCs w:val="0"/>
          <w:szCs w:val="28"/>
        </w:rPr>
      </w:pPr>
      <w:bookmarkStart w:id="91" w:name="_Toc15076"/>
      <w:r>
        <w:t>支付对象修改</w:t>
      </w:r>
      <w:bookmarkEnd w:id="91"/>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92" w:name="_Toc31446"/>
      <w:r>
        <w:rPr>
          <w:rFonts w:eastAsia="仿宋_GB2312"/>
          <w:sz w:val="28"/>
          <w:szCs w:val="28"/>
        </w:rPr>
        <w:t>功能说明</w:t>
      </w:r>
      <w:bookmarkEnd w:id="92"/>
    </w:p>
    <w:p>
      <w:pPr>
        <w:pStyle w:val="21"/>
        <w:rPr>
          <w:rFonts w:ascii="Times New Roman" w:hAnsi="Times New Roman"/>
        </w:rPr>
      </w:pPr>
      <w:r>
        <w:t>对于投保录入中收款人信息录入错误或收款人信息变更而导致的无法进行退费的情况</w:t>
      </w:r>
      <w:r>
        <w:rPr>
          <w:rFonts w:hint="eastAsia"/>
        </w:rPr>
        <w:t>，</w:t>
      </w:r>
      <w:r>
        <w:t>承保系统提供支付对象修改功能</w:t>
      </w:r>
      <w:r>
        <w:rPr>
          <w:rFonts w:hint="eastAsia"/>
        </w:rPr>
        <w:t>。</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93" w:name="_Toc17204"/>
      <w:r>
        <w:rPr>
          <w:rFonts w:eastAsia="仿宋_GB2312"/>
          <w:sz w:val="28"/>
          <w:szCs w:val="28"/>
        </w:rPr>
        <w:t>功能介绍</w:t>
      </w:r>
      <w:bookmarkEnd w:id="93"/>
    </w:p>
    <w:p>
      <w:pPr>
        <w:pStyle w:val="21"/>
        <w:rPr>
          <w:rFonts w:ascii="Times New Roman" w:hAnsi="Times New Roman"/>
        </w:rPr>
      </w:pPr>
      <w:r>
        <w:rPr>
          <w:rFonts w:hint="eastAsia" w:ascii="Times New Roman" w:hAnsi="Times New Roman"/>
        </w:rPr>
        <w:t>支付对象修改功能可通过菜单中一级菜单</w:t>
      </w:r>
      <w:r>
        <w:rPr>
          <w:rFonts w:hint="eastAsia" w:ascii="Times New Roman" w:hAnsi="Times New Roman"/>
          <w:b/>
          <w:color w:val="FF0000"/>
        </w:rPr>
        <w:t>“缴费管理”下的“支付对象修改”</w:t>
      </w:r>
      <w:r>
        <w:rPr>
          <w:rFonts w:hint="eastAsia" w:ascii="Times New Roman" w:hAnsi="Times New Roman"/>
        </w:rPr>
        <w:t>进入功能页面，收付系统会将无法正常完成支付的信息推送至本系统。</w:t>
      </w:r>
    </w:p>
    <w:p>
      <w:pPr>
        <w:pStyle w:val="21"/>
        <w:keepNext/>
        <w:ind w:firstLine="0"/>
      </w:pPr>
      <w:r>
        <w:rPr>
          <w:rFonts w:hint="eastAsia" w:ascii="Times New Roman" w:hAnsi="Times New Roman"/>
        </w:rPr>
        <w:drawing>
          <wp:inline distT="0" distB="0" distL="0" distR="0">
            <wp:extent cx="5260975" cy="944245"/>
            <wp:effectExtent l="9525" t="9525" r="254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60975" cy="944245"/>
                    </a:xfrm>
                    <a:prstGeom prst="rect">
                      <a:avLst/>
                    </a:prstGeom>
                    <a:ln>
                      <a:solidFill>
                        <a:schemeClr val="tx1"/>
                      </a:solidFill>
                    </a:ln>
                  </pic:spPr>
                </pic:pic>
              </a:graphicData>
            </a:graphic>
          </wp:inline>
        </w:drawing>
      </w:r>
    </w:p>
    <w:p>
      <w:pPr>
        <w:pStyle w:val="6"/>
        <w:jc w:val="center"/>
        <w:rPr>
          <w:rFonts w:ascii="Times New Roman" w:hAnsi="Times New Roman"/>
        </w:rPr>
      </w:pPr>
      <w:r>
        <w:t xml:space="preserve">图 </w:t>
      </w:r>
      <w:r>
        <w:fldChar w:fldCharType="begin"/>
      </w:r>
      <w:r>
        <w:instrText xml:space="preserve"> SEQ 图 \* ARABIC </w:instrText>
      </w:r>
      <w:r>
        <w:fldChar w:fldCharType="separate"/>
      </w:r>
      <w:r>
        <w:t>4</w:t>
      </w:r>
      <w:r>
        <w:rPr>
          <w:rFonts w:hint="eastAsia"/>
          <w:lang w:val="en-US" w:eastAsia="zh-CN"/>
        </w:rPr>
        <w:t>5</w:t>
      </w:r>
      <w:r>
        <w:fldChar w:fldCharType="end"/>
      </w:r>
      <w:r>
        <w:t>支付对象修改</w:t>
      </w:r>
      <w:r>
        <w:rPr>
          <w:rFonts w:hint="eastAsia"/>
        </w:rPr>
        <w:t>-查询条件</w:t>
      </w:r>
    </w:p>
    <w:p>
      <w:pPr>
        <w:pStyle w:val="21"/>
        <w:keepNext/>
        <w:ind w:firstLine="0"/>
      </w:pPr>
      <w:r>
        <w:rPr>
          <w:rFonts w:hint="eastAsia" w:ascii="Times New Roman" w:hAnsi="Times New Roman"/>
        </w:rPr>
        <w:drawing>
          <wp:inline distT="0" distB="0" distL="0" distR="0">
            <wp:extent cx="5266690" cy="908685"/>
            <wp:effectExtent l="9525" t="9525" r="19685"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66690" cy="908685"/>
                    </a:xfrm>
                    <a:prstGeom prst="rect">
                      <a:avLst/>
                    </a:prstGeom>
                    <a:ln>
                      <a:solidFill>
                        <a:schemeClr val="tx1"/>
                      </a:solidFill>
                    </a:ln>
                  </pic:spPr>
                </pic:pic>
              </a:graphicData>
            </a:graphic>
          </wp:inline>
        </w:drawing>
      </w:r>
    </w:p>
    <w:p>
      <w:pPr>
        <w:pStyle w:val="6"/>
        <w:jc w:val="center"/>
      </w:pPr>
      <w:r>
        <w:t xml:space="preserve">图 </w:t>
      </w:r>
      <w:r>
        <w:rPr>
          <w:rFonts w:hint="eastAsia"/>
          <w:lang w:val="en-US" w:eastAsia="zh-CN"/>
        </w:rPr>
        <w:t>46</w:t>
      </w:r>
      <w:r>
        <w:t>支付对象修改</w:t>
      </w:r>
      <w:r>
        <w:rPr>
          <w:rFonts w:hint="eastAsia"/>
        </w:rPr>
        <w:t>-查询结果</w:t>
      </w:r>
    </w:p>
    <w:p>
      <w:pPr>
        <w:pStyle w:val="21"/>
        <w:rPr>
          <w:rFonts w:ascii="Times New Roman" w:hAnsi="Times New Roman"/>
        </w:rPr>
      </w:pPr>
      <w:r>
        <w:t>录入查询条件后</w:t>
      </w:r>
      <w:r>
        <w:rPr>
          <w:rFonts w:hint="eastAsia"/>
        </w:rPr>
        <w:t>，</w:t>
      </w:r>
      <w:r>
        <w:t>点击</w:t>
      </w:r>
      <w:r>
        <w:rPr>
          <w:rFonts w:hint="eastAsia"/>
        </w:rPr>
        <w:t>“开始查询”，可将符合查询条件的信息显示至查询结果处，点击操作下的</w:t>
      </w:r>
      <w:r>
        <w:rPr>
          <w:rFonts w:hint="eastAsia"/>
          <w:b/>
          <w:color w:val="FF0000"/>
        </w:rPr>
        <w:t>“支付对象修改”</w:t>
      </w:r>
      <w:r>
        <w:rPr>
          <w:rFonts w:hint="eastAsia"/>
        </w:rPr>
        <w:t>按钮，可打开修改窗口。</w:t>
      </w:r>
    </w:p>
    <w:p>
      <w:pPr>
        <w:keepNext/>
      </w:pPr>
      <w:r>
        <w:rPr>
          <w:rFonts w:hint="eastAsia"/>
        </w:rPr>
        <w:drawing>
          <wp:inline distT="0" distB="0" distL="0" distR="0">
            <wp:extent cx="5266690" cy="1697990"/>
            <wp:effectExtent l="9525" t="9525" r="19685" b="260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6690" cy="1697990"/>
                    </a:xfrm>
                    <a:prstGeom prst="rect">
                      <a:avLst/>
                    </a:prstGeom>
                    <a:ln>
                      <a:solidFill>
                        <a:schemeClr val="tx1"/>
                      </a:solidFill>
                    </a:ln>
                  </pic:spPr>
                </pic:pic>
              </a:graphicData>
            </a:graphic>
          </wp:inline>
        </w:drawing>
      </w:r>
    </w:p>
    <w:p>
      <w:pPr>
        <w:pStyle w:val="6"/>
        <w:jc w:val="center"/>
      </w:pPr>
      <w:r>
        <w:rPr>
          <w:rFonts w:hint="eastAsia"/>
        </w:rPr>
        <w:t xml:space="preserve">图 </w:t>
      </w:r>
      <w:r>
        <w:rPr>
          <w:rFonts w:hint="eastAsia"/>
          <w:lang w:val="en-US" w:eastAsia="zh-CN"/>
        </w:rPr>
        <w:t>47</w:t>
      </w:r>
      <w:r>
        <w:t>支付对象修改</w:t>
      </w:r>
    </w:p>
    <w:p>
      <w:pPr>
        <w:pStyle w:val="21"/>
        <w:rPr>
          <w:rFonts w:hint="eastAsia"/>
        </w:rPr>
      </w:pPr>
      <w:r>
        <w:t>此页面中</w:t>
      </w:r>
      <w:r>
        <w:rPr>
          <w:rFonts w:hint="eastAsia"/>
        </w:rPr>
        <w:t>，</w:t>
      </w:r>
      <w:r>
        <w:rPr>
          <w:b/>
          <w:color w:val="FF0000"/>
        </w:rPr>
        <w:t>仅开户行信息</w:t>
      </w:r>
      <w:r>
        <w:rPr>
          <w:rFonts w:hint="eastAsia"/>
          <w:b/>
          <w:color w:val="FF0000"/>
        </w:rPr>
        <w:t>、银行账户可修改</w:t>
      </w:r>
      <w:r>
        <w:rPr>
          <w:rFonts w:hint="eastAsia"/>
        </w:rPr>
        <w:t>。修改完毕后，可对该次修改进行影像上传，</w:t>
      </w:r>
      <w:r>
        <w:rPr>
          <w:rFonts w:hint="eastAsia"/>
          <w:b/>
          <w:color w:val="FF0000"/>
        </w:rPr>
        <w:t>此流程非必经流程</w:t>
      </w:r>
      <w:r>
        <w:rPr>
          <w:rFonts w:hint="eastAsia"/>
        </w:rPr>
        <w:t>，可不进行上传，点击“提交修改”按钮后，将此条修改信息传送至收付信息。</w:t>
      </w:r>
    </w:p>
    <w:p>
      <w:pPr>
        <w:pStyle w:val="3"/>
        <w:widowControl w:val="0"/>
        <w:numPr>
          <w:ilvl w:val="1"/>
          <w:numId w:val="2"/>
        </w:numPr>
        <w:tabs>
          <w:tab w:val="left" w:pos="720"/>
          <w:tab w:val="clear" w:pos="576"/>
        </w:tabs>
        <w:adjustRightInd w:val="0"/>
        <w:snapToGrid w:val="0"/>
        <w:spacing w:beforeLines="0" w:afterLines="0"/>
        <w:ind w:left="567" w:hanging="567"/>
        <w:jc w:val="both"/>
      </w:pPr>
      <w:bookmarkStart w:id="94" w:name="_Toc7914"/>
      <w:r>
        <w:rPr>
          <w:rFonts w:hint="eastAsia"/>
          <w:lang w:eastAsia="zh-CN"/>
        </w:rPr>
        <w:t>续保</w:t>
      </w:r>
      <w:bookmarkEnd w:id="94"/>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95" w:name="_Toc17667"/>
      <w:r>
        <w:rPr>
          <w:rFonts w:eastAsia="仿宋_GB2312"/>
          <w:sz w:val="28"/>
          <w:szCs w:val="28"/>
        </w:rPr>
        <w:t>功能说明</w:t>
      </w:r>
      <w:bookmarkEnd w:id="95"/>
    </w:p>
    <w:p>
      <w:pPr>
        <w:pStyle w:val="21"/>
        <w:rPr>
          <w:rFonts w:ascii="Times New Roman" w:hAnsi="Times New Roman"/>
        </w:rPr>
      </w:pPr>
      <w:r>
        <w:t>对于</w:t>
      </w:r>
      <w:r>
        <w:rPr>
          <w:rFonts w:hint="eastAsia"/>
          <w:lang w:eastAsia="zh-CN"/>
        </w:rPr>
        <w:t>符合续保条件的保单，可进行续保操作</w:t>
      </w:r>
      <w:r>
        <w:rPr>
          <w:rFonts w:hint="eastAsia"/>
        </w:rPr>
        <w:t>。</w:t>
      </w:r>
    </w:p>
    <w:p>
      <w:pPr>
        <w:pStyle w:val="4"/>
        <w:numPr>
          <w:ilvl w:val="2"/>
          <w:numId w:val="2"/>
        </w:numPr>
        <w:tabs>
          <w:tab w:val="left" w:pos="720"/>
          <w:tab w:val="left" w:pos="1080"/>
        </w:tabs>
        <w:adjustRightInd w:val="0"/>
        <w:snapToGrid w:val="0"/>
        <w:spacing w:before="120" w:after="120" w:line="240" w:lineRule="auto"/>
        <w:ind w:left="709" w:hanging="709"/>
        <w:rPr>
          <w:rFonts w:eastAsia="仿宋_GB2312"/>
          <w:sz w:val="28"/>
          <w:szCs w:val="28"/>
        </w:rPr>
      </w:pPr>
      <w:bookmarkStart w:id="96" w:name="_Toc24573"/>
      <w:r>
        <w:rPr>
          <w:rFonts w:eastAsia="仿宋_GB2312"/>
          <w:sz w:val="28"/>
          <w:szCs w:val="28"/>
        </w:rPr>
        <w:t>功能介绍</w:t>
      </w:r>
      <w:bookmarkEnd w:id="96"/>
    </w:p>
    <w:p>
      <w:pPr>
        <w:pStyle w:val="22"/>
        <w:numPr>
          <w:ilvl w:val="0"/>
          <w:numId w:val="0"/>
        </w:numPr>
        <w:spacing w:line="360" w:lineRule="auto"/>
        <w:ind w:leftChars="0" w:firstLine="480" w:firstLineChars="200"/>
        <w:rPr>
          <w:rFonts w:hint="eastAsia"/>
          <w:sz w:val="24"/>
          <w:lang w:val="en-US" w:eastAsia="zh-CN"/>
        </w:rPr>
      </w:pPr>
      <w:r>
        <w:rPr>
          <w:rFonts w:hint="eastAsia"/>
          <w:sz w:val="24"/>
          <w:lang w:val="en-US" w:eastAsia="zh-CN"/>
        </w:rPr>
        <w:t>通过高级查询-保单查询，查出保单列表，符合续保条件的保单会显示“可续保”标志，点击“操作”-“续保”。如下图：</w:t>
      </w:r>
    </w:p>
    <w:p>
      <w:pPr>
        <w:rPr>
          <w:rFonts w:hint="eastAsia"/>
          <w:lang w:val="en-US" w:eastAsia="zh-CN"/>
        </w:rPr>
      </w:pPr>
      <w:r>
        <w:drawing>
          <wp:inline distT="0" distB="0" distL="0" distR="0">
            <wp:extent cx="5266690" cy="927100"/>
            <wp:effectExtent l="9525" t="9525" r="19685" b="15875"/>
            <wp:docPr id="53" name="图片 53" descr="C:\Users\Administrator\Desktop\222.png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Desktop\222.png222"/>
                    <pic:cNvPicPr>
                      <a:picLocks noChangeAspect="1" noChangeArrowheads="1"/>
                    </pic:cNvPicPr>
                  </pic:nvPicPr>
                  <pic:blipFill>
                    <a:blip r:embed="rId56"/>
                    <a:srcRect/>
                    <a:stretch>
                      <a:fillRect/>
                    </a:stretch>
                  </pic:blipFill>
                  <pic:spPr>
                    <a:xfrm>
                      <a:off x="0" y="0"/>
                      <a:ext cx="5266690" cy="927100"/>
                    </a:xfrm>
                    <a:prstGeom prst="rect">
                      <a:avLst/>
                    </a:prstGeom>
                    <a:ln>
                      <a:solidFill>
                        <a:schemeClr val="tx1"/>
                      </a:solidFill>
                    </a:ln>
                  </pic:spPr>
                </pic:pic>
              </a:graphicData>
            </a:graphic>
          </wp:inline>
        </w:drawing>
      </w:r>
    </w:p>
    <w:p>
      <w:pPr>
        <w:jc w:val="center"/>
        <w:rPr>
          <w:rFonts w:hint="eastAsia" w:eastAsia="宋体"/>
          <w:lang w:eastAsia="zh-CN"/>
        </w:rPr>
      </w:pPr>
      <w:r>
        <w:rPr>
          <w:rFonts w:hint="eastAsia"/>
        </w:rPr>
        <w:t xml:space="preserve">图 </w:t>
      </w:r>
      <w:r>
        <w:rPr>
          <w:rFonts w:hint="eastAsia"/>
          <w:lang w:val="en-US" w:eastAsia="zh-CN"/>
        </w:rPr>
        <w:t>48</w:t>
      </w:r>
      <w:r>
        <w:rPr>
          <w:rFonts w:hint="eastAsia"/>
          <w:lang w:eastAsia="zh-CN"/>
        </w:rPr>
        <w:t>续保查询</w:t>
      </w:r>
    </w:p>
    <w:p>
      <w:pPr>
        <w:pStyle w:val="22"/>
        <w:numPr>
          <w:ilvl w:val="0"/>
          <w:numId w:val="0"/>
        </w:numPr>
        <w:spacing w:line="360" w:lineRule="auto"/>
        <w:ind w:leftChars="0" w:firstLine="480" w:firstLineChars="200"/>
        <w:rPr>
          <w:rFonts w:hint="eastAsia"/>
          <w:sz w:val="24"/>
          <w:lang w:val="en-US" w:eastAsia="zh-CN"/>
        </w:rPr>
      </w:pPr>
      <w:r>
        <w:rPr>
          <w:rFonts w:hint="eastAsia"/>
          <w:sz w:val="24"/>
          <w:lang w:val="en-US" w:eastAsia="zh-CN"/>
        </w:rPr>
        <w:t>进入续保操作界面，在该界面进行续保的投保单信息编辑操作，编辑结束，点击“提交核保”，进行提核的后续操作。如下图：</w:t>
      </w:r>
    </w:p>
    <w:p>
      <w:pPr>
        <w:keepNext/>
      </w:pPr>
      <w:r>
        <w:rPr>
          <w:rFonts w:hint="eastAsia"/>
        </w:rPr>
        <w:drawing>
          <wp:inline distT="0" distB="0" distL="0" distR="0">
            <wp:extent cx="5266690" cy="1681480"/>
            <wp:effectExtent l="9525" t="9525" r="19685" b="23495"/>
            <wp:docPr id="54" name="图片 54" descr="C:\Users\Administrator\Desktop\223.png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Desktop\223.png223"/>
                    <pic:cNvPicPr>
                      <a:picLocks noChangeAspect="1" noChangeArrowheads="1"/>
                    </pic:cNvPicPr>
                  </pic:nvPicPr>
                  <pic:blipFill>
                    <a:blip r:embed="rId57"/>
                    <a:srcRect/>
                    <a:stretch>
                      <a:fillRect/>
                    </a:stretch>
                  </pic:blipFill>
                  <pic:spPr>
                    <a:xfrm>
                      <a:off x="0" y="0"/>
                      <a:ext cx="5266690" cy="1681480"/>
                    </a:xfrm>
                    <a:prstGeom prst="rect">
                      <a:avLst/>
                    </a:prstGeom>
                    <a:ln>
                      <a:solidFill>
                        <a:schemeClr val="tx1"/>
                      </a:solidFill>
                    </a:ln>
                  </pic:spPr>
                </pic:pic>
              </a:graphicData>
            </a:graphic>
          </wp:inline>
        </w:drawing>
      </w:r>
    </w:p>
    <w:p>
      <w:pPr>
        <w:pStyle w:val="6"/>
        <w:jc w:val="center"/>
        <w:rPr>
          <w:rFonts w:hint="eastAsia" w:eastAsia="黑体"/>
          <w:lang w:eastAsia="zh-CN"/>
        </w:rPr>
      </w:pPr>
      <w:r>
        <w:rPr>
          <w:rFonts w:hint="eastAsia"/>
        </w:rPr>
        <w:t xml:space="preserve">图 </w:t>
      </w:r>
      <w:r>
        <w:rPr>
          <w:rFonts w:hint="eastAsia"/>
          <w:lang w:val="en-US" w:eastAsia="zh-CN"/>
        </w:rPr>
        <w:t>49</w:t>
      </w:r>
      <w:r>
        <w:rPr>
          <w:rFonts w:hint="eastAsia"/>
          <w:lang w:eastAsia="zh-CN"/>
        </w:rPr>
        <w:t>续保投保单</w:t>
      </w:r>
    </w:p>
    <w:p>
      <w:pPr>
        <w:rPr>
          <w:rFonts w:hint="eastAsia" w:ascii="Times New Roman" w:hAnsi="Times New Roman" w:eastAsia="宋体" w:cs="Times New Roman"/>
          <w:kern w:val="2"/>
          <w:sz w:val="24"/>
          <w:szCs w:val="24"/>
          <w:lang w:val="en-US" w:eastAsia="zh-CN" w:bidi="ar-SA"/>
        </w:rPr>
      </w:pPr>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续保规则：</w:t>
      </w:r>
    </w:p>
    <w:p>
      <w:pPr>
        <w:pStyle w:val="22"/>
        <w:numPr>
          <w:ilvl w:val="0"/>
          <w:numId w:val="10"/>
        </w:numPr>
        <w:spacing w:line="360" w:lineRule="auto"/>
        <w:ind w:left="425" w:leftChars="0" w:hanging="425" w:firstLineChars="0"/>
        <w:rPr>
          <w:rFonts w:hint="eastAsia"/>
          <w:sz w:val="24"/>
        </w:rPr>
      </w:pPr>
      <w:r>
        <w:rPr>
          <w:rFonts w:hint="eastAsia"/>
          <w:sz w:val="24"/>
        </w:rPr>
        <w:t>保险期限剩余天数，默认-30天~90天。规则为终保日期 - 当前日期≤保险期限剩余天数”</w:t>
      </w:r>
      <w:r>
        <w:rPr>
          <w:rFonts w:hint="eastAsia"/>
          <w:sz w:val="24"/>
          <w:lang w:eastAsia="zh-CN"/>
        </w:rPr>
        <w:t>；</w:t>
      </w:r>
    </w:p>
    <w:p>
      <w:pPr>
        <w:pStyle w:val="22"/>
        <w:numPr>
          <w:ilvl w:val="0"/>
          <w:numId w:val="10"/>
        </w:numPr>
        <w:spacing w:line="360" w:lineRule="auto"/>
        <w:ind w:left="425" w:leftChars="0" w:hanging="425" w:firstLineChars="0"/>
        <w:rPr>
          <w:rFonts w:hint="eastAsia"/>
          <w:sz w:val="24"/>
        </w:rPr>
      </w:pPr>
      <w:r>
        <w:rPr>
          <w:rFonts w:hint="eastAsia"/>
          <w:sz w:val="24"/>
        </w:rPr>
        <w:t>续保操作后，带入原保单条件应遵循：</w:t>
      </w:r>
    </w:p>
    <w:p>
      <w:pPr>
        <w:pStyle w:val="22"/>
        <w:numPr>
          <w:ilvl w:val="0"/>
          <w:numId w:val="0"/>
        </w:numPr>
        <w:spacing w:line="360" w:lineRule="auto"/>
        <w:ind w:leftChars="0" w:firstLine="240" w:firstLineChars="100"/>
        <w:rPr>
          <w:rFonts w:hint="eastAsia"/>
          <w:sz w:val="24"/>
          <w:lang w:eastAsia="zh-CN"/>
        </w:rPr>
      </w:pPr>
      <w:r>
        <w:rPr>
          <w:rFonts w:hint="eastAsia"/>
          <w:sz w:val="24"/>
          <w:lang w:val="en-US" w:eastAsia="zh-CN"/>
        </w:rPr>
        <w:t>1）投保单、</w:t>
      </w:r>
      <w:r>
        <w:rPr>
          <w:rFonts w:hint="eastAsia"/>
          <w:sz w:val="24"/>
        </w:rPr>
        <w:t>保单号码生成新的号码；</w:t>
      </w:r>
    </w:p>
    <w:p>
      <w:pPr>
        <w:pStyle w:val="22"/>
        <w:numPr>
          <w:ilvl w:val="0"/>
          <w:numId w:val="0"/>
        </w:numPr>
        <w:spacing w:line="360" w:lineRule="auto"/>
        <w:ind w:leftChars="0" w:firstLine="240" w:firstLineChars="100"/>
        <w:rPr>
          <w:rFonts w:hint="eastAsia"/>
          <w:sz w:val="24"/>
        </w:rPr>
      </w:pPr>
      <w:r>
        <w:rPr>
          <w:rFonts w:hint="eastAsia"/>
          <w:sz w:val="24"/>
          <w:lang w:val="en-US" w:eastAsia="zh-CN"/>
        </w:rPr>
        <w:t>2）</w:t>
      </w:r>
      <w:r>
        <w:rPr>
          <w:rFonts w:hint="eastAsia"/>
          <w:sz w:val="24"/>
          <w:lang w:eastAsia="zh-CN"/>
        </w:rPr>
        <w:t>渠道信息不带入代理人、经纪人信息；</w:t>
      </w:r>
    </w:p>
    <w:p>
      <w:pPr>
        <w:pStyle w:val="22"/>
        <w:numPr>
          <w:ilvl w:val="0"/>
          <w:numId w:val="0"/>
        </w:numPr>
        <w:spacing w:line="360" w:lineRule="auto"/>
        <w:ind w:left="479" w:leftChars="114" w:hanging="240" w:hangingChars="100"/>
        <w:rPr>
          <w:rFonts w:hint="eastAsia" w:eastAsia="宋体"/>
          <w:sz w:val="24"/>
          <w:lang w:eastAsia="zh-CN"/>
        </w:rPr>
      </w:pPr>
      <w:r>
        <w:rPr>
          <w:rFonts w:hint="eastAsia"/>
          <w:sz w:val="24"/>
          <w:lang w:val="en-US" w:eastAsia="zh-CN"/>
        </w:rPr>
        <w:t>3）</w:t>
      </w:r>
      <w:r>
        <w:rPr>
          <w:rFonts w:hint="eastAsia"/>
          <w:sz w:val="24"/>
        </w:rPr>
        <w:t>“起保日期”默认为上年度保单“终保日期”后1天，“终保日期”默认为更新后的“起保日期”+1年（需考虑闰年情况）</w:t>
      </w:r>
      <w:r>
        <w:rPr>
          <w:rFonts w:hint="eastAsia"/>
          <w:sz w:val="24"/>
          <w:lang w:eastAsia="zh-CN"/>
        </w:rPr>
        <w:t>；</w:t>
      </w:r>
    </w:p>
    <w:p>
      <w:pPr>
        <w:pStyle w:val="22"/>
        <w:numPr>
          <w:ilvl w:val="0"/>
          <w:numId w:val="0"/>
        </w:numPr>
        <w:spacing w:line="360" w:lineRule="auto"/>
        <w:ind w:leftChars="0" w:firstLine="240" w:firstLineChars="100"/>
        <w:rPr>
          <w:rFonts w:hint="eastAsia"/>
          <w:sz w:val="24"/>
        </w:rPr>
      </w:pPr>
      <w:r>
        <w:rPr>
          <w:rFonts w:hint="eastAsia"/>
          <w:sz w:val="24"/>
          <w:lang w:val="en-US" w:eastAsia="zh-CN"/>
        </w:rPr>
        <w:t>4）</w:t>
      </w:r>
      <w:r>
        <w:rPr>
          <w:rFonts w:hint="eastAsia"/>
          <w:sz w:val="24"/>
        </w:rPr>
        <w:t>不带入上年保单中损防查勘的相关信息</w:t>
      </w:r>
      <w:r>
        <w:rPr>
          <w:rFonts w:hint="eastAsia"/>
          <w:sz w:val="24"/>
          <w:lang w:eastAsia="zh-CN"/>
        </w:rPr>
        <w:t>；</w:t>
      </w:r>
    </w:p>
    <w:p>
      <w:pPr>
        <w:pStyle w:val="22"/>
        <w:numPr>
          <w:ilvl w:val="0"/>
          <w:numId w:val="0"/>
        </w:numPr>
        <w:spacing w:line="360" w:lineRule="auto"/>
        <w:ind w:leftChars="0" w:firstLine="240" w:firstLineChars="100"/>
        <w:rPr>
          <w:rFonts w:hint="eastAsia"/>
          <w:sz w:val="24"/>
        </w:rPr>
      </w:pPr>
      <w:r>
        <w:rPr>
          <w:rFonts w:hint="eastAsia"/>
          <w:sz w:val="24"/>
          <w:lang w:val="en-US" w:eastAsia="zh-CN"/>
        </w:rPr>
        <w:t>5）</w:t>
      </w:r>
      <w:r>
        <w:rPr>
          <w:rFonts w:hint="eastAsia"/>
          <w:sz w:val="24"/>
        </w:rPr>
        <w:t>不带</w:t>
      </w:r>
      <w:r>
        <w:rPr>
          <w:rFonts w:hint="eastAsia"/>
          <w:sz w:val="24"/>
          <w:lang w:eastAsia="zh-CN"/>
        </w:rPr>
        <w:t>入</w:t>
      </w:r>
      <w:r>
        <w:rPr>
          <w:rFonts w:hint="eastAsia"/>
          <w:sz w:val="24"/>
        </w:rPr>
        <w:t>标的信息、佣金信息</w:t>
      </w:r>
      <w:r>
        <w:rPr>
          <w:rFonts w:hint="eastAsia"/>
          <w:sz w:val="24"/>
          <w:lang w:eastAsia="zh-CN"/>
        </w:rPr>
        <w:t>、清单信息；</w:t>
      </w:r>
    </w:p>
    <w:p>
      <w:pPr>
        <w:pStyle w:val="22"/>
        <w:numPr>
          <w:ilvl w:val="0"/>
          <w:numId w:val="0"/>
        </w:numPr>
        <w:spacing w:line="360" w:lineRule="auto"/>
        <w:ind w:leftChars="0" w:firstLine="240" w:firstLineChars="100"/>
        <w:rPr>
          <w:rFonts w:hint="eastAsia" w:eastAsia="宋体"/>
          <w:sz w:val="24"/>
          <w:lang w:eastAsia="zh-CN"/>
        </w:rPr>
      </w:pPr>
      <w:r>
        <w:rPr>
          <w:rFonts w:hint="eastAsia"/>
          <w:sz w:val="24"/>
          <w:lang w:val="en-US" w:eastAsia="zh-CN"/>
        </w:rPr>
        <w:t>6）</w:t>
      </w:r>
      <w:r>
        <w:rPr>
          <w:rFonts w:hint="eastAsia"/>
          <w:sz w:val="24"/>
        </w:rPr>
        <w:t>缴费计划默认显示一期</w:t>
      </w:r>
      <w:r>
        <w:rPr>
          <w:rFonts w:hint="eastAsia"/>
          <w:sz w:val="24"/>
          <w:lang w:eastAsia="zh-CN"/>
        </w:rPr>
        <w:t>；</w:t>
      </w:r>
    </w:p>
    <w:p>
      <w:pPr>
        <w:pStyle w:val="22"/>
        <w:numPr>
          <w:ilvl w:val="0"/>
          <w:numId w:val="10"/>
        </w:numPr>
        <w:spacing w:line="360" w:lineRule="auto"/>
        <w:ind w:left="425" w:leftChars="0" w:hanging="425" w:firstLineChars="0"/>
        <w:rPr>
          <w:rFonts w:hint="eastAsia"/>
          <w:sz w:val="24"/>
        </w:rPr>
      </w:pPr>
      <w:r>
        <w:rPr>
          <w:rFonts w:hint="eastAsia"/>
          <w:sz w:val="24"/>
        </w:rPr>
        <w:t>已退保，已注销的保单不可进行续保</w:t>
      </w:r>
      <w:r>
        <w:rPr>
          <w:rFonts w:hint="eastAsia"/>
          <w:sz w:val="24"/>
          <w:lang w:eastAsia="zh-CN"/>
        </w:rPr>
        <w:t>；</w:t>
      </w:r>
    </w:p>
    <w:p>
      <w:pPr>
        <w:pStyle w:val="22"/>
        <w:numPr>
          <w:ilvl w:val="0"/>
          <w:numId w:val="10"/>
        </w:numPr>
        <w:spacing w:line="360" w:lineRule="auto"/>
        <w:ind w:left="425" w:leftChars="0" w:hanging="425" w:firstLineChars="0"/>
        <w:rPr>
          <w:rFonts w:hint="eastAsia"/>
          <w:sz w:val="24"/>
        </w:rPr>
      </w:pPr>
      <w:r>
        <w:rPr>
          <w:rFonts w:hint="eastAsia"/>
          <w:sz w:val="24"/>
          <w:lang w:eastAsia="zh-CN"/>
        </w:rPr>
        <w:t>续保成功后，原保单的“可续保”标志消失，</w:t>
      </w:r>
      <w:r>
        <w:rPr>
          <w:rFonts w:hint="eastAsia"/>
          <w:sz w:val="24"/>
        </w:rPr>
        <w:t>已续保的</w:t>
      </w:r>
      <w:r>
        <w:rPr>
          <w:rFonts w:hint="eastAsia"/>
          <w:sz w:val="24"/>
          <w:lang w:eastAsia="zh-CN"/>
        </w:rPr>
        <w:t>保单</w:t>
      </w:r>
      <w:r>
        <w:rPr>
          <w:rFonts w:hint="eastAsia"/>
          <w:sz w:val="24"/>
        </w:rPr>
        <w:t>不允许</w:t>
      </w:r>
      <w:r>
        <w:rPr>
          <w:rFonts w:hint="eastAsia"/>
          <w:sz w:val="24"/>
          <w:lang w:eastAsia="zh-CN"/>
        </w:rPr>
        <w:t>再</w:t>
      </w:r>
      <w:r>
        <w:rPr>
          <w:rFonts w:hint="eastAsia"/>
          <w:sz w:val="24"/>
        </w:rPr>
        <w:t>续保</w:t>
      </w:r>
      <w:r>
        <w:rPr>
          <w:rFonts w:hint="eastAsia"/>
          <w:sz w:val="24"/>
          <w:lang w:eastAsia="zh-CN"/>
        </w:rPr>
        <w:t>。</w:t>
      </w:r>
    </w:p>
    <w:p>
      <w:pPr>
        <w:pStyle w:val="3"/>
        <w:widowControl w:val="0"/>
        <w:numPr>
          <w:ilvl w:val="1"/>
          <w:numId w:val="2"/>
        </w:numPr>
        <w:tabs>
          <w:tab w:val="left" w:pos="720"/>
          <w:tab w:val="clear" w:pos="576"/>
        </w:tabs>
        <w:adjustRightInd w:val="0"/>
        <w:snapToGrid w:val="0"/>
        <w:spacing w:beforeLines="0" w:afterLines="0"/>
        <w:ind w:left="567" w:hanging="567"/>
        <w:jc w:val="both"/>
        <w:rPr>
          <w:rFonts w:hint="eastAsia"/>
          <w:lang w:eastAsia="zh-CN"/>
        </w:rPr>
      </w:pPr>
      <w:bookmarkStart w:id="97" w:name="_Toc31860"/>
      <w:r>
        <w:rPr>
          <w:rFonts w:hint="eastAsia"/>
          <w:lang w:eastAsia="zh-CN"/>
        </w:rPr>
        <w:t>联共保</w:t>
      </w:r>
      <w:bookmarkEnd w:id="97"/>
    </w:p>
    <w:p>
      <w:pPr>
        <w:pStyle w:val="4"/>
        <w:numPr>
          <w:ilvl w:val="2"/>
          <w:numId w:val="2"/>
        </w:numPr>
        <w:tabs>
          <w:tab w:val="left" w:pos="720"/>
          <w:tab w:val="left" w:pos="1080"/>
        </w:tabs>
        <w:adjustRightInd w:val="0"/>
        <w:snapToGrid w:val="0"/>
        <w:spacing w:before="120" w:after="120" w:line="240" w:lineRule="auto"/>
        <w:ind w:left="709" w:hanging="709"/>
        <w:rPr>
          <w:rFonts w:hint="eastAsia" w:eastAsia="仿宋_GB2312"/>
          <w:sz w:val="28"/>
          <w:szCs w:val="28"/>
          <w:lang w:val="en-US" w:eastAsia="zh-CN"/>
        </w:rPr>
      </w:pPr>
      <w:bookmarkStart w:id="98" w:name="_Toc24398"/>
      <w:r>
        <w:rPr>
          <w:rFonts w:hint="eastAsia" w:eastAsia="仿宋_GB2312"/>
          <w:sz w:val="28"/>
          <w:szCs w:val="28"/>
          <w:lang w:val="en-US" w:eastAsia="zh-CN"/>
        </w:rPr>
        <w:t>功能说明</w:t>
      </w:r>
      <w:bookmarkEnd w:id="98"/>
    </w:p>
    <w:p>
      <w:pPr>
        <w:pStyle w:val="22"/>
        <w:numPr>
          <w:ilvl w:val="0"/>
          <w:numId w:val="0"/>
        </w:numPr>
        <w:spacing w:line="360" w:lineRule="auto"/>
        <w:ind w:leftChars="0" w:firstLine="420" w:firstLineChars="0"/>
        <w:rPr>
          <w:rFonts w:hint="eastAsia"/>
          <w:sz w:val="24"/>
          <w:szCs w:val="22"/>
          <w:lang w:val="en-US" w:eastAsia="zh-CN"/>
        </w:rPr>
      </w:pPr>
      <w:r>
        <w:rPr>
          <w:rFonts w:hint="eastAsia"/>
          <w:sz w:val="24"/>
          <w:szCs w:val="22"/>
          <w:lang w:eastAsia="zh-CN"/>
        </w:rPr>
        <w:t>当为联共保业务时，需要对联共保信息进行录入。</w:t>
      </w:r>
    </w:p>
    <w:p>
      <w:pPr>
        <w:pStyle w:val="4"/>
        <w:numPr>
          <w:ilvl w:val="2"/>
          <w:numId w:val="2"/>
        </w:numPr>
        <w:tabs>
          <w:tab w:val="left" w:pos="720"/>
          <w:tab w:val="left" w:pos="1080"/>
        </w:tabs>
        <w:adjustRightInd w:val="0"/>
        <w:snapToGrid w:val="0"/>
        <w:spacing w:before="120" w:after="120" w:line="240" w:lineRule="auto"/>
        <w:ind w:left="709" w:hanging="709"/>
        <w:rPr>
          <w:rFonts w:hint="eastAsia" w:eastAsia="仿宋_GB2312"/>
          <w:sz w:val="28"/>
          <w:szCs w:val="28"/>
          <w:lang w:val="en-US" w:eastAsia="zh-CN"/>
        </w:rPr>
      </w:pPr>
      <w:bookmarkStart w:id="99" w:name="_Toc19632"/>
      <w:r>
        <w:rPr>
          <w:rFonts w:hint="eastAsia" w:eastAsia="仿宋_GB2312"/>
          <w:sz w:val="28"/>
          <w:szCs w:val="28"/>
          <w:lang w:val="en-US" w:eastAsia="zh-CN"/>
        </w:rPr>
        <w:t>功能介绍</w:t>
      </w:r>
      <w:bookmarkEnd w:id="99"/>
    </w:p>
    <w:p>
      <w:pPr>
        <w:pStyle w:val="7"/>
        <w:spacing w:after="156" w:afterLines="50" w:line="360" w:lineRule="auto"/>
        <w:ind w:left="0" w:leftChars="0" w:firstLine="424" w:firstLineChars="177"/>
        <w:rPr>
          <w:rFonts w:hint="eastAsia"/>
          <w:sz w:val="24"/>
          <w:lang w:eastAsia="zh-CN"/>
        </w:rPr>
      </w:pPr>
      <w:r>
        <w:rPr>
          <w:rFonts w:hint="eastAsia"/>
          <w:sz w:val="24"/>
        </w:rPr>
        <w:t>“共保标志”字段选择“1-主共保”、“2-从共保”、“3-</w:t>
      </w:r>
      <w:r>
        <w:rPr>
          <w:rFonts w:hint="eastAsia"/>
          <w:sz w:val="24"/>
          <w:lang w:eastAsia="zh-CN"/>
        </w:rPr>
        <w:t>主</w:t>
      </w:r>
      <w:r>
        <w:rPr>
          <w:rFonts w:hint="eastAsia"/>
          <w:sz w:val="24"/>
        </w:rPr>
        <w:t>联保”时，显示联共保信息录入模块。</w:t>
      </w:r>
      <w:r>
        <w:rPr>
          <w:rFonts w:hint="eastAsia"/>
          <w:color w:val="FF0000"/>
          <w:sz w:val="24"/>
          <w:lang w:eastAsia="zh-CN"/>
        </w:rPr>
        <w:t>注：本次上线只上“</w:t>
      </w:r>
      <w:r>
        <w:rPr>
          <w:rFonts w:hint="eastAsia"/>
          <w:color w:val="FF0000"/>
          <w:sz w:val="24"/>
          <w:lang w:val="en-US" w:eastAsia="zh-CN"/>
        </w:rPr>
        <w:t>2-从共保</w:t>
      </w:r>
      <w:r>
        <w:rPr>
          <w:rFonts w:hint="eastAsia"/>
          <w:color w:val="FF0000"/>
          <w:sz w:val="24"/>
          <w:lang w:eastAsia="zh-CN"/>
        </w:rPr>
        <w:t>”</w:t>
      </w:r>
      <w:r>
        <w:rPr>
          <w:rFonts w:hint="eastAsia"/>
          <w:sz w:val="24"/>
          <w:lang w:eastAsia="zh-CN"/>
        </w:rPr>
        <w:t>。</w:t>
      </w:r>
    </w:p>
    <w:p>
      <w:pPr>
        <w:pStyle w:val="7"/>
        <w:spacing w:after="156" w:afterLines="50" w:line="360" w:lineRule="auto"/>
        <w:ind w:left="0" w:leftChars="0" w:firstLine="0" w:firstLineChars="0"/>
        <w:jc w:val="both"/>
        <w:rPr>
          <w:rFonts w:hint="eastAsia"/>
          <w:sz w:val="24"/>
          <w:lang w:eastAsia="zh-CN"/>
        </w:rPr>
      </w:pPr>
      <w:r>
        <w:drawing>
          <wp:inline distT="0" distB="0" distL="114300" distR="114300">
            <wp:extent cx="5273675" cy="1090295"/>
            <wp:effectExtent l="9525" t="9525" r="12700" b="2413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8"/>
                    <a:stretch>
                      <a:fillRect/>
                    </a:stretch>
                  </pic:blipFill>
                  <pic:spPr>
                    <a:xfrm>
                      <a:off x="0" y="0"/>
                      <a:ext cx="5273675" cy="1090295"/>
                    </a:xfrm>
                    <a:prstGeom prst="rect">
                      <a:avLst/>
                    </a:prstGeom>
                    <a:noFill/>
                    <a:ln w="9525">
                      <a:solidFill>
                        <a:schemeClr val="tx1"/>
                      </a:solidFill>
                    </a:ln>
                  </pic:spPr>
                </pic:pic>
              </a:graphicData>
            </a:graphic>
          </wp:inline>
        </w:drawing>
      </w:r>
    </w:p>
    <w:p>
      <w:pPr>
        <w:pStyle w:val="6"/>
        <w:jc w:val="center"/>
        <w:rPr>
          <w:rFonts w:hint="eastAsia"/>
          <w:lang w:eastAsia="zh-CN"/>
        </w:rPr>
      </w:pPr>
      <w:r>
        <w:rPr>
          <w:rFonts w:hint="eastAsia"/>
          <w:lang w:eastAsia="zh-CN"/>
        </w:rPr>
        <w:t>图</w:t>
      </w:r>
      <w:r>
        <w:rPr>
          <w:rFonts w:hint="eastAsia"/>
          <w:lang w:val="en-US" w:eastAsia="zh-CN"/>
        </w:rPr>
        <w:t>50联共保信息界面</w:t>
      </w:r>
    </w:p>
    <w:p/>
    <w:p>
      <w:pPr>
        <w:pStyle w:val="21"/>
        <w:rPr>
          <w:rFonts w:hint="eastAsia"/>
          <w:lang w:eastAsia="zh-CN"/>
        </w:rPr>
      </w:pPr>
      <w:r>
        <w:rPr>
          <w:rFonts w:hint="eastAsia"/>
          <w:lang w:eastAsia="zh-CN"/>
        </w:rPr>
        <w:t>点击‘修改’按钮，进入共保详细信息页面，录入信息后，点击‘确认’按钮。</w:t>
      </w:r>
    </w:p>
    <w:p>
      <w:pPr>
        <w:pStyle w:val="21"/>
        <w:ind w:left="0" w:leftChars="0" w:firstLine="0" w:firstLineChars="0"/>
      </w:pPr>
      <w:r>
        <w:drawing>
          <wp:inline distT="0" distB="0" distL="114300" distR="114300">
            <wp:extent cx="5273040" cy="3587750"/>
            <wp:effectExtent l="9525" t="9525" r="13335" b="222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9"/>
                    <a:stretch>
                      <a:fillRect/>
                    </a:stretch>
                  </pic:blipFill>
                  <pic:spPr>
                    <a:xfrm>
                      <a:off x="0" y="0"/>
                      <a:ext cx="5273040" cy="3587750"/>
                    </a:xfrm>
                    <a:prstGeom prst="rect">
                      <a:avLst/>
                    </a:prstGeom>
                    <a:noFill/>
                    <a:ln w="9525">
                      <a:solidFill>
                        <a:schemeClr val="tx1"/>
                      </a:solidFill>
                    </a:ln>
                  </pic:spPr>
                </pic:pic>
              </a:graphicData>
            </a:graphic>
          </wp:inline>
        </w:drawing>
      </w:r>
    </w:p>
    <w:p>
      <w:pPr>
        <w:pStyle w:val="6"/>
        <w:jc w:val="center"/>
        <w:rPr>
          <w:rFonts w:hint="eastAsia"/>
          <w:lang w:eastAsia="zh-CN"/>
        </w:rPr>
      </w:pPr>
      <w:r>
        <w:rPr>
          <w:rFonts w:hint="eastAsia"/>
          <w:lang w:eastAsia="zh-CN"/>
        </w:rPr>
        <w:t>图</w:t>
      </w:r>
      <w:r>
        <w:rPr>
          <w:rFonts w:hint="eastAsia"/>
          <w:lang w:val="en-US" w:eastAsia="zh-CN"/>
        </w:rPr>
        <w:t>51共保详细界面</w:t>
      </w:r>
    </w:p>
    <w:p>
      <w:pPr>
        <w:pStyle w:val="21"/>
        <w:ind w:left="0" w:leftChars="0" w:firstLine="0" w:firstLineChars="0"/>
        <w:rPr>
          <w:rFonts w:hint="eastAsia"/>
          <w:lang w:eastAsia="zh-CN"/>
        </w:rPr>
      </w:pPr>
      <w:r>
        <w:rPr>
          <w:rFonts w:hint="eastAsia"/>
          <w:lang w:eastAsia="zh-CN"/>
        </w:rPr>
        <w:t>共保规则：</w:t>
      </w:r>
    </w:p>
    <w:p>
      <w:pPr>
        <w:pStyle w:val="21"/>
        <w:ind w:left="0" w:leftChars="0" w:firstLine="420" w:firstLineChars="0"/>
        <w:rPr>
          <w:rFonts w:hint="eastAsia"/>
          <w:lang w:eastAsia="zh-CN"/>
        </w:rPr>
      </w:pPr>
      <w:r>
        <w:rPr>
          <w:rFonts w:hint="eastAsia"/>
          <w:lang w:eastAsia="zh-CN"/>
        </w:rPr>
        <w:t>从共保：</w:t>
      </w:r>
    </w:p>
    <w:p>
      <w:pPr>
        <w:pStyle w:val="21"/>
        <w:numPr>
          <w:ilvl w:val="0"/>
          <w:numId w:val="11"/>
        </w:numPr>
        <w:ind w:firstLine="720" w:firstLineChars="300"/>
        <w:rPr>
          <w:rFonts w:hint="eastAsia"/>
          <w:lang w:eastAsia="zh-CN"/>
        </w:rPr>
      </w:pPr>
      <w:r>
        <w:rPr>
          <w:rFonts w:hint="eastAsia"/>
          <w:lang w:eastAsia="zh-CN"/>
        </w:rPr>
        <w:t>我方</w:t>
      </w:r>
    </w:p>
    <w:p>
      <w:pPr>
        <w:pStyle w:val="21"/>
        <w:numPr>
          <w:ilvl w:val="0"/>
          <w:numId w:val="12"/>
        </w:numPr>
        <w:ind w:left="960" w:leftChars="0" w:firstLine="0" w:firstLineChars="0"/>
        <w:rPr>
          <w:rFonts w:hint="eastAsia"/>
          <w:lang w:val="en-US" w:eastAsia="zh-CN"/>
        </w:rPr>
      </w:pPr>
      <w:r>
        <w:rPr>
          <w:rFonts w:hint="eastAsia"/>
          <w:lang w:val="en-US" w:eastAsia="zh-CN"/>
        </w:rPr>
        <w:t>共保单号必须手工录入，且不能为空；</w:t>
      </w:r>
    </w:p>
    <w:p>
      <w:pPr>
        <w:pStyle w:val="21"/>
        <w:numPr>
          <w:ilvl w:val="0"/>
          <w:numId w:val="12"/>
        </w:numPr>
        <w:ind w:left="960" w:leftChars="0" w:firstLine="0" w:firstLineChars="0"/>
        <w:rPr>
          <w:rFonts w:hint="eastAsia"/>
          <w:lang w:val="en-US" w:eastAsia="zh-CN"/>
        </w:rPr>
      </w:pPr>
      <w:r>
        <w:rPr>
          <w:rFonts w:hint="eastAsia"/>
          <w:lang w:val="en-US" w:eastAsia="zh-CN"/>
        </w:rPr>
        <w:t>“共保类型”、“共保身份”不可修改，我方默认为从方；</w:t>
      </w:r>
    </w:p>
    <w:p>
      <w:pPr>
        <w:pStyle w:val="21"/>
        <w:numPr>
          <w:ilvl w:val="0"/>
          <w:numId w:val="12"/>
        </w:numPr>
        <w:ind w:left="960" w:leftChars="0" w:firstLine="0" w:firstLineChars="0"/>
        <w:rPr>
          <w:rFonts w:hint="eastAsia"/>
          <w:lang w:val="en-US" w:eastAsia="zh-CN"/>
        </w:rPr>
      </w:pPr>
      <w:r>
        <w:rPr>
          <w:rFonts w:hint="eastAsia"/>
          <w:lang w:val="en-US" w:eastAsia="zh-CN"/>
        </w:rPr>
        <w:t>共保人代码自动带出我方名称；</w:t>
      </w:r>
    </w:p>
    <w:p>
      <w:pPr>
        <w:pStyle w:val="21"/>
        <w:numPr>
          <w:ilvl w:val="0"/>
          <w:numId w:val="12"/>
        </w:numPr>
        <w:ind w:left="960" w:leftChars="0" w:firstLine="0" w:firstLineChars="0"/>
        <w:rPr>
          <w:rFonts w:hint="eastAsia"/>
          <w:lang w:val="en-US" w:eastAsia="zh-CN"/>
        </w:rPr>
      </w:pPr>
      <w:r>
        <w:rPr>
          <w:rFonts w:hint="eastAsia"/>
          <w:lang w:val="en-US" w:eastAsia="zh-CN"/>
        </w:rPr>
        <w:t>首席承保人，首席理赔人默认不勾选；</w:t>
      </w:r>
    </w:p>
    <w:p>
      <w:pPr>
        <w:pStyle w:val="21"/>
        <w:numPr>
          <w:ilvl w:val="0"/>
          <w:numId w:val="12"/>
        </w:numPr>
        <w:ind w:left="960" w:leftChars="0" w:firstLine="0" w:firstLineChars="0"/>
        <w:rPr>
          <w:rFonts w:hint="eastAsia"/>
          <w:lang w:val="en-US" w:eastAsia="zh-CN"/>
        </w:rPr>
      </w:pPr>
      <w:r>
        <w:rPr>
          <w:rFonts w:hint="eastAsia"/>
          <w:lang w:val="en-US" w:eastAsia="zh-CN"/>
        </w:rPr>
        <w:t>共保保额、共保保费默认为该单的总保额、总应收保费。</w:t>
      </w:r>
    </w:p>
    <w:p>
      <w:pPr>
        <w:pStyle w:val="21"/>
        <w:numPr>
          <w:ilvl w:val="0"/>
          <w:numId w:val="11"/>
        </w:numPr>
        <w:ind w:left="0" w:leftChars="0" w:firstLine="720" w:firstLineChars="300"/>
        <w:rPr>
          <w:rFonts w:hint="eastAsia"/>
          <w:szCs w:val="22"/>
          <w:lang w:val="en-US" w:eastAsia="zh-CN"/>
        </w:rPr>
      </w:pPr>
      <w:r>
        <w:rPr>
          <w:rFonts w:hint="eastAsia"/>
          <w:szCs w:val="22"/>
          <w:lang w:val="en-US" w:eastAsia="zh-CN"/>
        </w:rPr>
        <w:t>他方</w:t>
      </w:r>
    </w:p>
    <w:p>
      <w:pPr>
        <w:pStyle w:val="21"/>
        <w:numPr>
          <w:ilvl w:val="0"/>
          <w:numId w:val="13"/>
        </w:numPr>
        <w:ind w:left="990" w:leftChars="0" w:firstLine="0" w:firstLineChars="0"/>
        <w:rPr>
          <w:rFonts w:hint="eastAsia"/>
          <w:szCs w:val="22"/>
          <w:lang w:val="en-US" w:eastAsia="zh-CN"/>
        </w:rPr>
      </w:pPr>
      <w:r>
        <w:rPr>
          <w:rFonts w:hint="eastAsia"/>
          <w:szCs w:val="22"/>
          <w:lang w:val="en-US" w:eastAsia="zh-CN"/>
        </w:rPr>
        <w:t>共保单号默认‘我方’的共保单号，且不可修改；</w:t>
      </w:r>
    </w:p>
    <w:p>
      <w:pPr>
        <w:pStyle w:val="21"/>
        <w:numPr>
          <w:ilvl w:val="0"/>
          <w:numId w:val="13"/>
        </w:numPr>
        <w:ind w:left="990" w:leftChars="0" w:firstLine="0" w:firstLineChars="0"/>
        <w:rPr>
          <w:rFonts w:hint="eastAsia"/>
          <w:szCs w:val="22"/>
          <w:lang w:val="en-US" w:eastAsia="zh-CN"/>
        </w:rPr>
      </w:pPr>
      <w:r>
        <w:rPr>
          <w:rFonts w:hint="eastAsia"/>
          <w:lang w:val="en-US" w:eastAsia="zh-CN"/>
        </w:rPr>
        <w:t>“共保类型”、“共保身份”不可修改，他方默认为主</w:t>
      </w:r>
      <w:bookmarkStart w:id="101" w:name="_GoBack"/>
      <w:bookmarkEnd w:id="101"/>
      <w:r>
        <w:rPr>
          <w:rFonts w:hint="eastAsia"/>
          <w:lang w:val="en-US" w:eastAsia="zh-CN"/>
        </w:rPr>
        <w:t>方；</w:t>
      </w:r>
    </w:p>
    <w:p>
      <w:pPr>
        <w:pStyle w:val="21"/>
        <w:numPr>
          <w:ilvl w:val="0"/>
          <w:numId w:val="13"/>
        </w:numPr>
        <w:ind w:left="990" w:leftChars="0" w:firstLine="0" w:firstLineChars="0"/>
        <w:rPr>
          <w:rFonts w:hint="eastAsia"/>
          <w:lang w:val="en-US" w:eastAsia="zh-CN"/>
        </w:rPr>
      </w:pPr>
      <w:r>
        <w:rPr>
          <w:rFonts w:hint="eastAsia"/>
          <w:lang w:val="en-US" w:eastAsia="zh-CN"/>
        </w:rPr>
        <w:t>首席承保人、首席理赔人默认勾选；</w:t>
      </w:r>
    </w:p>
    <w:p>
      <w:pPr>
        <w:pStyle w:val="21"/>
        <w:numPr>
          <w:ilvl w:val="0"/>
          <w:numId w:val="13"/>
        </w:numPr>
        <w:ind w:left="990" w:leftChars="0" w:firstLine="0" w:firstLineChars="0"/>
        <w:rPr>
          <w:rFonts w:hint="eastAsia"/>
          <w:szCs w:val="22"/>
          <w:lang w:val="en-US" w:eastAsia="zh-CN"/>
        </w:rPr>
      </w:pPr>
      <w:r>
        <w:rPr>
          <w:rFonts w:hint="eastAsia"/>
          <w:lang w:val="en-US" w:eastAsia="zh-CN"/>
        </w:rPr>
        <w:t>共保保额、共保保额手动录入。</w:t>
      </w:r>
    </w:p>
    <w:p>
      <w:pPr>
        <w:pStyle w:val="21"/>
        <w:numPr>
          <w:ilvl w:val="0"/>
          <w:numId w:val="11"/>
        </w:numPr>
        <w:ind w:left="0" w:leftChars="0" w:firstLine="720" w:firstLineChars="300"/>
        <w:rPr>
          <w:rFonts w:hint="eastAsia"/>
          <w:szCs w:val="22"/>
          <w:lang w:val="en-US" w:eastAsia="zh-CN"/>
        </w:rPr>
      </w:pPr>
      <w:r>
        <w:rPr>
          <w:rFonts w:hint="eastAsia"/>
          <w:szCs w:val="22"/>
          <w:lang w:val="en-US" w:eastAsia="zh-CN"/>
        </w:rPr>
        <w:t>公共规则：</w:t>
      </w:r>
    </w:p>
    <w:p>
      <w:pPr>
        <w:pStyle w:val="21"/>
        <w:numPr>
          <w:ilvl w:val="0"/>
          <w:numId w:val="14"/>
        </w:numPr>
        <w:ind w:left="990" w:leftChars="0" w:firstLine="0" w:firstLineChars="0"/>
        <w:rPr>
          <w:rFonts w:hint="eastAsia"/>
          <w:szCs w:val="22"/>
          <w:lang w:val="en-US" w:eastAsia="zh-CN"/>
        </w:rPr>
      </w:pPr>
      <w:r>
        <w:rPr>
          <w:rFonts w:hint="eastAsia"/>
          <w:szCs w:val="22"/>
          <w:lang w:val="en-US" w:eastAsia="zh-CN"/>
        </w:rPr>
        <w:t>首席承保人、首席理赔人只能有且仅有一个；</w:t>
      </w:r>
    </w:p>
    <w:p>
      <w:pPr>
        <w:pStyle w:val="21"/>
        <w:numPr>
          <w:ilvl w:val="0"/>
          <w:numId w:val="14"/>
        </w:numPr>
        <w:ind w:left="990" w:leftChars="0" w:firstLine="0" w:firstLineChars="0"/>
        <w:rPr>
          <w:rFonts w:hint="eastAsia"/>
          <w:szCs w:val="22"/>
          <w:lang w:val="en-US" w:eastAsia="zh-CN"/>
        </w:rPr>
      </w:pPr>
      <w:r>
        <w:rPr>
          <w:rFonts w:hint="eastAsia"/>
          <w:szCs w:val="22"/>
          <w:lang w:val="en-US" w:eastAsia="zh-CN"/>
        </w:rPr>
        <w:t>共保份额（%）之和必须小于等于100；</w:t>
      </w:r>
    </w:p>
    <w:p>
      <w:pPr>
        <w:pStyle w:val="21"/>
        <w:numPr>
          <w:ilvl w:val="0"/>
          <w:numId w:val="14"/>
        </w:numPr>
        <w:ind w:left="990" w:leftChars="0" w:firstLine="0" w:firstLineChars="0"/>
        <w:rPr>
          <w:rFonts w:hint="eastAsia"/>
          <w:szCs w:val="22"/>
          <w:lang w:val="en-US" w:eastAsia="zh-CN"/>
        </w:rPr>
      </w:pPr>
      <w:r>
        <w:rPr>
          <w:rFonts w:hint="eastAsia"/>
          <w:szCs w:val="22"/>
          <w:lang w:val="en-US" w:eastAsia="zh-CN"/>
        </w:rPr>
        <w:t>只能录入两条记录，一条主方，一条他方。</w:t>
      </w:r>
    </w:p>
    <w:p>
      <w:pPr>
        <w:pStyle w:val="21"/>
        <w:numPr>
          <w:ilvl w:val="0"/>
          <w:numId w:val="0"/>
        </w:numPr>
        <w:ind w:leftChars="300"/>
        <w:rPr>
          <w:rFonts w:hint="eastAsia"/>
          <w:szCs w:val="22"/>
          <w:lang w:val="en-US" w:eastAsia="zh-CN"/>
        </w:rPr>
      </w:pPr>
    </w:p>
    <w:p>
      <w:pPr>
        <w:pStyle w:val="2"/>
        <w:widowControl w:val="0"/>
        <w:numPr>
          <w:ilvl w:val="0"/>
          <w:numId w:val="0"/>
        </w:numPr>
        <w:tabs>
          <w:tab w:val="left" w:pos="720"/>
          <w:tab w:val="clear" w:pos="432"/>
        </w:tabs>
        <w:adjustRightInd w:val="0"/>
        <w:snapToGrid w:val="0"/>
        <w:spacing w:beforeLines="0" w:afterLines="0"/>
        <w:ind w:leftChars="0"/>
        <w:jc w:val="both"/>
        <w:rPr>
          <w:rFonts w:ascii="Times New Roman" w:eastAsia="仿宋_GB2312"/>
          <w:bCs w:val="0"/>
          <w:szCs w:val="28"/>
        </w:rPr>
      </w:pPr>
      <w:bookmarkStart w:id="100" w:name="_Toc18088"/>
      <w:r>
        <w:rPr>
          <w:rFonts w:hint="eastAsia" w:ascii="Times New Roman" w:eastAsia="仿宋_GB2312"/>
          <w:bCs w:val="0"/>
          <w:szCs w:val="28"/>
          <w:lang w:val="en-US" w:eastAsia="zh-CN"/>
        </w:rPr>
        <w:t>3</w:t>
      </w:r>
      <w:r>
        <w:rPr>
          <w:rFonts w:ascii="Times New Roman" w:eastAsia="仿宋_GB2312"/>
          <w:bCs w:val="0"/>
          <w:szCs w:val="28"/>
        </w:rPr>
        <w:t>FAQ</w:t>
      </w:r>
      <w:bookmarkEnd w:id="100"/>
    </w:p>
    <w:p>
      <w:pPr>
        <w:pStyle w:val="21"/>
      </w:pPr>
      <w:r>
        <w:rPr>
          <w:rFonts w:hint="eastAsia"/>
        </w:rPr>
        <w:t>Q：销售渠道信息模块中，无法选择代理人该怎么办？</w:t>
      </w:r>
    </w:p>
    <w:p>
      <w:pPr>
        <w:pStyle w:val="21"/>
      </w:pPr>
      <w:r>
        <w:t>A</w:t>
      </w:r>
      <w:r>
        <w:rPr>
          <w:rFonts w:hint="eastAsia"/>
        </w:rPr>
        <w:t>：销售渠道信息模块中，是销售管理系统提供的可选内容，在SIT测试环境中，销售管理系统提供的为测试数据，所以存在信息不全的情况。在正式环境中，如遇相同情况，可先核查该销售管理系统中是否存在该代理人的有效信息，如存在，则可联系非车承保系统相关运维人员，处理此问题。</w:t>
      </w:r>
    </w:p>
    <w:p>
      <w:pPr>
        <w:pStyle w:val="21"/>
      </w:pPr>
      <w:r>
        <w:rPr>
          <w:rFonts w:hint="eastAsia"/>
        </w:rPr>
        <w:t>Q：点击“提交核保”按钮页面无反应。</w:t>
      </w:r>
    </w:p>
    <w:p>
      <w:pPr>
        <w:pStyle w:val="21"/>
      </w:pPr>
      <w:r>
        <w:rPr>
          <w:rFonts w:hint="eastAsia"/>
        </w:rPr>
        <w:t>A：对于本次测试的雇主责任险而言，提交核保前，系统会校验页面中的必录项是否录入完毕及雇员清单模板是否已经成功导入，确认两项无误后，点击提交核保，会提示提核成功。</w:t>
      </w:r>
    </w:p>
    <w:p>
      <w:pPr>
        <w:pStyle w:val="21"/>
        <w:rPr>
          <w:rFonts w:hint="eastAsia"/>
        </w:rPr>
      </w:pPr>
      <w:r>
        <w:rPr>
          <w:rFonts w:hint="eastAsia"/>
        </w:rPr>
        <w:t>Q：点击“影像上传”按钮页面无反应。</w:t>
      </w:r>
    </w:p>
    <w:p>
      <w:pPr>
        <w:pStyle w:val="21"/>
      </w:pPr>
      <w:r>
        <w:rPr>
          <w:rFonts w:hint="eastAsia"/>
        </w:rPr>
        <w:t>A：点击影像上传按钮后，页面会弹出影像系统的上传页面，并自动带出承保的业务信息。而有些浏览器默认开启了弹窗拦截功能，在无法打开的情况下，可通过浏览器设置取消拦截，获将其加入白名单后，再次点击，即可正常弹出。</w:t>
      </w:r>
    </w:p>
    <w:p>
      <w:pPr>
        <w:pStyle w:val="21"/>
      </w:pPr>
      <w:r>
        <w:rPr>
          <w:rFonts w:hint="eastAsia"/>
        </w:rPr>
        <w:t>Q：暂存后，想要继续录入该暂存单，应该如何操作？</w:t>
      </w:r>
    </w:p>
    <w:p>
      <w:pPr>
        <w:pStyle w:val="21"/>
      </w:pPr>
      <w:r>
        <w:rPr>
          <w:rFonts w:hint="eastAsia"/>
        </w:rPr>
        <w:t>A：暂存后，系统会生成该暂存单的投保单号，可在高级查询-投保单查询中，通过输入投保单号的方式查询该投保单，然后点击操作栏，选择“修改”，即可继续录入该投保单。</w:t>
      </w:r>
    </w:p>
    <w:p>
      <w:pPr>
        <w:pStyle w:val="21"/>
      </w:pPr>
      <w:r>
        <w:rPr>
          <w:rFonts w:hint="eastAsia"/>
        </w:rPr>
        <w:t>Q：再保、联共保业务该如何录单？</w:t>
      </w:r>
    </w:p>
    <w:p>
      <w:pPr>
        <w:pStyle w:val="21"/>
      </w:pPr>
      <w:r>
        <w:rPr>
          <w:rFonts w:hint="eastAsia"/>
        </w:rPr>
        <w:t>A：系统初次上线，暂不支持再保、联共保业务</w:t>
      </w:r>
      <w:r>
        <w:rPr>
          <w:rFonts w:hint="eastAsia"/>
          <w:lang w:val="en-US" w:eastAsia="zh-CN"/>
        </w:rPr>
        <w:t>(主共保、主联保)</w:t>
      </w:r>
      <w:r>
        <w:rPr>
          <w:rFonts w:hint="eastAsia"/>
        </w:rPr>
        <w:t>的录入。后续升级中，系统会根据公共信息中选择的“再保分出情况”、“共保标志”确定是否加载再保模块、联共保模块，对于再保、联共保业务，在相应的模块录入即可。</w:t>
      </w:r>
    </w:p>
    <w:p>
      <w:pPr>
        <w:pStyle w:val="21"/>
      </w:pPr>
      <w:r>
        <w:rPr>
          <w:rFonts w:hint="eastAsia"/>
        </w:rPr>
        <w:t>Q：无法选择佣金。</w:t>
      </w:r>
    </w:p>
    <w:p>
      <w:pPr>
        <w:pStyle w:val="21"/>
        <w:rPr>
          <w:rFonts w:hint="eastAsia"/>
        </w:rPr>
      </w:pPr>
      <w:r>
        <w:rPr>
          <w:rFonts w:hint="eastAsia"/>
        </w:rPr>
        <w:t>A：对于雇主责任险非直销业务，录入佣金之前，需要录入职业类别信息。录入后，系统会自动带出“费用一”，对于存在“费用四”的产品，可通过“添加佣金信息”进行选择。</w:t>
      </w:r>
    </w:p>
    <w:p>
      <w:pPr>
        <w:rPr>
          <w:rFonts w:hint="eastAsia"/>
        </w:rPr>
      </w:pPr>
    </w:p>
    <w:p>
      <w:pPr>
        <w:pStyle w:val="21"/>
        <w:rPr>
          <w:rFonts w:ascii="Times New Roman" w:hAnsi="Times New Roma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2"/>
      <w:rPr>
        <w:rStyle w:val="16"/>
      </w:rPr>
    </w:pPr>
  </w:p>
  <w:p>
    <w:pPr>
      <w:pStyle w:val="10"/>
      <w:ind w:right="360"/>
      <w:jc w:val="right"/>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31</w:t>
    </w:r>
    <w:r>
      <w:rPr>
        <w:kern w:val="0"/>
        <w:szCs w:val="21"/>
      </w:rPr>
      <w:fldChar w:fldCharType="end"/>
    </w:r>
    <w:r>
      <w:rPr>
        <w:rFonts w:hint="eastAsia"/>
        <w:kern w:val="0"/>
        <w:szCs w:val="21"/>
      </w:rPr>
      <w:t xml:space="preserve"> 页 </w: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rPr>
        <w:rFonts w:hint="eastAsia"/>
      </w:rPr>
      <w:t>FI-Cath</w:t>
    </w:r>
    <w:r>
      <w:t>a</w:t>
    </w:r>
    <w:r>
      <w:rPr>
        <w:rFonts w:hint="eastAsia"/>
      </w:rPr>
      <w:t>yIns-RM-国泰产险非车承保系统操作手册                        中科软科技股份有限公司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082B81"/>
    <w:multiLevelType w:val="singleLevel"/>
    <w:tmpl w:val="B6082B81"/>
    <w:lvl w:ilvl="0" w:tentative="0">
      <w:start w:val="1"/>
      <w:numFmt w:val="decimal"/>
      <w:suff w:val="nothing"/>
      <w:lvlText w:val="%1）"/>
      <w:lvlJc w:val="left"/>
      <w:pPr>
        <w:ind w:left="990" w:leftChars="0" w:firstLine="0" w:firstLineChars="0"/>
      </w:pPr>
    </w:lvl>
  </w:abstractNum>
  <w:abstractNum w:abstractNumId="1">
    <w:nsid w:val="D94C58CB"/>
    <w:multiLevelType w:val="singleLevel"/>
    <w:tmpl w:val="D94C58CB"/>
    <w:lvl w:ilvl="0" w:tentative="0">
      <w:start w:val="1"/>
      <w:numFmt w:val="decimal"/>
      <w:lvlText w:val="%1."/>
      <w:lvlJc w:val="left"/>
      <w:pPr>
        <w:ind w:left="425" w:hanging="425"/>
      </w:pPr>
      <w:rPr>
        <w:rFonts w:hint="default"/>
      </w:rPr>
    </w:lvl>
  </w:abstractNum>
  <w:abstractNum w:abstractNumId="2">
    <w:nsid w:val="F9D58847"/>
    <w:multiLevelType w:val="multilevel"/>
    <w:tmpl w:val="F9D588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10F55CF"/>
    <w:multiLevelType w:val="multilevel"/>
    <w:tmpl w:val="010F55C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27334D7"/>
    <w:multiLevelType w:val="multilevel"/>
    <w:tmpl w:val="027334D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38935B0"/>
    <w:multiLevelType w:val="multilevel"/>
    <w:tmpl w:val="138935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0F862E8"/>
    <w:multiLevelType w:val="multilevel"/>
    <w:tmpl w:val="30F862E8"/>
    <w:lvl w:ilvl="0" w:tentative="0">
      <w:start w:val="1"/>
      <w:numFmt w:val="decimal"/>
      <w:pStyle w:val="2"/>
      <w:lvlText w:val="%1"/>
      <w:lvlJc w:val="left"/>
      <w:pPr>
        <w:tabs>
          <w:tab w:val="left" w:pos="432"/>
        </w:tabs>
        <w:ind w:left="432" w:hanging="432"/>
      </w:pPr>
      <w:rPr>
        <w:rFonts w:hint="default" w:ascii="Arial" w:hAnsi="Arial" w:cs="Arial"/>
        <w:b/>
      </w:rPr>
    </w:lvl>
    <w:lvl w:ilvl="1" w:tentative="0">
      <w:start w:val="1"/>
      <w:numFmt w:val="decimal"/>
      <w:pStyle w:val="3"/>
      <w:lvlText w:val="%1.%2"/>
      <w:lvlJc w:val="left"/>
      <w:pPr>
        <w:tabs>
          <w:tab w:val="left" w:pos="576"/>
        </w:tabs>
        <w:ind w:left="576" w:hanging="576"/>
      </w:pPr>
      <w:rPr>
        <w:rFonts w:hint="default" w:ascii="Arial" w:hAnsi="Arial" w:cs="Arial"/>
        <w:sz w:val="36"/>
        <w:szCs w:val="36"/>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lang w:val="en-US" w:eastAsia="zh-CN"/>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3B090151"/>
    <w:multiLevelType w:val="multilevel"/>
    <w:tmpl w:val="3B090151"/>
    <w:lvl w:ilvl="0" w:tentative="0">
      <w:start w:val="1"/>
      <w:numFmt w:val="decimal"/>
      <w:lvlText w:val="%1"/>
      <w:lvlJc w:val="left"/>
      <w:pPr>
        <w:tabs>
          <w:tab w:val="left" w:pos="432"/>
        </w:tabs>
        <w:ind w:left="432" w:hanging="432"/>
      </w:pPr>
      <w:rPr>
        <w:rFonts w:hint="default" w:ascii="Arial" w:hAnsi="Arial"/>
        <w:b/>
        <w:sz w:val="48"/>
        <w:szCs w:val="48"/>
      </w:rPr>
    </w:lvl>
    <w:lvl w:ilvl="1" w:tentative="0">
      <w:start w:val="1"/>
      <w:numFmt w:val="decimal"/>
      <w:lvlText w:val="%1.%2"/>
      <w:lvlJc w:val="left"/>
      <w:pPr>
        <w:tabs>
          <w:tab w:val="left" w:pos="576"/>
        </w:tabs>
        <w:ind w:left="576" w:hanging="576"/>
      </w:pPr>
      <w:rPr>
        <w:rFonts w:hint="default" w:ascii="Arial" w:hAnsi="Arial"/>
        <w:sz w:val="36"/>
        <w:szCs w:val="36"/>
      </w:rPr>
    </w:lvl>
    <w:lvl w:ilvl="2" w:tentative="0">
      <w:start w:val="1"/>
      <w:numFmt w:val="decimal"/>
      <w:lvlText w:val="%1.%2.%3"/>
      <w:lvlJc w:val="left"/>
      <w:pPr>
        <w:tabs>
          <w:tab w:val="left" w:pos="862"/>
        </w:tabs>
        <w:ind w:left="862" w:hanging="720"/>
      </w:pPr>
      <w:rPr>
        <w:rFonts w:hint="default" w:ascii="Arial" w:hAnsi="Arial"/>
        <w:i w:val="0"/>
        <w:sz w:val="28"/>
        <w:szCs w:val="28"/>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42F0468D"/>
    <w:multiLevelType w:val="multilevel"/>
    <w:tmpl w:val="42F0468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4C1E7F4"/>
    <w:multiLevelType w:val="singleLevel"/>
    <w:tmpl w:val="44C1E7F4"/>
    <w:lvl w:ilvl="0" w:tentative="0">
      <w:start w:val="1"/>
      <w:numFmt w:val="decimal"/>
      <w:suff w:val="nothing"/>
      <w:lvlText w:val="%1）"/>
      <w:lvlJc w:val="left"/>
      <w:pPr>
        <w:ind w:left="960" w:leftChars="0" w:firstLine="0" w:firstLineChars="0"/>
      </w:pPr>
    </w:lvl>
  </w:abstractNum>
  <w:abstractNum w:abstractNumId="10">
    <w:nsid w:val="4B390422"/>
    <w:multiLevelType w:val="multilevel"/>
    <w:tmpl w:val="4B3904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376F068"/>
    <w:multiLevelType w:val="singleLevel"/>
    <w:tmpl w:val="6376F068"/>
    <w:lvl w:ilvl="0" w:tentative="0">
      <w:start w:val="1"/>
      <w:numFmt w:val="decimal"/>
      <w:suff w:val="nothing"/>
      <w:lvlText w:val="%1、"/>
      <w:lvlJc w:val="left"/>
    </w:lvl>
  </w:abstractNum>
  <w:abstractNum w:abstractNumId="12">
    <w:nsid w:val="6CF81E21"/>
    <w:multiLevelType w:val="singleLevel"/>
    <w:tmpl w:val="6CF81E21"/>
    <w:lvl w:ilvl="0" w:tentative="0">
      <w:start w:val="1"/>
      <w:numFmt w:val="decimal"/>
      <w:suff w:val="nothing"/>
      <w:lvlText w:val="%1）"/>
      <w:lvlJc w:val="left"/>
      <w:pPr>
        <w:ind w:left="990" w:leftChars="0" w:firstLine="0" w:firstLineChars="0"/>
      </w:pPr>
    </w:lvl>
  </w:abstractNum>
  <w:abstractNum w:abstractNumId="13">
    <w:nsid w:val="73C2227D"/>
    <w:multiLevelType w:val="multilevel"/>
    <w:tmpl w:val="73C222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13"/>
  </w:num>
  <w:num w:numId="6">
    <w:abstractNumId w:val="4"/>
  </w:num>
  <w:num w:numId="7">
    <w:abstractNumId w:val="8"/>
  </w:num>
  <w:num w:numId="8">
    <w:abstractNumId w:val="5"/>
  </w:num>
  <w:num w:numId="9">
    <w:abstractNumId w:val="3"/>
  </w:num>
  <w:num w:numId="10">
    <w:abstractNumId w:val="1"/>
  </w:num>
  <w:num w:numId="11">
    <w:abstractNumId w:val="11"/>
  </w:num>
  <w:num w:numId="12">
    <w:abstractNumId w:val="9"/>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F4770"/>
    <w:rsid w:val="0AF60BA6"/>
    <w:rsid w:val="102B08DD"/>
    <w:rsid w:val="11C856BD"/>
    <w:rsid w:val="19E66DB6"/>
    <w:rsid w:val="1F8239FD"/>
    <w:rsid w:val="23716FD5"/>
    <w:rsid w:val="2A656C56"/>
    <w:rsid w:val="41D11E51"/>
    <w:rsid w:val="49751C8F"/>
    <w:rsid w:val="4CE463F2"/>
    <w:rsid w:val="4F387D84"/>
    <w:rsid w:val="5A5634E4"/>
    <w:rsid w:val="71AC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widowControl/>
      <w:numPr>
        <w:ilvl w:val="0"/>
        <w:numId w:val="1"/>
      </w:numPr>
      <w:spacing w:before="120" w:beforeLines="50" w:after="120" w:afterLines="50"/>
      <w:jc w:val="left"/>
      <w:outlineLvl w:val="0"/>
    </w:pPr>
    <w:rPr>
      <w:rFonts w:ascii="Arial" w:hAnsi="Arial" w:cs="Arial"/>
      <w:b/>
      <w:bCs/>
      <w:kern w:val="44"/>
      <w:sz w:val="28"/>
      <w:szCs w:val="44"/>
    </w:rPr>
  </w:style>
  <w:style w:type="paragraph" w:styleId="3">
    <w:name w:val="heading 2"/>
    <w:basedOn w:val="2"/>
    <w:next w:val="1"/>
    <w:semiHidden/>
    <w:unhideWhenUsed/>
    <w:qFormat/>
    <w:uiPriority w:val="0"/>
    <w:pPr>
      <w:keepNext/>
      <w:keepLines/>
      <w:widowControl/>
      <w:numPr>
        <w:ilvl w:val="1"/>
        <w:numId w:val="1"/>
      </w:numPr>
      <w:tabs>
        <w:tab w:val="clear" w:pos="432"/>
      </w:tabs>
      <w:spacing w:before="120" w:beforeLines="50" w:after="120" w:afterLines="50"/>
      <w:jc w:val="left"/>
      <w:outlineLvl w:val="1"/>
    </w:pPr>
    <w:rPr>
      <w:rFonts w:ascii="Arial" w:hAnsi="Arial"/>
      <w:kern w:val="0"/>
      <w:sz w:val="28"/>
      <w:szCs w:val="32"/>
      <w:lang w:val="zh-CN" w:eastAsia="zh-CN"/>
    </w:rPr>
  </w:style>
  <w:style w:type="paragraph" w:styleId="4">
    <w:name w:val="heading 3"/>
    <w:basedOn w:val="3"/>
    <w:next w:val="1"/>
    <w:semiHidden/>
    <w:unhideWhenUsed/>
    <w:qFormat/>
    <w:uiPriority w:val="0"/>
    <w:pPr>
      <w:keepNext/>
      <w:keepLines/>
      <w:spacing w:before="260" w:after="260" w:line="416" w:lineRule="auto"/>
      <w:outlineLvl w:val="2"/>
    </w:pPr>
    <w:rPr>
      <w:sz w:val="32"/>
      <w:szCs w:val="32"/>
    </w:rPr>
  </w:style>
  <w:style w:type="paragraph" w:styleId="5">
    <w:name w:val="heading 4"/>
    <w:basedOn w:val="4"/>
    <w:next w:val="1"/>
    <w:semiHidden/>
    <w:unhideWhenUsed/>
    <w:qFormat/>
    <w:uiPriority w:val="0"/>
    <w:pPr>
      <w:keepNext/>
      <w:keepLines/>
      <w:spacing w:before="280" w:after="290" w:line="376" w:lineRule="auto"/>
      <w:outlineLvl w:val="3"/>
    </w:pPr>
    <w:rPr>
      <w:rFonts w:asciiTheme="majorHAnsi" w:hAnsiTheme="majorHAnsi" w:eastAsiaTheme="majorEastAsia" w:cstheme="majorBidi"/>
      <w:sz w:val="28"/>
      <w:szCs w:val="28"/>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0"/>
    <w:rPr>
      <w:rFonts w:eastAsia="黑体" w:asciiTheme="majorHAnsi" w:hAnsiTheme="majorHAnsi" w:cstheme="majorBidi"/>
      <w:sz w:val="20"/>
      <w:szCs w:val="20"/>
    </w:rPr>
  </w:style>
  <w:style w:type="paragraph" w:styleId="7">
    <w:name w:val="Body Text Indent"/>
    <w:basedOn w:val="1"/>
    <w:uiPriority w:val="0"/>
    <w:pPr>
      <w:spacing w:after="120"/>
      <w:ind w:left="420" w:leftChars="200"/>
    </w:pPr>
  </w:style>
  <w:style w:type="paragraph" w:styleId="8">
    <w:name w:val="toc 3"/>
    <w:basedOn w:val="1"/>
    <w:next w:val="1"/>
    <w:qFormat/>
    <w:uiPriority w:val="0"/>
    <w:pPr>
      <w:ind w:left="840" w:leftChars="400"/>
    </w:pPr>
  </w:style>
  <w:style w:type="paragraph" w:styleId="9">
    <w:name w:val="Body Text Indent 2"/>
    <w:basedOn w:val="1"/>
    <w:qFormat/>
    <w:uiPriority w:val="0"/>
    <w:pPr>
      <w:spacing w:after="120" w:line="480" w:lineRule="auto"/>
      <w:ind w:left="420" w:leftChars="2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itle"/>
    <w:basedOn w:val="1"/>
    <w:next w:val="1"/>
    <w:qFormat/>
    <w:uiPriority w:val="0"/>
    <w:pPr>
      <w:jc w:val="center"/>
    </w:pPr>
    <w:rPr>
      <w:rFonts w:ascii="宋体"/>
      <w:b/>
      <w:snapToGrid w:val="0"/>
      <w:kern w:val="0"/>
      <w:sz w:val="36"/>
      <w:szCs w:val="20"/>
    </w:rPr>
  </w:style>
  <w:style w:type="character" w:styleId="16">
    <w:name w:val="page number"/>
    <w:basedOn w:val="15"/>
    <w:qFormat/>
    <w:uiPriority w:val="0"/>
  </w:style>
  <w:style w:type="character" w:styleId="17">
    <w:name w:val="Hyperlink"/>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文件标题2 Char Char"/>
    <w:qFormat/>
    <w:uiPriority w:val="0"/>
    <w:rPr>
      <w:sz w:val="22"/>
      <w:szCs w:val="22"/>
    </w:rPr>
  </w:style>
  <w:style w:type="paragraph" w:customStyle="1" w:styleId="21">
    <w:name w:val="样式正文1"/>
    <w:basedOn w:val="1"/>
    <w:qFormat/>
    <w:uiPriority w:val="0"/>
    <w:pPr>
      <w:spacing w:line="360" w:lineRule="auto"/>
      <w:ind w:firstLine="420"/>
    </w:pPr>
    <w:rPr>
      <w:rFonts w:ascii="宋体" w:hAnsi="宋体" w:eastAsiaTheme="minorEastAsia" w:cstheme="minorBidi"/>
      <w:sz w:val="24"/>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xyf</dc:creator>
  <cp:lastModifiedBy>Administrator</cp:lastModifiedBy>
  <dcterms:modified xsi:type="dcterms:W3CDTF">2018-05-22T07:05:55Z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