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Strategic Proposal: Next-Generation Sustainable Lending Framework</w:t>
      </w:r>
    </w:p>
    <w:p>
      <w:pPr>
        <w:pStyle w:val="Subtitle"/>
      </w:pPr>
      <w:r>
        <w:t xml:space="preserve">Evidence from the Sustainable Infrastructure Bond Tracker (October 2021 – October 2026)</w:t>
      </w:r>
    </w:p>
    <w:p>
      <w:pPr>
        <w:pStyle w:val="Date"/>
      </w:pPr>
      <w:r>
        <w:t xml:space="preserve">21 October 2026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Executive Committee / Credit &amp; Sustainability Committee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  <w:r>
        <w:t xml:space="preserve"> </w:t>
      </w:r>
      <w:r>
        <w:rPr>
          <w:b/>
          <w:bCs/>
        </w:rPr>
        <w:t xml:space="preserve">Decision requested:</w:t>
      </w:r>
      <w:r>
        <w:t xml:space="preserve"> </w:t>
      </w:r>
      <w:r>
        <w:t xml:space="preserve">Approve the framework design (Section 3) and the 0–6 month quick wins (Section 4).</w:t>
      </w:r>
    </w:p>
    <w:bookmarkStart w:id="9" w:name="executive-summary"/>
    <w:p>
      <w:pPr>
        <w:pStyle w:val="Heading1"/>
      </w:pPr>
      <w:r>
        <w:t xml:space="preserve">1. 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market funds bank portfolios, not just projects.</w:t>
      </w:r>
      <w:r>
        <w:t xml:space="preserve"> </w:t>
      </w:r>
      <w:r>
        <w:t xml:space="preserve">Of 43 labelled corporate bonds tracked across 12 African and Indian Ocean markets (about USD 3,174m), banks issued 61% of the volume, mostly to refinance eligible green and social loan books. A well-governed lending framework is therefore the precondition for the Bank’s own access to labelled funding.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is set by currency and tenor, not the label.</w:t>
      </w:r>
      <w:r>
        <w:t xml:space="preserve"> </w:t>
      </w:r>
      <w:r>
        <w:t xml:space="preserve">Fixed coupons ranged from 5.5% to 13.5%, depending on the local sovereign curve. On the JSE, spreads widen by about 11 bps per year of tenor. The framework should not promise borrowers a</w:t>
      </w:r>
      <w:r>
        <w:t xml:space="preserve"> </w:t>
      </w:r>
      <w:r>
        <w:t xml:space="preserve">“green discount”</w:t>
      </w:r>
      <w:r>
        <w:t xml:space="preserve"> </w:t>
      </w:r>
      <w:r>
        <w:t xml:space="preserve">that the funding market does not provide.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gaps are commercially open.</w:t>
      </w:r>
      <w:r>
        <w:t xml:space="preserve"> </w:t>
      </w:r>
      <w:r>
        <w:t xml:space="preserve">Water infrastructure (1 deal), climate adaptation and sustainability-linked structures (5% of deals) are under-served. Mauritius has a functioning listed green market (4 deals since October 2023) but no social or sustainability-linked issuance yet.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adopt a three-pillar Sustainable Lending Framework: (i) an eligibility taxonomy aligned to ICMA/LMA principles, (ii) a product menu combining use-of-proceeds and KPI-linked loans, and (iii) committee-level governance with segregation of duties and annual allocation and impact reporting. Size the book for an inaugural labelled bond on the SEM.</w:t>
      </w:r>
    </w:p>
    <w:bookmarkEnd w:id="9"/>
    <w:bookmarkStart w:id="10" w:name="what-the-evidence-shows"/>
    <w:p>
      <w:pPr>
        <w:pStyle w:val="Heading1"/>
      </w:pPr>
      <w:r>
        <w:t xml:space="preserve">2. What the evidence shows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Implication for the 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Banks issued 61% of labelled volume; multi-sector bank bonds are the largest use-of-proceeds category</w:t>
            </w:r>
          </w:p>
        </w:tc>
        <w:tc>
          <w:tcPr/>
          <w:p>
            <w:pPr>
              <w:pStyle w:val="Compact"/>
            </w:pPr>
            <w:r>
              <w:t xml:space="preserve">Build the eligible loan book first; the bond follows. Loan-level tagging is the critical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JSE is the deepest hub (49% of volume, all four labels, transparent FRN pricing)</w:t>
            </w:r>
          </w:p>
        </w:tc>
        <w:tc>
          <w:tcPr/>
          <w:p>
            <w:pPr>
              <w:pStyle w:val="Compact"/>
            </w:pPr>
            <w:r>
              <w:t xml:space="preserve">Use JSE spreads as the regional reference curve for rand and dual-currency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coupons of 5.5–13.5% follow local rates (TZS/KES 10–13.5%; XOF 6–8.75%; USD 5.5%)</w:t>
            </w:r>
          </w:p>
        </w:tc>
        <w:tc>
          <w:tcPr/>
          <w:p>
            <w:pPr>
              <w:pStyle w:val="Compact"/>
            </w:pPr>
            <w:r>
              <w:t xml:space="preserve">Price off the sovereign curve plus credit spread; treat label economics as a small adjustment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tenors (10–15 years) only appear with contracted cash flows (water utility, solar IPP, mortgage refinancing)</w:t>
            </w:r>
          </w:p>
        </w:tc>
        <w:tc>
          <w:tcPr/>
          <w:p>
            <w:pPr>
              <w:pStyle w:val="Compact"/>
            </w:pPr>
            <w:r>
              <w:t xml:space="preserve">Offer 10–15 year infrastructure tenors only with offtake, tariff or DFI guarantee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DFIs anchor landmark deals (IFC, EBRD, BII in Egypt, Morocco and South Africa)</w:t>
            </w:r>
          </w:p>
        </w:tc>
        <w:tc>
          <w:tcPr/>
          <w:p>
            <w:pPr>
              <w:pStyle w:val="Compact"/>
            </w:pPr>
            <w:r>
              <w:t xml:space="preserve">Co-lending and partial guarantees are the fastest route to tenor and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disclosed for only 56% of deals</w:t>
            </w:r>
          </w:p>
        </w:tc>
        <w:tc>
          <w:tcPr/>
          <w:p>
            <w:pPr>
              <w:pStyle w:val="Compact"/>
            </w:pPr>
            <w:r>
              <w:t xml:space="preserve">Transparent reporting is a differentiator with investors and regulators</w:t>
            </w:r>
          </w:p>
        </w:tc>
      </w:tr>
    </w:tbl>
    <w:bookmarkEnd w:id="10"/>
    <w:bookmarkStart w:id="15" w:name="proposed-framework-design"/>
    <w:p>
      <w:pPr>
        <w:pStyle w:val="Heading1"/>
      </w:pPr>
      <w:r>
        <w:t xml:space="preserve">3. Proposed framework design</w:t>
      </w:r>
    </w:p>
    <w:bookmarkStart w:id="11" w:name="eligibility-taxonomy-use-of-proceeds"/>
    <w:p>
      <w:pPr>
        <w:pStyle w:val="Heading2"/>
      </w:pPr>
      <w:r>
        <w:t xml:space="preserve">3.1 Eligibility taxonomy (use of proceeds)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Eligible activities (illustrative)</w:t>
            </w:r>
          </w:p>
        </w:tc>
        <w:tc>
          <w:tcPr/>
          <w:p>
            <w:pPr>
              <w:pStyle w:val="Compact"/>
            </w:pPr>
            <w:r>
              <w:t xml:space="preserve">Example KPI / impact metric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energy</w:t>
            </w:r>
          </w:p>
        </w:tc>
        <w:tc>
          <w:tcPr/>
          <w:p>
            <w:pPr>
              <w:pStyle w:val="Compact"/>
            </w:pPr>
            <w:r>
              <w:t xml:space="preserve">Solar, wind and storage; embedded C&amp;I generation; grid connection</w:t>
            </w:r>
          </w:p>
        </w:tc>
        <w:tc>
          <w:tcPr/>
          <w:p>
            <w:pPr>
              <w:pStyle w:val="Compact"/>
            </w:pPr>
            <w:r>
              <w:t xml:space="preserve">MW installed; tCO2e avoided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buildings</w:t>
            </w:r>
          </w:p>
        </w:tc>
        <w:tc>
          <w:tcPr/>
          <w:p>
            <w:pPr>
              <w:pStyle w:val="Compact"/>
            </w:pPr>
            <w:r>
              <w:t xml:space="preserve">New-build or retrofit with recognised certification (e.g. EDGE, LEED, Green Star)</w:t>
            </w:r>
          </w:p>
        </w:tc>
        <w:tc>
          <w:tcPr/>
          <w:p>
            <w:pPr>
              <w:pStyle w:val="Compact"/>
            </w:pPr>
            <w:r>
              <w:t xml:space="preserve">kWh/m² saving; certification level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&amp; sanitation</w:t>
            </w:r>
          </w:p>
        </w:tc>
        <w:tc>
          <w:tcPr/>
          <w:p>
            <w:pPr>
              <w:pStyle w:val="Compact"/>
            </w:pPr>
            <w:r>
              <w:t xml:space="preserve">Treatment, distribution, non-revenue water reduction, desalination, rainwater harvesting</w:t>
            </w:r>
          </w:p>
        </w:tc>
        <w:tc>
          <w:tcPr/>
          <w:p>
            <w:pPr>
              <w:pStyle w:val="Compact"/>
            </w:pPr>
            <w:r>
              <w:t xml:space="preserve">m³/day capacity; NRW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 (gap)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 adaptation</w:t>
            </w:r>
          </w:p>
        </w:tc>
        <w:tc>
          <w:tcPr/>
          <w:p>
            <w:pPr>
              <w:pStyle w:val="Compact"/>
            </w:pPr>
            <w:r>
              <w:t xml:space="preserve">Coastal and flood defence, drought-resilient agriculture, cyclone-resilient structures</w:t>
            </w:r>
          </w:p>
        </w:tc>
        <w:tc>
          <w:tcPr/>
          <w:p>
            <w:pPr>
              <w:pStyle w:val="Compact"/>
            </w:pPr>
            <w:r>
              <w:t xml:space="preserve">Assets protected; resilience 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 (gap)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transport</w:t>
            </w:r>
          </w:p>
        </w:tc>
        <w:tc>
          <w:tcPr/>
          <w:p>
            <w:pPr>
              <w:pStyle w:val="Compact"/>
            </w:pPr>
            <w:r>
              <w:t xml:space="preserve">Electric fleet, mass transit, charging infrastructure</w:t>
            </w:r>
          </w:p>
        </w:tc>
        <w:tc>
          <w:tcPr/>
          <w:p>
            <w:pPr>
              <w:pStyle w:val="Compact"/>
            </w:pPr>
            <w:r>
              <w:t xml:space="preserve">Vehicles; tCO2e avoided</w:t>
            </w:r>
          </w:p>
        </w:tc>
        <w:tc>
          <w:tcPr/>
          <w:p>
            <w:pPr>
              <w:pStyle w:val="Compact"/>
            </w:pPr>
            <w:r>
              <w:t xml:space="preserve">Opportunistic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Affordable housing</w:t>
            </w:r>
          </w:p>
        </w:tc>
        <w:tc>
          <w:tcPr/>
          <w:p>
            <w:pPr>
              <w:pStyle w:val="Compact"/>
            </w:pPr>
            <w:r>
              <w:t xml:space="preserve">Mortgages and developer finance under defined income thresholds</w:t>
            </w:r>
          </w:p>
        </w:tc>
        <w:tc>
          <w:tcPr/>
          <w:p>
            <w:pPr>
              <w:pStyle w:val="Compact"/>
            </w:pPr>
            <w:r>
              <w:t xml:space="preserve">Households financed; % women borrowers</w:t>
            </w:r>
          </w:p>
        </w:tc>
        <w:tc>
          <w:tcPr/>
          <w:p>
            <w:pPr>
              <w:pStyle w:val="Compact"/>
            </w:pPr>
            <w:r>
              <w:t xml:space="preserve">Core (social)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MSME &amp; inclusion</w:t>
            </w:r>
          </w:p>
        </w:tc>
        <w:tc>
          <w:tcPr/>
          <w:p>
            <w:pPr>
              <w:pStyle w:val="Compact"/>
            </w:pPr>
            <w:r>
              <w:t xml:space="preserve">Women- and youth-led SMEs; underserved segments</w:t>
            </w:r>
          </w:p>
        </w:tc>
        <w:tc>
          <w:tcPr/>
          <w:p>
            <w:pPr>
              <w:pStyle w:val="Compact"/>
            </w:pPr>
            <w:r>
              <w:t xml:space="preserve">Loans and value disbursed; jobs supported</w:t>
            </w:r>
          </w:p>
        </w:tc>
        <w:tc>
          <w:tcPr/>
          <w:p>
            <w:pPr>
              <w:pStyle w:val="Compact"/>
            </w:pPr>
            <w:r>
              <w:t xml:space="preserve">Core (social)</w:t>
            </w:r>
          </w:p>
        </w:tc>
      </w:tr>
    </w:tbl>
    <w:p>
      <w:pPr>
        <w:pStyle w:val="BodyText"/>
      </w:pPr>
      <w:r>
        <w:t xml:space="preserve">Exclusions follow the Bank’s existing exclusion list, plus fossil-fuel generation, so the framework cannot be used for transition-washing.</w:t>
      </w:r>
    </w:p>
    <w:bookmarkEnd w:id="11"/>
    <w:bookmarkStart w:id="12" w:name="product-menu"/>
    <w:p>
      <w:pPr>
        <w:pStyle w:val="Heading2"/>
      </w:pPr>
      <w:r>
        <w:t xml:space="preserve">3.2 Product menu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Green / social loans</w:t>
      </w:r>
      <w:r>
        <w:t xml:space="preserve"> </w:t>
      </w:r>
      <w:r>
        <w:t xml:space="preserve">(use of proceeds, aligned to the LMA Green Loan and Social Loan Principles): ring-fenced, tagged at origination, and eligible for the future bond pool.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Sustainability-linked loans</w:t>
      </w:r>
      <w:r>
        <w:t xml:space="preserve"> </w:t>
      </w:r>
      <w:r>
        <w:t xml:space="preserve">(aligned to the LMA Sustainability-Linked Loan Principles): general-purpose corporate facilities with a two-way margin ratchet tied to 1–3 material, externally verified KPIs. The ratchet size is to be calibrated by Credit and Treasury against the funding curve.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Infrastructure term facilities</w:t>
      </w:r>
      <w:r>
        <w:t xml:space="preserve"> </w:t>
      </w:r>
      <w:r>
        <w:t xml:space="preserve">(10–15 years): only with contracted revenue and a DFI partial guarantee or co-lending, following the Tanga UWASA, CEC and Poro Power precedents.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Labelled funding:</w:t>
      </w:r>
      <w:r>
        <w:t xml:space="preserve"> </w:t>
      </w:r>
      <w:r>
        <w:t xml:space="preserve">once the tagged book reaches a size comparable with regional deals (median deal in the register is USD 55m), issue an inaugural green or sustainability bond on the SEM, using the existing FSC green bond guidelines.</w:t>
      </w:r>
    </w:p>
    <w:bookmarkEnd w:id="12"/>
    <w:bookmarkStart w:id="13" w:name="pricing-principles"/>
    <w:p>
      <w:pPr>
        <w:pStyle w:val="Heading2"/>
      </w:pPr>
      <w:r>
        <w:t xml:space="preserve">3.3 Pricing principles</w:t>
      </w:r>
    </w:p>
    <w:p>
      <w:pPr>
        <w:pStyle w:val="Compact"/>
        <w:numPr>
          <w:ilvl w:val="0"/>
          <w:numId w:val="1003"/>
        </w:numPr>
      </w:pPr>
      <w:r>
        <w:t xml:space="preserve">Base rate = sovereign curve for the loan currency + client credit spread + tenor premium. JSE evidence suggests about 11 bps per year as a reference slope.</w:t>
      </w:r>
    </w:p>
    <w:p>
      <w:pPr>
        <w:pStyle w:val="Compact"/>
        <w:numPr>
          <w:ilvl w:val="0"/>
          <w:numId w:val="1003"/>
        </w:numPr>
      </w:pPr>
      <w:r>
        <w:t xml:space="preserve">A label-linked concession is permitted only where it is matched by a funding benefit (DFI line, labelled bond, guarantee) and documented in the credit paper.</w:t>
      </w:r>
    </w:p>
    <w:p>
      <w:pPr>
        <w:pStyle w:val="Compact"/>
        <w:numPr>
          <w:ilvl w:val="0"/>
          <w:numId w:val="1003"/>
        </w:numPr>
      </w:pPr>
      <w:r>
        <w:t xml:space="preserve">SLL ratchets must be symmetrical (penalty and reward) to remain defensible.</w:t>
      </w:r>
    </w:p>
    <w:bookmarkEnd w:id="13"/>
    <w:bookmarkStart w:id="14" w:name="governance-and-controls"/>
    <w:p>
      <w:pPr>
        <w:pStyle w:val="Heading2"/>
      </w:pPr>
      <w:r>
        <w:t xml:space="preserve">3.4 Governance and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Oversight</w:t>
            </w:r>
          </w:p>
        </w:tc>
        <w:tc>
          <w:tcPr/>
          <w:p>
            <w:pPr>
              <w:pStyle w:val="Compact"/>
            </w:pPr>
            <w:r>
              <w:t xml:space="preserve">Sustainable Finance Committee (CRO, CFO, Head of Corporate, Head of Sustainability) reporting to the Board Risk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Segregation of duties</w:t>
            </w:r>
          </w:p>
        </w:tc>
        <w:tc>
          <w:tcPr/>
          <w:p>
            <w:pPr>
              <w:pStyle w:val="Compact"/>
            </w:pPr>
            <w:r>
              <w:t xml:space="preserve">Relationship managers originate; an independent Sustainability/Risk unit confirms eligibility; Finance controls the allocation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assurance</w:t>
            </w:r>
          </w:p>
        </w:tc>
        <w:tc>
          <w:tcPr/>
          <w:p>
            <w:pPr>
              <w:pStyle w:val="Compact"/>
            </w:pPr>
            <w:r>
              <w:t xml:space="preserve">Second-party opinion on the framework; annual limited assurance on allocation and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alignment</w:t>
            </w:r>
          </w:p>
        </w:tc>
        <w:tc>
          <w:tcPr/>
          <w:p>
            <w:pPr>
              <w:pStyle w:val="Compact"/>
            </w:pPr>
            <w:r>
              <w:t xml:space="preserve">Bank of Mauritius Guideline on Climate-related and Environmental Financial Risk Management (April 2022); FSC Guidelines for Issue of Corporate and Green Bonds; ICMA GBP/SBP/SBG/SLBP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Annual allocation and impact report; register published with the bond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Loan-level tag, evidence pack and approval stored in the core banking and credit systems</w:t>
            </w:r>
          </w:p>
        </w:tc>
      </w:tr>
    </w:tbl>
    <w:bookmarkEnd w:id="14"/>
    <w:bookmarkEnd w:id="15"/>
    <w:bookmarkStart w:id="16" w:name="implementation-roadmap"/>
    <w:p>
      <w:pPr>
        <w:pStyle w:val="Heading1"/>
      </w:pPr>
      <w:r>
        <w:t xml:space="preserve">4. Implementation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Quick wins (0–6 months)</w:t>
            </w:r>
          </w:p>
        </w:tc>
        <w:tc>
          <w:tcPr/>
          <w:p>
            <w:pPr>
              <w:pStyle w:val="Compact"/>
            </w:pPr>
            <w:r>
              <w:t xml:space="preserve">Strategic wins (6–24 months)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Approve taxonomy and exclusion list; board-approved framework</w:t>
            </w:r>
          </w:p>
        </w:tc>
        <w:tc>
          <w:tcPr/>
          <w:p>
            <w:pPr>
              <w:pStyle w:val="Compact"/>
            </w:pPr>
            <w:r>
              <w:t xml:space="preserve">Commission SPO; publish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Add a sustainability tag and KPI fields to loan origination</w:t>
            </w:r>
          </w:p>
        </w:tc>
        <w:tc>
          <w:tcPr/>
          <w:p>
            <w:pPr>
              <w:pStyle w:val="Compact"/>
            </w:pPr>
            <w:r>
              <w:t xml:space="preserve">Automated allocation register and impact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Launch green/social loan variants of existing products</w:t>
            </w:r>
          </w:p>
        </w:tc>
        <w:tc>
          <w:tcPr/>
          <w:p>
            <w:pPr>
              <w:pStyle w:val="Compact"/>
            </w:pPr>
            <w:r>
              <w:t xml:space="preserve">SLL product for top corporate clients; water and adaptation infrastructure desk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Open discussions with DFIs on risk-sharing lines</w:t>
            </w:r>
          </w:p>
        </w:tc>
        <w:tc>
          <w:tcPr/>
          <w:p>
            <w:pPr>
              <w:pStyle w:val="Compact"/>
            </w:pPr>
            <w:r>
              <w:t xml:space="preserve">Co-lending or guarantee programme for 10–15 year infrastructure tenors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Baseline the eligible legacy book</w:t>
            </w:r>
          </w:p>
        </w:tc>
        <w:tc>
          <w:tcPr/>
          <w:p>
            <w:pPr>
              <w:pStyle w:val="Compact"/>
            </w:pPr>
            <w:r>
              <w:t xml:space="preserve">Inaugural labelled bond on the SEM</w:t>
            </w:r>
          </w:p>
        </w:tc>
      </w:tr>
    </w:tbl>
    <w:bookmarkEnd w:id="16"/>
    <w:bookmarkStart w:id="17" w:name="risks-assumptions-and-open-items"/>
    <w:p>
      <w:pPr>
        <w:pStyle w:val="Heading1"/>
      </w:pPr>
      <w:r>
        <w:t xml:space="preserve">5. Risks, assumptions and open items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Greenwashing and mis-labelling risk:</w:t>
      </w:r>
      <w:r>
        <w:t xml:space="preserve"> </w:t>
      </w:r>
      <w:r>
        <w:t xml:space="preserve">mitigated by independent eligibility sign-off, SPO and annual assurance.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KPI materiality (SLLs):</w:t>
      </w:r>
      <w:r>
        <w:t xml:space="preserve"> </w:t>
      </w:r>
      <w:r>
        <w:t xml:space="preserve">weak KPIs undermine credibility. KPIs need committee approval and third-party verification.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FX and tenor mismatch:</w:t>
      </w:r>
      <w:r>
        <w:t xml:space="preserve"> </w:t>
      </w:r>
      <w:r>
        <w:t xml:space="preserve">long-tenor local-currency lending needs matching funding or DFI support.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Concentration:</w:t>
      </w:r>
      <w:r>
        <w:t xml:space="preserve"> </w:t>
      </w:r>
      <w:r>
        <w:t xml:space="preserve">a pipeline weighted to solar and real estate should be monitored against sector limits.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Assumptions:</w:t>
      </w:r>
      <w:r>
        <w:t xml:space="preserve"> </w:t>
      </w:r>
      <w:r>
        <w:t xml:space="preserve">the tracker is a curated sample (43 deals). USD values for some deals use indicative FX, and 44% of deals have no disclosed pricing. Findings are directional, not a market-share statistic.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items:</w:t>
      </w:r>
      <w:r>
        <w:t xml:space="preserve"> </w:t>
      </w:r>
      <w:r>
        <w:t xml:space="preserve">confirm the current eligible-book baseline; agree the ratchet calibration with Treasury; confirm with Legal and Compliance any updates to BoM/FSC requirements since the documents cited.</w:t>
      </w:r>
    </w:p>
    <w:bookmarkEnd w:id="17"/>
    <w:bookmarkStart w:id="18" w:name="next-optimisation-step"/>
    <w:p>
      <w:pPr>
        <w:pStyle w:val="Heading1"/>
      </w:pPr>
      <w:r>
        <w:t xml:space="preserve">6. Next optimisation step</w:t>
      </w:r>
    </w:p>
    <w:p>
      <w:pPr>
        <w:pStyle w:val="FirstParagraph"/>
      </w:pPr>
      <w:r>
        <w:t xml:space="preserve">Run a</w:t>
      </w:r>
      <w:r>
        <w:t xml:space="preserve"> </w:t>
      </w:r>
      <w:r>
        <w:rPr>
          <w:b/>
          <w:bCs/>
        </w:rPr>
        <w:t xml:space="preserve">matched greenium test</w:t>
      </w:r>
      <w:r>
        <w:t xml:space="preserve">: pair each JSE labelled note with a same-issuer vanilla note priced in the same week to quantify any label premium. Then refresh the tracker quarterly so the pricing assumptions in Section 3.3 stay current.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Sustainable Infrastructure Bond Tracker register (</w:t>
      </w:r>
      <w:r>
        <w:rPr>
          <w:rStyle w:val="VerbatimChar"/>
        </w:rPr>
        <w:t xml:space="preserve">data/raw/bonds_raw.csv</w:t>
      </w:r>
      <w:r>
        <w:t xml:space="preserve">, per-bond URLs); Bank of Mauritius,</w:t>
      </w:r>
      <w:r>
        <w:t xml:space="preserve"> </w:t>
      </w:r>
      <w:r>
        <w:rPr>
          <w:i/>
          <w:iCs/>
        </w:rPr>
        <w:t xml:space="preserve">Guideline on Climate-related and Environmental Financial Risk Management</w:t>
      </w:r>
      <w:r>
        <w:t xml:space="preserve"> </w:t>
      </w:r>
      <w:r>
        <w:t xml:space="preserve">(01.04.2022), bom.mu; FSC Mauritius,</w:t>
      </w:r>
      <w:r>
        <w:t xml:space="preserve"> </w:t>
      </w:r>
      <w:r>
        <w:rPr>
          <w:i/>
          <w:iCs/>
        </w:rPr>
        <w:t xml:space="preserve">Guidelines for Issue of Corporate and Green Bonds in Mauritius</w:t>
      </w:r>
      <w:r>
        <w:t xml:space="preserve">, fscmauritius.org; SEM, first green bond listing (Cim Finance, 25 October 2023), stockexchangeofmauritius.com.</w:t>
      </w:r>
    </w:p>
    <w:bookmarkEnd w:id="18"/>
    <w:sectPr>
      <w:pgMar w:bottom="1020" w:left="1134" w:right="1134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0" w:before="0"/>
    </w:pPr>
    <w:rPr>
      <w:rFonts w:ascii="Calibri" w:cs="Calibri" w:eastAsia="Calibri" w:hAnsi="Calibri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0" w:before="480"/>
      <w:jc w:val="center"/>
    </w:pPr>
    <w:rPr>
      <w:rFonts w:ascii="Calibri Light" w:cs="Calibri Light" w:eastAsia="Calibri Light" w:hAnsi="Calibri Light"/>
      <w:b/>
      <w:bCs/>
      <w:color w:val="C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" w:before="240"/>
      <w:jc w:val="center"/>
    </w:pPr>
    <w:rPr>
      <w:rFonts w:ascii="Calibri Light" w:cs="Calibri Light" w:eastAsia="Calibri Light" w:hAnsi="Calibri Light"/>
      <w:b w:val="0"/>
      <w:color w:val="404040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spacing w:after="80"/>
      <w:jc w:val="center"/>
    </w:pPr>
    <w:rPr>
      <w:rFonts w:ascii="Calibri" w:cs="Calibri" w:eastAsia="Calibri" w:hAnsi="Calibri"/>
      <w:sz w:val="17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40" w:before="200"/>
      <w:outlineLvl w:val="0"/>
    </w:pPr>
    <w:rPr>
      <w:rFonts w:ascii="Calibri Light" w:cs="Calibri Light" w:eastAsia="Calibri Light" w:hAnsi="Calibri Light"/>
      <w:b/>
      <w:bCs/>
      <w:color w:val="C00000"/>
      <w:sz w:val="25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00"/>
      <w:outlineLvl w:val="1"/>
    </w:pPr>
    <w:rPr>
      <w:rFonts w:ascii="Calibri Light" w:cs="Calibri Light" w:eastAsia="Calibri Light" w:hAnsi="Calibri Light"/>
      <w:b/>
      <w:bCs/>
      <w:color w:val="404040"/>
      <w:sz w:val="21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bottom w:color="BFBFBF" w:sz="4" w:val="single"/>
        <w:insideH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Proposal: Next-Generation Sustainable Lending Framework</dc:title>
  <dc:creator/>
  <cp:keywords/>
  <dcterms:created xsi:type="dcterms:W3CDTF">2026-10-21T16:41:13Z</dcterms:created>
  <dcterms:modified xsi:type="dcterms:W3CDTF">2026-10-21T16:41:13Z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October 2026</vt:lpwstr>
  </property>
  <property fmtid="{D5CDD505-2E9C-101B-9397-08002B2CF9AE}" pid="3" name="output">
    <vt:lpwstr/>
  </property>
  <property fmtid="{D5CDD505-2E9C-101B-9397-08002B2CF9AE}" pid="4" name="subtitle">
    <vt:lpwstr>Evidence from the Sustainable Infrastructure Bond Tracker (October 2021 – October 2026)</vt:lpwstr>
  </property>
</Properties>
</file>