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918" w14:textId="576FC7DD" w:rsidR="001C380D" w:rsidRDefault="00114580">
      <w:pPr>
        <w:spacing w:after="160" w:line="278" w:lineRule="auto"/>
        <w:ind w:left="0" w:firstLine="0"/>
        <w:rPr>
          <w:rFonts w:ascii="Arquitecta Black" w:eastAsiaTheme="majorEastAsia" w:hAnsi="Arquitecta Black" w:cstheme="majorBidi"/>
          <w:color w:val="0F4761" w:themeColor="accent1" w:themeShade="BF"/>
          <w:sz w:val="28"/>
          <w:szCs w:val="28"/>
          <w:lang w:val="en-US"/>
        </w:rPr>
      </w:pPr>
      <w:r>
        <w:rPr>
          <w:noProof/>
          <w:lang w:val="en-US"/>
        </w:rPr>
        <mc:AlternateContent>
          <mc:Choice Requires="wps">
            <w:drawing>
              <wp:anchor distT="0" distB="0" distL="114300" distR="114300" simplePos="0" relativeHeight="251659264" behindDoc="0" locked="0" layoutInCell="1" allowOverlap="1" wp14:anchorId="76534C0A" wp14:editId="0BB36AE2">
                <wp:simplePos x="0" y="0"/>
                <wp:positionH relativeFrom="column">
                  <wp:posOffset>700644</wp:posOffset>
                </wp:positionH>
                <wp:positionV relativeFrom="paragraph">
                  <wp:posOffset>6412676</wp:posOffset>
                </wp:positionV>
                <wp:extent cx="2663687" cy="1081377"/>
                <wp:effectExtent l="0" t="0" r="0" b="5080"/>
                <wp:wrapNone/>
                <wp:docPr id="1001" name="Text Box 4"/>
                <wp:cNvGraphicFramePr/>
                <a:graphic xmlns:a="http://schemas.openxmlformats.org/drawingml/2006/main">
                  <a:graphicData uri="http://schemas.microsoft.com/office/word/2010/wordprocessingShape">
                    <wps:wsp>
                      <wps:cNvSpPr txBox="1"/>
                      <wps:spPr>
                        <a:xfrm>
                          <a:off x="0" y="0"/>
                          <a:ext cx="2663687" cy="1081377"/>
                        </a:xfrm>
                        <a:prstGeom prst="rect">
                          <a:avLst/>
                        </a:prstGeom>
                        <a:noFill/>
                        <a:ln w="6350">
                          <a:noFill/>
                        </a:ln>
                      </wps:spPr>
                      <wps:txb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534C0A" id="_x0000_t202" coordsize="21600,21600" o:spt="202" path="m,l,21600r21600,l21600,xe">
                <v:stroke joinstyle="miter"/>
                <v:path gradientshapeok="t" o:connecttype="rect"/>
              </v:shapetype>
              <v:shape id="Text Box 4" o:spid="_x0000_s1026" type="#_x0000_t202" style="position:absolute;margin-left:55.15pt;margin-top:504.95pt;width:209.75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72GQIAAC0EAAAOAAAAZHJzL2Uyb0RvYy54bWysU02P2jAQvVfqf7B8L0mABRYRVnRXVJXQ&#10;7kpstWfj2CSS43FtQ0J/fcdO+NC2p6oXZ8YzmY/3nhcPba3IUVhXgc5pNkgpEZpDUel9Tn+8rb/M&#10;KHGe6YIp0CKnJ+How/Lzp0Vj5mIIJahCWIJFtJs3Jqel92aeJI6XomZuAEZoDEqwNfPo2n1SWNZg&#10;9VolwzSdJA3Ywljgwjm8feqCdBnrSym4f5HSCU9UTnE2H08bz104k+WCzfeWmbLi/RjsH6aoWaWx&#10;6aXUE/OMHGz1R6m64hYcSD/gUCcgZcVF3AG3ydIP22xLZkTcBcFx5gKT+39l+fNxa14t8e1XaJHA&#10;AEhj3NzhZdinlbYOX5yUYBwhPF1gE60nHC+Hk8loMptSwjGWpbNsNJ2GOsn1d2Od/yagJsHIqUVe&#10;IlzsuHG+Sz2nhG4a1pVSkRulSZPTyegujT9cIlhcaexxHTZYvt21/QY7KE64mIWOc2f4usLmG+b8&#10;K7NIMu6CwvUveEgF2AR6i5IS7K+/3Yd8xB6jlDQompy6nwdmBSXqu0ZW7rPxOKgsOuO76RAdexvZ&#10;3Ub0oX4E1GWGT8TwaIZ8r86mtFC/o75XoSuGmObYO6f+bD76Tsr4PrhYrWIS6sowv9Fbw0PpAGeA&#10;9q19Z9b0+Huk7hnO8mLzDzR0uR0Rq4MHWUWOAsAdqj3uqMnIcv9+guhv/Zh1feXL3wAAAP//AwBQ&#10;SwMEFAAGAAgAAAAhAMm+GD3iAAAADQEAAA8AAABkcnMvZG93bnJldi54bWxMj81OwzAQhO9IfQdr&#10;K3GjdoOKkhCnqiJVSAgOLb1wc+JtEuGfELtt4OnZnuhtR/NpdqZYT9awM46h907CciGAoWu87l0r&#10;4fCxfUiBhaicVsY7lPCDAdbl7K5QufYXt8PzPraMQlzIlYQuxiHnPDQdWhUWfkBH3tGPVkWSY8v1&#10;qC4Ubg1PhHjiVvWOPnRqwKrD5mt/shJeq+272tWJTX9N9fJ23Azfh8+VlPfzafMMLOIU/2G41qfq&#10;UFKn2p+cDsyQXopHQukQIsuAEbJKMlpTX71UJMDLgt+uKP8AAAD//wMAUEsBAi0AFAAGAAgAAAAh&#10;ALaDOJL+AAAA4QEAABMAAAAAAAAAAAAAAAAAAAAAAFtDb250ZW50X1R5cGVzXS54bWxQSwECLQAU&#10;AAYACAAAACEAOP0h/9YAAACUAQAACwAAAAAAAAAAAAAAAAAvAQAAX3JlbHMvLnJlbHNQSwECLQAU&#10;AAYACAAAACEApGL+9hkCAAAtBAAADgAAAAAAAAAAAAAAAAAuAgAAZHJzL2Uyb0RvYy54bWxQSwEC&#10;LQAUAAYACAAAACEAyb4YPeIAAAANAQAADwAAAAAAAAAAAAAAAABzBAAAZHJzL2Rvd25yZXYueG1s&#10;UEsFBgAAAAAEAAQA8wAAAIIFAAAAAA==&#10;" filled="f" stroked="f" strokeweight=".5pt">
                <v:textbo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v:textbox>
              </v:shape>
            </w:pict>
          </mc:Fallback>
        </mc:AlternateContent>
      </w:r>
      <w:sdt>
        <w:sdtPr>
          <w:rPr>
            <w:lang w:val="en-US"/>
          </w:rPr>
          <w:id w:val="-2044194771"/>
          <w:docPartObj>
            <w:docPartGallery w:val="Cover Pages"/>
            <w:docPartUnique/>
          </w:docPartObj>
        </w:sdtPr>
        <w:sdtContent>
          <w:r w:rsidR="001C380D" w:rsidRPr="001C380D">
            <w:rPr>
              <w:rFonts w:asciiTheme="minorHAnsi" w:eastAsiaTheme="minorEastAsia" w:hAnsiTheme="minorHAnsi" w:cstheme="majorBidi"/>
              <w:noProof/>
              <w:color w:val="0F4761" w:themeColor="accent1" w:themeShade="BF"/>
              <w:kern w:val="0"/>
              <w:sz w:val="22"/>
              <w:szCs w:val="22"/>
              <w:lang w:val="en-US"/>
              <w14:ligatures w14:val="none"/>
            </w:rPr>
            <w:drawing>
              <wp:inline distT="0" distB="0" distL="0" distR="0" wp14:anchorId="3129E5D2" wp14:editId="7441AF24">
                <wp:extent cx="5731510" cy="8296910"/>
                <wp:effectExtent l="0" t="0" r="2540" b="8890"/>
                <wp:docPr id="1002" name="Picture 1" descr="A blue and grey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co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96910"/>
                        </a:xfrm>
                        <a:prstGeom prst="rect">
                          <a:avLst/>
                        </a:prstGeom>
                      </pic:spPr>
                    </pic:pic>
                  </a:graphicData>
                </a:graphic>
              </wp:inline>
            </w:drawing>
          </w:r>
          <w:r w:rsidR="001C380D">
            <w:rPr>
              <w:lang w:val="en-US"/>
            </w:rPr>
            <w:br w:type="page"/>
          </w:r>
        </w:sdtContent>
      </w:sdt>
    </w:p>
    <w:p w14:paraId="1DB8DC99" w14:textId="523CD42B" w:rsidR="008F428C" w:rsidRPr="00CD0000" w:rsidRDefault="00FA13A4" w:rsidP="00CD0000">
      <w:pPr>
        <w:pStyle w:val="Heading3"/>
      </w:pPr>
      <w:r w:rsidRPr="00CD0000">
        <w:lastRenderedPageBreak/>
        <w:t>01 Executive Summary</w:t>
      </w:r>
    </w:p>
    <w:p w14:paraId="42D67A0D" w14:textId="41FAED46" w:rsidR="00FA13A4" w:rsidRPr="00CD0000" w:rsidRDefault="000844C2" w:rsidP="00CD0000">
      <w:pPr>
        <w:pStyle w:val="Heading1"/>
      </w:pPr>
      <w:r w:rsidRPr="00CD0000">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 xml:space="preserve">Project Name</w:t>
            </w:r>
          </w:p>
        </w:tc>
        <w:tc>
          <w:tcPr>
            <w:tcW w:w="4503" w:type="dxa"/>
          </w:tcPr>
          <w:p w14:paraId="05D21E87" w14:textId="06950A28" w:rsidR="000844C2" w:rsidRPr="00622D8E" w:rsidRDefault="00622D8E" w:rsidP="000844C2">
            <w:pPr>
              <w:ind w:left="0" w:firstLine="0"/>
              <w:rPr>
                <w:lang w:eastAsia="en-US"/>
              </w:rPr>
            </w:pPr>
            <w:r w:rsidRPr="00622D8E">
              <w:rPr>
                <w:lang w:eastAsia="en-US"/>
              </w:rPr>
              <w:t xml:space="preserve">Blythe Road`</w:t>
            </w:r>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 xml:space="preserve">Project Description</w:t>
            </w:r>
          </w:p>
        </w:tc>
        <w:tc>
          <w:tcPr>
            <w:tcW w:w="4503" w:type="dxa"/>
          </w:tcPr>
          <w:p w14:paraId="7D495EE9" w14:textId="75DB466D" w:rsidR="000844C2" w:rsidRDefault="00371E60" w:rsidP="000844C2">
            <w:pPr>
              <w:ind w:left="0" w:firstLine="0"/>
              <w:rPr>
                <w:lang w:val="en-US" w:eastAsia="en-US"/>
              </w:rPr>
            </w:pPr>
            <w:r w:rsidRPr="00371E60">
              <w:rPr>
                <w:lang w:eastAsia="en-US"/>
              </w:rPr>
              <w:t xml:space="preserve"/>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 xml:space="preserve">Number of responses</w:t>
            </w:r>
          </w:p>
        </w:tc>
        <w:tc>
          <w:tcPr>
            <w:tcW w:w="4503" w:type="dxa"/>
          </w:tcPr>
          <w:p w14:paraId="64D3CE21" w14:textId="550E5F5A" w:rsidR="000844C2" w:rsidRDefault="00371E60" w:rsidP="000844C2">
            <w:pPr>
              <w:ind w:left="0" w:firstLine="0"/>
              <w:rPr>
                <w:lang w:val="en-US" w:eastAsia="en-US"/>
              </w:rPr>
            </w:pPr>
            <w:r w:rsidRPr="00371E60">
              <w:rPr>
                <w:lang w:eastAsia="en-US"/>
              </w:rPr>
              <w:t xml:space="preserve">3</w:t>
            </w:r>
          </w:p>
        </w:tc>
      </w:tr>
    </w:tbl>
    <w:p w14:paraId="23C9295D" w14:textId="281EF9C9" w:rsidR="005570CC" w:rsidRDefault="00F407AA" w:rsidP="00CD0000">
      <w:pPr>
        <w:pStyle w:val="Heading1"/>
      </w:pPr>
      <w: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253B2A">
        <w:tc>
          <w:tcPr>
            <w:tcW w:w="2793" w:type="dxa"/>
            <w:shd w:val="clear" w:color="auto" w:fill="425667"/>
          </w:tcPr>
          <w:p w14:paraId="3F35687C" w14:textId="16D6DAF6" w:rsidR="00241632" w:rsidRPr="00253B2A" w:rsidRDefault="00241632" w:rsidP="00F407AA">
            <w:pPr>
              <w:ind w:left="0" w:firstLine="0"/>
              <w:rPr>
                <w:color w:val="32C3E2"/>
                <w:lang w:val="en-US" w:eastAsia="en-US"/>
              </w:rPr>
            </w:pPr>
            <w:r w:rsidRPr="00253B2A">
              <w:rPr>
                <w:color w:val="32C3E2"/>
                <w:lang w:val="en-US" w:eastAsia="en-US"/>
              </w:rPr>
              <w:t>Contractor</w:t>
            </w:r>
          </w:p>
        </w:tc>
        <w:tc>
          <w:tcPr>
            <w:tcW w:w="2133" w:type="dxa"/>
            <w:shd w:val="clear" w:color="auto" w:fill="425667"/>
          </w:tcPr>
          <w:p w14:paraId="7EF6237A" w14:textId="4655FA93" w:rsidR="00241632" w:rsidRPr="00253B2A" w:rsidRDefault="00241632" w:rsidP="005F1AC3">
            <w:pPr>
              <w:rPr>
                <w:color w:val="32C3E2"/>
                <w:lang w:val="en-US" w:eastAsia="en-US"/>
              </w:rPr>
            </w:pPr>
            <w:r w:rsidRPr="00253B2A">
              <w:rPr>
                <w:color w:val="32C3E2"/>
                <w:lang w:val="en-US" w:eastAsia="en-US"/>
              </w:rPr>
              <w:t>Final Adjusted Tender Sum</w:t>
            </w:r>
          </w:p>
        </w:tc>
        <w:tc>
          <w:tcPr>
            <w:tcW w:w="2282" w:type="dxa"/>
            <w:shd w:val="clear" w:color="auto" w:fill="425667"/>
          </w:tcPr>
          <w:p w14:paraId="43BBF5A2" w14:textId="3C96EF2E" w:rsidR="00241632" w:rsidRPr="00253B2A" w:rsidRDefault="00241632" w:rsidP="00F407AA">
            <w:pPr>
              <w:ind w:left="0" w:firstLine="0"/>
              <w:rPr>
                <w:color w:val="32C3E2"/>
                <w:lang w:val="en-US" w:eastAsia="en-US"/>
              </w:rPr>
            </w:pPr>
            <w:r w:rsidRPr="00253B2A">
              <w:rPr>
                <w:color w:val="32C3E2"/>
                <w:lang w:val="en-US" w:eastAsia="en-US"/>
              </w:rPr>
              <w:t>Deduct Construction Budget</w:t>
            </w:r>
          </w:p>
        </w:tc>
        <w:tc>
          <w:tcPr>
            <w:tcW w:w="1798" w:type="dxa"/>
            <w:shd w:val="clear" w:color="auto" w:fill="425667"/>
          </w:tcPr>
          <w:p w14:paraId="64997824" w14:textId="3A9803A3" w:rsidR="00241632" w:rsidRPr="00253B2A" w:rsidRDefault="00400605" w:rsidP="00F407AA">
            <w:pPr>
              <w:ind w:left="0" w:firstLine="0"/>
              <w:rPr>
                <w:color w:val="32C3E2"/>
                <w:lang w:val="en-US" w:eastAsia="en-US"/>
              </w:rPr>
            </w:pPr>
            <w:r w:rsidRPr="00253B2A">
              <w:rPr>
                <w:color w:val="32C3E2"/>
                <w:lang w:val="en-US" w:eastAsia="en-US"/>
              </w:rPr>
              <w:t xml:space="preserve">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Bauvill | SEH French | Gallifords |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r w:rsidRPr="00AC56A8">
              <w:rPr>
                <w:lang w:eastAsia="en-US"/>
              </w:rPr>
              <w:t xml:space="preserve">2704593.59</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r>
              <w:rPr>
                <w:lang w:val="en-US" w:eastAsia="en-US"/>
              </w:rPr>
              <w:t xml:space="preserve">-</w:t>
            </w:r>
            <w:r w:rsidRPr="00DA1447">
              <w:rPr>
                <w:lang w:eastAsia="en-US"/>
              </w:rPr>
              <w:t xml:space="preserve">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w:t>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CD0000">
      <w:pPr>
        <w:pStyle w:val="Heading1"/>
      </w:pPr>
      <w: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r>
        <w:rPr>
          <w:lang w:val="en-US" w:eastAsia="en-US"/>
        </w:rPr>
        <w:t xml:space="preserve">Based on the tender review, it is recommended that Bauvill be appointed as the preferred contractor for the Blythe Road project. This recommendation is driven by Bauvill's competitive commercial position, which offers the best value for money while maintaining a robust and compliant tender submission. Their proposal demonstrates a thorough understanding of the project's requirements and a well-considered approach to delivery. The commercial terms presented by Bauvill are deemed to be reasonable and align with industry standards, providing a solid foundation for a successful project partnership. Overall, the appointment of Bauvill is considered to be in the best interests of the project, balancing cost, quality, and risk to achieve a successful outcome.</w:t>
      </w:r>
    </w:p>
    <w:p w14:paraId="5539DAEC" w14:textId="76DD72FE" w:rsidR="00602644" w:rsidRDefault="00602644" w:rsidP="00CD0000">
      <w:pPr>
        <w:pStyle w:val="Heading1"/>
      </w:pPr>
      <w:r>
        <w:t xml:space="preserve">Recommended Next Steps</w:t>
      </w:r>
    </w:p>
    <w:p w14:paraId="4C0C18B0" w14:textId="77777777" w:rsidR="00602644" w:rsidRDefault="00602644" w:rsidP="000D254B">
      <w:pPr>
        <w:rPr>
          <w:lang w:val="en-US" w:eastAsia="en-US"/>
        </w:rPr>
      </w:pPr>
    </w:p>
    <w:p w14:paraId="60C34400" w14:textId="31068610" w:rsidR="00DE21A6" w:rsidRPr="00DE21A6" w:rsidRDefault="00DE21A6" w:rsidP="00460808">
      <w:pPr>
        <w:pStyle w:val="ListParagraph"/>
        <w:numPr>
          <w:ilvl w:val="0"/>
          <w:numId w:val="3"/>
        </w:numPr>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1. Review and finalize the tender award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2. Negotiate the contract terms and conditions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3. Conduct a thorough review of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4. Verify the final adjusted tender sum against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5. Schedule a meeting with the client to discuss the tender outcome and next steps for the Blythe Road project in London</w:t>
      </w:r>
    </w:p>
    <w:p w14:paraId="3A71CAA7" w14:textId="77777777" w:rsidR="00DE21A6" w:rsidRPr="00DE21A6" w:rsidRDefault="00DE21A6" w:rsidP="00460808">
      <w:pPr>
        <w:ind w:left="0" w:firstLine="0"/>
        <w:rPr>
          <w:lang w:eastAsia="en-US"/>
        </w:rPr>
      </w:pPr>
      <w:r w:rsidRPr="00DE21A6">
        <w:rPr>
          <w:lang w:eastAsia="en-US"/>
        </w:rPr>
        <w:t xml:space="preserve"/>
      </w:r>
    </w:p>
    <w:p w14:paraId="065D0974" w14:textId="77777777" w:rsidR="003A3655" w:rsidRDefault="003A3655" w:rsidP="000D254B">
      <w:pPr>
        <w:rPr>
          <w:lang w:val="en-US" w:eastAsia="en-US"/>
        </w:rPr>
      </w:pPr>
    </w:p>
    <w:p w14:paraId="18B0F74A" w14:textId="058EFB13" w:rsidR="00A93E19" w:rsidRDefault="00A93E19" w:rsidP="000D254B">
      <w:pPr>
        <w:rPr>
          <w:i/>
          <w:iCs/>
          <w:lang w:eastAsia="en-US"/>
        </w:rPr>
      </w:pPr>
      <w:r w:rsidRPr="00A93E19">
        <w:rPr>
          <w:i/>
          <w:iCs/>
          <w:lang w:eastAsia="en-US"/>
        </w:rPr>
        <w:t>The above figures include any adjustments we have made in the submissions to ensure an equal and fair comparison is conducted. The figures also include any deductions made by the tendering contractors following the post tender discussions and negotiations. The detailed breakdown of all tender returns is located under the appendices.</w:t>
      </w:r>
    </w:p>
    <w:p w14:paraId="3BFF2112" w14:textId="77777777" w:rsidR="00A93E19" w:rsidRDefault="00A93E19" w:rsidP="000D254B">
      <w:pPr>
        <w:rPr>
          <w:lang w:val="en-US" w:eastAsia="en-US"/>
        </w:rPr>
      </w:pPr>
    </w:p>
    <w:p w14:paraId="19E026D6" w14:textId="401FCEF5" w:rsidR="00CD0000" w:rsidRDefault="00242D62" w:rsidP="000D254B">
      <w:pPr>
        <w:rPr>
          <w:rFonts w:ascii="Archivo SemiBold" w:hAnsi="Archivo SemiBold" w:cs="Archivo SemiBold"/>
          <w:color w:val="32C3E2"/>
          <w:sz w:val="28"/>
          <w:szCs w:val="28"/>
          <w:lang w:val="en-US" w:eastAsia="en-US"/>
        </w:rPr>
      </w:pPr>
      <w:r w:rsidRPr="00242D62">
        <w:rPr>
          <w:rFonts w:ascii="Archivo SemiBold" w:hAnsi="Archivo SemiBold" w:cs="Archivo SemiBold"/>
          <w:color w:val="32C3E2"/>
          <w:sz w:val="28"/>
          <w:szCs w:val="28"/>
          <w:lang w:val="en-US" w:eastAsia="en-US"/>
        </w:rPr>
        <w:t>02 Introduction</w:t>
      </w:r>
    </w:p>
    <w:p w14:paraId="0BCFCEE2" w14:textId="336F17AE" w:rsidR="009F2B59" w:rsidRDefault="009F2B59" w:rsidP="009F2B59">
      <w:pPr>
        <w:pStyle w:val="Heading1"/>
      </w:pPr>
      <w:r>
        <w:t>Report Overview</w:t>
      </w:r>
    </w:p>
    <w:p w14:paraId="4FCE3E4C" w14:textId="77777777" w:rsidR="009F2B59" w:rsidRDefault="009F2B59" w:rsidP="009F2B59">
      <w:pPr>
        <w:rPr>
          <w:lang w:val="en-US" w:eastAsia="en-US"/>
        </w:rPr>
      </w:pPr>
    </w:p>
    <w:p w14:paraId="3C49F1F5" w14:textId="2742D760" w:rsidR="009F2B59" w:rsidRPr="009F2B59" w:rsidRDefault="009F2B59" w:rsidP="009F2B59">
      <w:pPr>
        <w:rPr>
          <w:lang w:val="en-US" w:eastAsia="en-US"/>
        </w:rPr>
      </w:pPr>
      <w:r>
        <w:rPr>
          <w:lang w:val="en-US" w:eastAsia="en-US"/>
        </w:rPr>
        <w:t xml:space="preserve">This report has been prepared by Costplan Services (South East) Ltd in relation to the Blythe Road project, located in London. The project has undergone a thorough tender process, with various submissions received from interested parties. The purpose of this report is to provide a comprehensive overview of the tender process and its outcomes. The report has been produced to outline the tender process, highlighting key aspects and findings, and will provide a detailed analysis of the submissions received for the Blythe Road project in London.</w:t>
      </w:r>
    </w:p>
    <w:p w14:paraId="4F1726FF" w14:textId="77777777" w:rsidR="00242D62" w:rsidRDefault="00242D62" w:rsidP="000D254B">
      <w:pPr>
        <w:rPr>
          <w:rFonts w:ascii="Archivo SemiBold" w:hAnsi="Archivo SemiBold" w:cs="Archivo SemiBold"/>
          <w:color w:val="32C3E2"/>
          <w:sz w:val="28"/>
          <w:szCs w:val="28"/>
          <w:lang w:val="en-US" w:eastAsia="en-US"/>
        </w:rPr>
      </w:pPr>
    </w:p>
    <w:p w14:paraId="198C13E9" w14:textId="716F6904" w:rsidR="00242D62" w:rsidRDefault="009F2B59" w:rsidP="009F2B59">
      <w:pPr>
        <w:pStyle w:val="Heading1"/>
      </w:pPr>
      <w:r w:rsidRPr="009F2B59">
        <w:t>Tenderer List</w:t>
      </w:r>
    </w:p>
    <w:p w14:paraId="28D95583" w14:textId="77777777" w:rsidR="009F2B59" w:rsidRDefault="009F2B59" w:rsidP="009F2B59">
      <w:pPr>
        <w:rPr>
          <w:lang w:val="en-US" w:eastAsia="en-US"/>
        </w:rPr>
      </w:pPr>
    </w:p>
    <w:p w14:paraId="3B9A466E"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Bauvill</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SEH French</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Gallifords</w:t>
      </w:r>
    </w:p>
    <w:p w14:paraId="39DED10D" w14:textId="77777777" w:rsidR="004248BB" w:rsidRPr="004248BB" w:rsidRDefault="004248BB" w:rsidP="004248BB">
      <w:pPr>
        <w:rPr>
          <w:lang w:eastAsia="en-US"/>
        </w:rPr>
      </w:pPr>
      <w:r w:rsidRPr="004248BB">
        <w:rPr>
          <w:lang w:eastAsia="en-US"/>
        </w:rPr>
        <w:t xml:space="preserve"/>
      </w:r>
    </w:p>
    <w:p w14:paraId="34DF2FB1" w14:textId="77777777" w:rsidR="009F2B59" w:rsidRPr="009F2B59" w:rsidRDefault="009F2B59" w:rsidP="009F2B59">
      <w:pPr>
        <w:rPr>
          <w:lang w:val="en-US" w:eastAsia="en-US"/>
        </w:rPr>
      </w:pPr>
    </w:p>
    <w:sectPr w:rsidR="009F2B59" w:rsidRPr="009F2B59" w:rsidSect="001C380D">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3BD6" w14:textId="77777777" w:rsidR="009C0A44" w:rsidRDefault="009C0A44" w:rsidP="00293A2A">
      <w:pPr>
        <w:spacing w:after="0" w:line="240" w:lineRule="auto"/>
      </w:pPr>
      <w:r>
        <w:separator/>
      </w:r>
    </w:p>
  </w:endnote>
  <w:endnote w:type="continuationSeparator" w:id="0">
    <w:p w14:paraId="381ED6B6" w14:textId="77777777" w:rsidR="009C0A44" w:rsidRDefault="009C0A44"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Light">
    <w:panose1 w:val="00000000000000000000"/>
    <w:charset w:val="00"/>
    <w:family w:val="auto"/>
    <w:pitch w:val="variable"/>
    <w:sig w:usb0="A00000FF" w:usb1="500020EB" w:usb2="00000008" w:usb3="00000000" w:csb0="000001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quitecta Black">
    <w:altName w:val="Calibri"/>
    <w:panose1 w:val="00000500000000000000"/>
    <w:charset w:val="00"/>
    <w:family w:val="modern"/>
    <w:notTrueType/>
    <w:pitch w:val="variable"/>
    <w:sig w:usb0="00000007" w:usb1="00000000" w:usb2="00000000" w:usb3="00000000" w:csb0="00000093" w:csb1="00000000"/>
  </w:font>
  <w:font w:name="Archivo SemiBold">
    <w:panose1 w:val="00000000000000000000"/>
    <w:charset w:val="00"/>
    <w:family w:val="auto"/>
    <w:pitch w:val="variable"/>
    <w:sig w:usb0="A00000FF" w:usb1="500020EB" w:usb2="00000008" w:usb3="00000000" w:csb0="00000193" w:csb1="00000000"/>
  </w:font>
  <w:font w:name="Aptos Display">
    <w:charset w:val="00"/>
    <w:family w:val="swiss"/>
    <w:pitch w:val="variable"/>
    <w:sig w:usb0="20000287" w:usb1="00000003" w:usb2="00000000" w:usb3="00000000" w:csb0="0000019F" w:csb1="00000000"/>
  </w:font>
  <w:font w:name="Tenon">
    <w:altName w:val="Cambria"/>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7"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8"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9"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1D23" w14:textId="77777777" w:rsidR="009C0A44" w:rsidRDefault="009C0A44" w:rsidP="00293A2A">
      <w:pPr>
        <w:spacing w:after="0" w:line="240" w:lineRule="auto"/>
      </w:pPr>
      <w:r>
        <w:separator/>
      </w:r>
    </w:p>
  </w:footnote>
  <w:footnote w:type="continuationSeparator" w:id="0">
    <w:p w14:paraId="53DC0F7A" w14:textId="77777777" w:rsidR="009C0A44" w:rsidRDefault="009C0A44"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drawing>
        <wp:anchor distT="0" distB="0" distL="0" distR="0" simplePos="0" relativeHeight="251663360" behindDoc="1" locked="0" layoutInCell="1" allowOverlap="1" wp14:anchorId="4D30BBAA" wp14:editId="2EE0A14B">
          <wp:simplePos x="0" y="0"/>
          <wp:positionH relativeFrom="page">
            <wp:posOffset>6303420</wp:posOffset>
          </wp:positionH>
          <wp:positionV relativeFrom="page">
            <wp:posOffset>188514</wp:posOffset>
          </wp:positionV>
          <wp:extent cx="973455" cy="797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973455" cy="7975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D9"/>
    <w:multiLevelType w:val="hybridMultilevel"/>
    <w:tmpl w:val="D0FCDA7E"/>
    <w:lvl w:ilvl="0" w:tplc="F7AAC526">
      <w:start w:val="2"/>
      <w:numFmt w:val="bullet"/>
      <w:lvlText w:val="-"/>
      <w:lvlJc w:val="left"/>
      <w:pPr>
        <w:ind w:left="720" w:hanging="360"/>
      </w:pPr>
      <w:rPr>
        <w:rFonts w:ascii="Archivo Light" w:eastAsia="Arial" w:hAnsi="Archivo Light" w:cs="Archivo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562D4"/>
    <w:multiLevelType w:val="hybridMultilevel"/>
    <w:tmpl w:val="55680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2"/>
  </w:num>
  <w:num w:numId="2" w16cid:durableId="801651272">
    <w:abstractNumId w:val="1"/>
  </w:num>
  <w:num w:numId="3" w16cid:durableId="164091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114580"/>
    <w:rsid w:val="001C380D"/>
    <w:rsid w:val="002051A3"/>
    <w:rsid w:val="00241632"/>
    <w:rsid w:val="00242D62"/>
    <w:rsid w:val="00253B2A"/>
    <w:rsid w:val="00293A2A"/>
    <w:rsid w:val="002B601F"/>
    <w:rsid w:val="00371E60"/>
    <w:rsid w:val="003A3655"/>
    <w:rsid w:val="00400605"/>
    <w:rsid w:val="004248BB"/>
    <w:rsid w:val="00460808"/>
    <w:rsid w:val="004A024C"/>
    <w:rsid w:val="004A0A97"/>
    <w:rsid w:val="004E278A"/>
    <w:rsid w:val="00502242"/>
    <w:rsid w:val="005440D3"/>
    <w:rsid w:val="005570CC"/>
    <w:rsid w:val="00593809"/>
    <w:rsid w:val="005C4BCB"/>
    <w:rsid w:val="005F1AC3"/>
    <w:rsid w:val="00602644"/>
    <w:rsid w:val="00622D8E"/>
    <w:rsid w:val="00636AA2"/>
    <w:rsid w:val="006473DA"/>
    <w:rsid w:val="006D4FEF"/>
    <w:rsid w:val="00731104"/>
    <w:rsid w:val="007426CD"/>
    <w:rsid w:val="007E608D"/>
    <w:rsid w:val="008A0154"/>
    <w:rsid w:val="008F428C"/>
    <w:rsid w:val="009425AC"/>
    <w:rsid w:val="00944408"/>
    <w:rsid w:val="00982B74"/>
    <w:rsid w:val="009C0A44"/>
    <w:rsid w:val="009F2B59"/>
    <w:rsid w:val="00A32752"/>
    <w:rsid w:val="00A82648"/>
    <w:rsid w:val="00A93E19"/>
    <w:rsid w:val="00AA5354"/>
    <w:rsid w:val="00AA60AE"/>
    <w:rsid w:val="00AC47D0"/>
    <w:rsid w:val="00AC56A8"/>
    <w:rsid w:val="00AC7218"/>
    <w:rsid w:val="00B24781"/>
    <w:rsid w:val="00BD4DB5"/>
    <w:rsid w:val="00BE00E5"/>
    <w:rsid w:val="00BE4792"/>
    <w:rsid w:val="00BF2E88"/>
    <w:rsid w:val="00BF4832"/>
    <w:rsid w:val="00BF75C3"/>
    <w:rsid w:val="00C40E5E"/>
    <w:rsid w:val="00CD0000"/>
    <w:rsid w:val="00CD3A39"/>
    <w:rsid w:val="00D07610"/>
    <w:rsid w:val="00DA1447"/>
    <w:rsid w:val="00DE21A6"/>
    <w:rsid w:val="00E311E0"/>
    <w:rsid w:val="00EA46BE"/>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CD0000"/>
    <w:pPr>
      <w:keepNext/>
      <w:keepLines/>
      <w:spacing w:before="240"/>
      <w:outlineLvl w:val="0"/>
    </w:pPr>
    <w:rPr>
      <w:rFonts w:eastAsiaTheme="majorEastAsia" w:cstheme="majorBidi"/>
      <w:color w:val="425667"/>
      <w:sz w:val="24"/>
      <w:lang w:val="en-US"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CD0000"/>
    <w:pPr>
      <w:keepNext/>
      <w:keepLines/>
      <w:spacing w:before="160" w:after="80"/>
      <w:outlineLvl w:val="2"/>
    </w:pPr>
    <w:rPr>
      <w:rFonts w:ascii="Archivo SemiBold" w:eastAsiaTheme="majorEastAsia" w:hAnsi="Archivo SemiBold" w:cs="Archivo SemiBold"/>
      <w:color w:val="00B0F0"/>
      <w:sz w:val="28"/>
      <w:szCs w:val="28"/>
      <w:lang w:val="en-US"/>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CD0000"/>
    <w:rPr>
      <w:rFonts w:ascii="Archivo SemiBold" w:eastAsiaTheme="majorEastAsia" w:hAnsi="Archivo SemiBold" w:cs="Archivo SemiBold"/>
      <w:color w:val="00B0F0"/>
      <w:sz w:val="28"/>
      <w:szCs w:val="28"/>
      <w:lang w:val="en-US" w:eastAsia="en-GB"/>
    </w:rPr>
  </w:style>
  <w:style w:type="character" w:customStyle="1" w:styleId="Heading1Char">
    <w:name w:val="Heading 1 Char"/>
    <w:basedOn w:val="DefaultParagraphFont"/>
    <w:link w:val="Heading1"/>
    <w:uiPriority w:val="9"/>
    <w:rsid w:val="00CD0000"/>
    <w:rPr>
      <w:rFonts w:ascii="Archivo Light" w:eastAsiaTheme="majorEastAsia" w:hAnsi="Archivo Light" w:cstheme="majorBidi"/>
      <w:color w:val="425667"/>
      <w:lang w:val="en-US"/>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45</cp:revision>
  <dcterms:created xsi:type="dcterms:W3CDTF">2026-04-22T12:39:00Z</dcterms:created>
  <dcterms:modified xsi:type="dcterms:W3CDTF">2026-04-29T14:42:00Z</dcterms:modified>
  <dc:identifier/>
  <dc:language/>
</cp:coreProperties>
</file>