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33EE" w14:textId="68C0A85C" w:rsidR="00D50452" w:rsidRDefault="00D50452" w:rsidP="00D50452">
      <w:pPr>
        <w:spacing w:after="0"/>
        <w:ind w:left="4320" w:firstLine="720"/>
        <w:rPr>
          <w:rFonts w:ascii="Times New Roman" w:hAnsi="Times New Roman" w:cs="Times New Roman"/>
          <w:b/>
          <w:bCs/>
          <w:sz w:val="24"/>
          <w:szCs w:val="24"/>
        </w:rPr>
      </w:pPr>
      <w:r>
        <w:rPr>
          <w:rFonts w:ascii="Times New Roman" w:hAnsi="Times New Roman" w:cs="Times New Roman"/>
          <w:b/>
          <w:bCs/>
          <w:sz w:val="24"/>
          <w:szCs w:val="24"/>
        </w:rPr>
        <w:t>Financial Crimes Enforcement Network</w:t>
      </w:r>
    </w:p>
    <w:p w14:paraId="29754E82" w14:textId="25652578" w:rsidR="00D50452" w:rsidRDefault="00D50452" w:rsidP="00D50452">
      <w:pPr>
        <w:spacing w:after="0"/>
        <w:ind w:left="4320" w:firstLine="720"/>
        <w:rPr>
          <w:rFonts w:ascii="Times New Roman" w:hAnsi="Times New Roman" w:cs="Times New Roman"/>
          <w:b/>
          <w:bCs/>
          <w:sz w:val="24"/>
          <w:szCs w:val="24"/>
        </w:rPr>
      </w:pPr>
      <w:r>
        <w:rPr>
          <w:rFonts w:ascii="Times New Roman" w:hAnsi="Times New Roman" w:cs="Times New Roman"/>
          <w:b/>
          <w:bCs/>
          <w:sz w:val="24"/>
          <w:szCs w:val="24"/>
        </w:rPr>
        <w:t>U.S. Department of Treasury</w:t>
      </w:r>
    </w:p>
    <w:p w14:paraId="3ED8AE90" w14:textId="77777777" w:rsidR="00D50452" w:rsidRDefault="00D50452" w:rsidP="0001215B">
      <w:pPr>
        <w:rPr>
          <w:rFonts w:ascii="Times New Roman" w:hAnsi="Times New Roman" w:cs="Times New Roman"/>
          <w:b/>
          <w:bCs/>
          <w:sz w:val="24"/>
          <w:szCs w:val="24"/>
        </w:rPr>
      </w:pPr>
    </w:p>
    <w:p w14:paraId="4D81247D" w14:textId="0718D1E6" w:rsidR="0001215B" w:rsidRPr="00D50452" w:rsidRDefault="00D50452" w:rsidP="0001215B">
      <w:pPr>
        <w:rPr>
          <w:rFonts w:ascii="Times New Roman" w:hAnsi="Times New Roman" w:cs="Times New Roman"/>
          <w:sz w:val="24"/>
          <w:szCs w:val="24"/>
        </w:rPr>
      </w:pPr>
      <w:r>
        <w:rPr>
          <w:rFonts w:ascii="Times New Roman" w:hAnsi="Times New Roman" w:cs="Times New Roman"/>
          <w:b/>
          <w:bCs/>
          <w:sz w:val="24"/>
          <w:szCs w:val="24"/>
        </w:rPr>
        <w:t>Subject:</w:t>
      </w:r>
      <w:r w:rsidR="00500BB4">
        <w:rPr>
          <w:rFonts w:ascii="Times New Roman" w:hAnsi="Times New Roman" w:cs="Times New Roman"/>
          <w:b/>
          <w:bCs/>
          <w:sz w:val="24"/>
          <w:szCs w:val="24"/>
        </w:rPr>
        <w:tab/>
      </w:r>
      <w:r w:rsidR="00517CD6">
        <w:rPr>
          <w:rFonts w:ascii="Times New Roman" w:hAnsi="Times New Roman" w:cs="Times New Roman"/>
          <w:b/>
          <w:bCs/>
          <w:sz w:val="24"/>
          <w:szCs w:val="24"/>
        </w:rPr>
        <w:tab/>
      </w:r>
      <w:r w:rsidR="0001215B" w:rsidRPr="00D50452">
        <w:rPr>
          <w:rFonts w:ascii="Times New Roman" w:hAnsi="Times New Roman" w:cs="Times New Roman"/>
          <w:sz w:val="24"/>
          <w:szCs w:val="24"/>
        </w:rPr>
        <w:t xml:space="preserve">Ex </w:t>
      </w:r>
      <w:proofErr w:type="spellStart"/>
      <w:r w:rsidR="0001215B" w:rsidRPr="00D50452">
        <w:rPr>
          <w:rFonts w:ascii="Times New Roman" w:hAnsi="Times New Roman" w:cs="Times New Roman"/>
          <w:sz w:val="24"/>
          <w:szCs w:val="24"/>
        </w:rPr>
        <w:t>Parte</w:t>
      </w:r>
      <w:proofErr w:type="spellEnd"/>
      <w:r w:rsidR="0001215B" w:rsidRPr="00D50452">
        <w:rPr>
          <w:rFonts w:ascii="Times New Roman" w:hAnsi="Times New Roman" w:cs="Times New Roman"/>
          <w:sz w:val="24"/>
          <w:szCs w:val="24"/>
        </w:rPr>
        <w:t xml:space="preserve"> Communication with </w:t>
      </w:r>
      <w:r w:rsidR="005118A2" w:rsidRPr="00D50452">
        <w:rPr>
          <w:rFonts w:ascii="Times New Roman" w:hAnsi="Times New Roman" w:cs="Times New Roman"/>
          <w:sz w:val="24"/>
          <w:szCs w:val="24"/>
        </w:rPr>
        <w:t>American Escrow Association (AEA)</w:t>
      </w:r>
      <w:r w:rsidR="00055DDC" w:rsidRPr="00D50452">
        <w:rPr>
          <w:rFonts w:ascii="Times New Roman" w:hAnsi="Times New Roman" w:cs="Times New Roman"/>
          <w:sz w:val="24"/>
          <w:szCs w:val="24"/>
        </w:rPr>
        <w:t xml:space="preserve"> </w:t>
      </w:r>
    </w:p>
    <w:p w14:paraId="4EB80BB2" w14:textId="5E3913E8" w:rsidR="00D82ED2" w:rsidRPr="00D50452" w:rsidRDefault="005118A2" w:rsidP="00517CD6">
      <w:pPr>
        <w:ind w:left="2160" w:hanging="2160"/>
        <w:rPr>
          <w:rFonts w:ascii="Times New Roman" w:hAnsi="Times New Roman" w:cs="Times New Roman"/>
          <w:sz w:val="24"/>
          <w:szCs w:val="24"/>
        </w:rPr>
      </w:pPr>
      <w:r>
        <w:rPr>
          <w:rFonts w:ascii="Times New Roman" w:hAnsi="Times New Roman" w:cs="Times New Roman"/>
          <w:b/>
          <w:bCs/>
          <w:sz w:val="24"/>
          <w:szCs w:val="24"/>
        </w:rPr>
        <w:t>D</w:t>
      </w:r>
      <w:r w:rsidRPr="005118A2">
        <w:rPr>
          <w:rFonts w:ascii="Times New Roman" w:hAnsi="Times New Roman" w:cs="Times New Roman"/>
          <w:b/>
          <w:bCs/>
          <w:sz w:val="24"/>
          <w:szCs w:val="24"/>
        </w:rPr>
        <w:t>oc</w:t>
      </w:r>
      <w:r w:rsidR="00D50452">
        <w:rPr>
          <w:rFonts w:ascii="Times New Roman" w:hAnsi="Times New Roman" w:cs="Times New Roman"/>
          <w:b/>
          <w:bCs/>
          <w:sz w:val="24"/>
          <w:szCs w:val="24"/>
        </w:rPr>
        <w:t>ket:</w:t>
      </w:r>
      <w:r w:rsidR="00500BB4">
        <w:rPr>
          <w:rFonts w:ascii="Times New Roman" w:hAnsi="Times New Roman" w:cs="Times New Roman"/>
          <w:b/>
          <w:bCs/>
          <w:sz w:val="24"/>
          <w:szCs w:val="24"/>
        </w:rPr>
        <w:tab/>
      </w:r>
      <w:r w:rsidRPr="00D50452">
        <w:rPr>
          <w:rFonts w:ascii="Times New Roman" w:hAnsi="Times New Roman" w:cs="Times New Roman"/>
          <w:sz w:val="24"/>
          <w:szCs w:val="24"/>
        </w:rPr>
        <w:t xml:space="preserve">2024–02565, </w:t>
      </w:r>
      <w:r w:rsidR="00D82ED2" w:rsidRPr="00D50452">
        <w:rPr>
          <w:rFonts w:ascii="Times New Roman" w:hAnsi="Times New Roman" w:cs="Times New Roman"/>
          <w:sz w:val="24"/>
          <w:szCs w:val="24"/>
        </w:rPr>
        <w:t>Notice of Proposed Rulemaking on Anti-Money Laundering Regulations</w:t>
      </w:r>
      <w:r w:rsidR="00055DDC" w:rsidRPr="00D50452">
        <w:rPr>
          <w:rFonts w:ascii="Times New Roman" w:hAnsi="Times New Roman" w:cs="Times New Roman"/>
          <w:sz w:val="24"/>
          <w:szCs w:val="24"/>
        </w:rPr>
        <w:t xml:space="preserve"> </w:t>
      </w:r>
      <w:r w:rsidR="00D82ED2" w:rsidRPr="00D50452">
        <w:rPr>
          <w:rFonts w:ascii="Times New Roman" w:hAnsi="Times New Roman" w:cs="Times New Roman"/>
          <w:sz w:val="24"/>
          <w:szCs w:val="24"/>
        </w:rPr>
        <w:t xml:space="preserve">for Residential Real Estate Transfers </w:t>
      </w:r>
    </w:p>
    <w:p w14:paraId="5D4FA6A0" w14:textId="3862E26F" w:rsidR="00A63185" w:rsidRPr="00AC647D" w:rsidRDefault="00517CD6" w:rsidP="00A63185">
      <w:pPr>
        <w:rPr>
          <w:rFonts w:ascii="Times New Roman" w:hAnsi="Times New Roman" w:cs="Times New Roman"/>
          <w:sz w:val="24"/>
          <w:szCs w:val="24"/>
        </w:rPr>
      </w:pPr>
      <w:r>
        <w:rPr>
          <w:rFonts w:ascii="Times New Roman" w:hAnsi="Times New Roman" w:cs="Times New Roman"/>
          <w:b/>
          <w:bCs/>
          <w:sz w:val="24"/>
          <w:szCs w:val="24"/>
        </w:rPr>
        <w:t xml:space="preserve">Meeting </w:t>
      </w:r>
      <w:r w:rsidR="00A63185" w:rsidRPr="00A63185">
        <w:rPr>
          <w:rFonts w:ascii="Times New Roman" w:hAnsi="Times New Roman" w:cs="Times New Roman"/>
          <w:b/>
          <w:bCs/>
          <w:sz w:val="24"/>
          <w:szCs w:val="24"/>
        </w:rPr>
        <w:t>Date:</w:t>
      </w:r>
      <w:r>
        <w:rPr>
          <w:rFonts w:ascii="Times New Roman" w:hAnsi="Times New Roman" w:cs="Times New Roman"/>
          <w:sz w:val="24"/>
          <w:szCs w:val="24"/>
        </w:rPr>
        <w:tab/>
      </w:r>
      <w:r w:rsidR="00A63185" w:rsidRPr="00AC647D">
        <w:rPr>
          <w:rFonts w:ascii="Times New Roman" w:hAnsi="Times New Roman" w:cs="Times New Roman"/>
          <w:sz w:val="24"/>
          <w:szCs w:val="24"/>
        </w:rPr>
        <w:t>March 6, 2024</w:t>
      </w:r>
    </w:p>
    <w:p w14:paraId="58D7414E" w14:textId="4143B89B" w:rsidR="00A63185" w:rsidRPr="00A63185" w:rsidRDefault="00517CD6">
      <w:pPr>
        <w:rPr>
          <w:rFonts w:ascii="Times New Roman" w:hAnsi="Times New Roman" w:cs="Times New Roman"/>
          <w:b/>
          <w:bCs/>
          <w:sz w:val="24"/>
          <w:szCs w:val="24"/>
        </w:rPr>
      </w:pPr>
      <w:r>
        <w:rPr>
          <w:rFonts w:ascii="Times New Roman" w:hAnsi="Times New Roman" w:cs="Times New Roman"/>
          <w:b/>
          <w:bCs/>
          <w:sz w:val="24"/>
          <w:szCs w:val="24"/>
        </w:rPr>
        <w:t xml:space="preserve">Meeting </w:t>
      </w:r>
      <w:r w:rsidR="00A63185" w:rsidRPr="00A63185">
        <w:rPr>
          <w:rFonts w:ascii="Times New Roman" w:hAnsi="Times New Roman" w:cs="Times New Roman"/>
          <w:b/>
          <w:bCs/>
          <w:sz w:val="24"/>
          <w:szCs w:val="24"/>
        </w:rPr>
        <w:t>Time:</w:t>
      </w:r>
      <w:r w:rsidR="00A63185">
        <w:rPr>
          <w:rFonts w:ascii="Times New Roman" w:hAnsi="Times New Roman" w:cs="Times New Roman"/>
          <w:sz w:val="24"/>
          <w:szCs w:val="24"/>
        </w:rPr>
        <w:t xml:space="preserve">  </w:t>
      </w:r>
      <w:r w:rsidR="00500BB4">
        <w:rPr>
          <w:rFonts w:ascii="Times New Roman" w:hAnsi="Times New Roman" w:cs="Times New Roman"/>
          <w:sz w:val="24"/>
          <w:szCs w:val="24"/>
        </w:rPr>
        <w:tab/>
      </w:r>
      <w:r w:rsidR="00A63185">
        <w:rPr>
          <w:rFonts w:ascii="Times New Roman" w:hAnsi="Times New Roman" w:cs="Times New Roman"/>
          <w:sz w:val="24"/>
          <w:szCs w:val="24"/>
        </w:rPr>
        <w:t>9:30-10:15am</w:t>
      </w:r>
    </w:p>
    <w:p w14:paraId="42F8326F" w14:textId="3F012309" w:rsidR="00A63185" w:rsidRDefault="00517CD6" w:rsidP="00A63185">
      <w:pPr>
        <w:rPr>
          <w:rFonts w:ascii="Times New Roman" w:hAnsi="Times New Roman" w:cs="Times New Roman"/>
          <w:sz w:val="24"/>
          <w:szCs w:val="24"/>
        </w:rPr>
      </w:pPr>
      <w:r>
        <w:rPr>
          <w:rFonts w:ascii="Times New Roman" w:hAnsi="Times New Roman" w:cs="Times New Roman"/>
          <w:b/>
          <w:bCs/>
          <w:sz w:val="24"/>
          <w:szCs w:val="24"/>
        </w:rPr>
        <w:t xml:space="preserve">Meeting </w:t>
      </w:r>
      <w:r w:rsidR="00A63185" w:rsidRPr="00A63185">
        <w:rPr>
          <w:rFonts w:ascii="Times New Roman" w:hAnsi="Times New Roman" w:cs="Times New Roman"/>
          <w:b/>
          <w:bCs/>
          <w:sz w:val="24"/>
          <w:szCs w:val="24"/>
        </w:rPr>
        <w:t xml:space="preserve">Location: </w:t>
      </w:r>
      <w:r w:rsidR="00A63185">
        <w:rPr>
          <w:rFonts w:ascii="Times New Roman" w:hAnsi="Times New Roman" w:cs="Times New Roman"/>
          <w:b/>
          <w:bCs/>
          <w:sz w:val="24"/>
          <w:szCs w:val="24"/>
        </w:rPr>
        <w:t xml:space="preserve"> </w:t>
      </w:r>
      <w:r w:rsidR="00500BB4">
        <w:rPr>
          <w:rFonts w:ascii="Times New Roman" w:hAnsi="Times New Roman" w:cs="Times New Roman"/>
          <w:b/>
          <w:bCs/>
          <w:sz w:val="24"/>
          <w:szCs w:val="24"/>
        </w:rPr>
        <w:tab/>
      </w:r>
      <w:r w:rsidR="00A63185" w:rsidRPr="00A63185">
        <w:rPr>
          <w:rFonts w:ascii="Times New Roman" w:hAnsi="Times New Roman" w:cs="Times New Roman"/>
          <w:sz w:val="24"/>
          <w:szCs w:val="24"/>
        </w:rPr>
        <w:t xml:space="preserve">FinCEN office </w:t>
      </w:r>
      <w:r w:rsidR="00A63185">
        <w:rPr>
          <w:rFonts w:ascii="Times New Roman" w:hAnsi="Times New Roman" w:cs="Times New Roman"/>
          <w:sz w:val="24"/>
          <w:szCs w:val="24"/>
        </w:rPr>
        <w:t xml:space="preserve">at </w:t>
      </w:r>
      <w:r w:rsidR="00A63185" w:rsidRPr="00A63185">
        <w:rPr>
          <w:rFonts w:ascii="Times New Roman" w:hAnsi="Times New Roman" w:cs="Times New Roman"/>
          <w:sz w:val="24"/>
          <w:szCs w:val="24"/>
        </w:rPr>
        <w:t>1801 L St NW, Washington DC</w:t>
      </w:r>
      <w:r w:rsidR="00A63185">
        <w:rPr>
          <w:rFonts w:ascii="Times New Roman" w:hAnsi="Times New Roman" w:cs="Times New Roman"/>
          <w:b/>
          <w:bCs/>
          <w:sz w:val="24"/>
          <w:szCs w:val="24"/>
        </w:rPr>
        <w:t xml:space="preserve">, </w:t>
      </w:r>
      <w:r w:rsidR="00A63185" w:rsidRPr="00A63185">
        <w:rPr>
          <w:rFonts w:ascii="Times New Roman" w:hAnsi="Times New Roman" w:cs="Times New Roman"/>
          <w:sz w:val="24"/>
          <w:szCs w:val="24"/>
        </w:rPr>
        <w:t>20006</w:t>
      </w:r>
    </w:p>
    <w:p w14:paraId="566BE33B" w14:textId="77777777" w:rsidR="00FB6F29" w:rsidRDefault="00FB6F29" w:rsidP="00A63185">
      <w:pPr>
        <w:rPr>
          <w:rFonts w:ascii="Times New Roman" w:hAnsi="Times New Roman" w:cs="Times New Roman"/>
          <w:sz w:val="24"/>
          <w:szCs w:val="24"/>
        </w:rPr>
      </w:pPr>
    </w:p>
    <w:p w14:paraId="4BA60426" w14:textId="77777777" w:rsidR="005258C5" w:rsidRPr="004B0697" w:rsidRDefault="005258C5" w:rsidP="005258C5">
      <w:pPr>
        <w:rPr>
          <w:rFonts w:ascii="Times New Roman" w:hAnsi="Times New Roman" w:cs="Times New Roman"/>
          <w:b/>
          <w:bCs/>
          <w:sz w:val="24"/>
          <w:szCs w:val="24"/>
        </w:rPr>
      </w:pPr>
      <w:r w:rsidRPr="004B0697">
        <w:rPr>
          <w:rFonts w:ascii="Times New Roman" w:hAnsi="Times New Roman" w:cs="Times New Roman"/>
          <w:b/>
          <w:bCs/>
          <w:sz w:val="24"/>
          <w:szCs w:val="24"/>
        </w:rPr>
        <w:t>Attendees from FinCEN:</w:t>
      </w:r>
      <w:r w:rsidRPr="00E374FF">
        <w:rPr>
          <w:rFonts w:ascii="Times New Roman" w:hAnsi="Times New Roman" w:cs="Times New Roman"/>
          <w:sz w:val="24"/>
          <w:szCs w:val="24"/>
        </w:rPr>
        <w:t xml:space="preserve">  Staff </w:t>
      </w:r>
    </w:p>
    <w:p w14:paraId="1AA7B092" w14:textId="13FE1308" w:rsidR="00AC647D" w:rsidRPr="00AC647D" w:rsidRDefault="00AC647D">
      <w:pPr>
        <w:rPr>
          <w:rFonts w:ascii="Times New Roman" w:hAnsi="Times New Roman" w:cs="Times New Roman"/>
          <w:b/>
          <w:bCs/>
          <w:sz w:val="24"/>
          <w:szCs w:val="24"/>
        </w:rPr>
      </w:pPr>
      <w:r w:rsidRPr="00AC647D">
        <w:rPr>
          <w:rFonts w:ascii="Times New Roman" w:hAnsi="Times New Roman" w:cs="Times New Roman"/>
          <w:b/>
          <w:bCs/>
          <w:sz w:val="24"/>
          <w:szCs w:val="24"/>
        </w:rPr>
        <w:t>Attendees</w:t>
      </w:r>
      <w:r w:rsidR="00DC308B">
        <w:rPr>
          <w:rFonts w:ascii="Times New Roman" w:hAnsi="Times New Roman" w:cs="Times New Roman"/>
          <w:b/>
          <w:bCs/>
          <w:sz w:val="24"/>
          <w:szCs w:val="24"/>
        </w:rPr>
        <w:t xml:space="preserve"> from AEA</w:t>
      </w:r>
      <w:r w:rsidRPr="00AC647D">
        <w:rPr>
          <w:rFonts w:ascii="Times New Roman" w:hAnsi="Times New Roman" w:cs="Times New Roman"/>
          <w:b/>
          <w:bCs/>
          <w:sz w:val="24"/>
          <w:szCs w:val="24"/>
        </w:rPr>
        <w:t xml:space="preserve">: </w:t>
      </w:r>
    </w:p>
    <w:p w14:paraId="2182428D" w14:textId="77777777" w:rsidR="00AC647D" w:rsidRPr="00AC647D" w:rsidRDefault="00AC647D" w:rsidP="00AC647D">
      <w:pPr>
        <w:pStyle w:val="ListParagraph"/>
        <w:numPr>
          <w:ilvl w:val="0"/>
          <w:numId w:val="1"/>
        </w:numPr>
        <w:rPr>
          <w:rFonts w:ascii="Times New Roman" w:hAnsi="Times New Roman" w:cs="Times New Roman"/>
          <w:sz w:val="24"/>
          <w:szCs w:val="24"/>
        </w:rPr>
      </w:pPr>
      <w:r w:rsidRPr="00AC647D">
        <w:rPr>
          <w:rFonts w:ascii="Times New Roman" w:hAnsi="Times New Roman" w:cs="Times New Roman"/>
          <w:sz w:val="24"/>
          <w:szCs w:val="24"/>
        </w:rPr>
        <w:t>Rebecca Landry (CO) President</w:t>
      </w:r>
    </w:p>
    <w:p w14:paraId="1D3FE0E9" w14:textId="77777777" w:rsidR="00AC647D" w:rsidRPr="00AC647D" w:rsidRDefault="00AC647D" w:rsidP="00AC647D">
      <w:pPr>
        <w:pStyle w:val="ListParagraph"/>
        <w:numPr>
          <w:ilvl w:val="0"/>
          <w:numId w:val="1"/>
        </w:numPr>
        <w:rPr>
          <w:rFonts w:ascii="Times New Roman" w:hAnsi="Times New Roman" w:cs="Times New Roman"/>
          <w:sz w:val="24"/>
          <w:szCs w:val="24"/>
        </w:rPr>
      </w:pPr>
      <w:r w:rsidRPr="00AC647D">
        <w:rPr>
          <w:rFonts w:ascii="Times New Roman" w:hAnsi="Times New Roman" w:cs="Times New Roman"/>
          <w:sz w:val="24"/>
          <w:szCs w:val="24"/>
        </w:rPr>
        <w:t>Jennifer Smith (NV) Incoming President</w:t>
      </w:r>
    </w:p>
    <w:p w14:paraId="36A3FB46" w14:textId="77777777" w:rsidR="00AC647D" w:rsidRPr="00AC647D" w:rsidRDefault="00AC647D" w:rsidP="00AC647D">
      <w:pPr>
        <w:pStyle w:val="ListParagraph"/>
        <w:numPr>
          <w:ilvl w:val="0"/>
          <w:numId w:val="1"/>
        </w:numPr>
        <w:rPr>
          <w:rFonts w:ascii="Times New Roman" w:hAnsi="Times New Roman" w:cs="Times New Roman"/>
          <w:sz w:val="24"/>
          <w:szCs w:val="24"/>
        </w:rPr>
      </w:pPr>
      <w:r w:rsidRPr="00AC647D">
        <w:rPr>
          <w:rFonts w:ascii="Times New Roman" w:hAnsi="Times New Roman" w:cs="Times New Roman"/>
          <w:sz w:val="24"/>
          <w:szCs w:val="24"/>
        </w:rPr>
        <w:t>Colleen Graves (CA) Secretary</w:t>
      </w:r>
    </w:p>
    <w:p w14:paraId="4BEB81D9" w14:textId="77777777" w:rsidR="00AC647D" w:rsidRPr="00AC647D" w:rsidRDefault="00AC647D" w:rsidP="00AC647D">
      <w:pPr>
        <w:pStyle w:val="ListParagraph"/>
        <w:numPr>
          <w:ilvl w:val="0"/>
          <w:numId w:val="1"/>
        </w:numPr>
        <w:rPr>
          <w:rFonts w:ascii="Times New Roman" w:hAnsi="Times New Roman" w:cs="Times New Roman"/>
          <w:sz w:val="24"/>
          <w:szCs w:val="24"/>
        </w:rPr>
      </w:pPr>
      <w:r w:rsidRPr="00AC647D">
        <w:rPr>
          <w:rFonts w:ascii="Times New Roman" w:hAnsi="Times New Roman" w:cs="Times New Roman"/>
          <w:sz w:val="24"/>
          <w:szCs w:val="24"/>
        </w:rPr>
        <w:t>Heather LeBlanc (AZ) Treasurer and Past President</w:t>
      </w:r>
    </w:p>
    <w:p w14:paraId="24E13E5F" w14:textId="77777777" w:rsidR="00AC647D" w:rsidRPr="00AC647D" w:rsidRDefault="00AC647D" w:rsidP="00AC647D">
      <w:pPr>
        <w:pStyle w:val="ListParagraph"/>
        <w:numPr>
          <w:ilvl w:val="0"/>
          <w:numId w:val="1"/>
        </w:numPr>
        <w:rPr>
          <w:rFonts w:ascii="Times New Roman" w:hAnsi="Times New Roman" w:cs="Times New Roman"/>
          <w:sz w:val="24"/>
          <w:szCs w:val="24"/>
        </w:rPr>
      </w:pPr>
      <w:r w:rsidRPr="00AC647D">
        <w:rPr>
          <w:rFonts w:ascii="Times New Roman" w:hAnsi="Times New Roman" w:cs="Times New Roman"/>
          <w:sz w:val="24"/>
          <w:szCs w:val="24"/>
        </w:rPr>
        <w:t>Tiffannie Hobgood (AZ) Immediate Past President</w:t>
      </w:r>
    </w:p>
    <w:p w14:paraId="7022827F" w14:textId="77777777" w:rsidR="00AC647D" w:rsidRPr="00AC647D" w:rsidRDefault="00AC647D" w:rsidP="00AC647D">
      <w:pPr>
        <w:pStyle w:val="ListParagraph"/>
        <w:numPr>
          <w:ilvl w:val="0"/>
          <w:numId w:val="1"/>
        </w:numPr>
        <w:rPr>
          <w:rFonts w:ascii="Times New Roman" w:hAnsi="Times New Roman" w:cs="Times New Roman"/>
          <w:sz w:val="24"/>
          <w:szCs w:val="24"/>
        </w:rPr>
      </w:pPr>
      <w:r w:rsidRPr="00AC647D">
        <w:rPr>
          <w:rFonts w:ascii="Times New Roman" w:hAnsi="Times New Roman" w:cs="Times New Roman"/>
          <w:sz w:val="24"/>
          <w:szCs w:val="24"/>
        </w:rPr>
        <w:t>Rosanna Medeiros (CA) Past President and current CA Escrow Association State President</w:t>
      </w:r>
    </w:p>
    <w:p w14:paraId="57EC532E" w14:textId="701743AA" w:rsidR="00AC647D" w:rsidRDefault="00AC647D" w:rsidP="00AC647D">
      <w:pPr>
        <w:pStyle w:val="ListParagraph"/>
        <w:numPr>
          <w:ilvl w:val="0"/>
          <w:numId w:val="1"/>
        </w:numPr>
        <w:rPr>
          <w:rFonts w:ascii="Times New Roman" w:hAnsi="Times New Roman" w:cs="Times New Roman"/>
          <w:sz w:val="24"/>
          <w:szCs w:val="24"/>
        </w:rPr>
      </w:pPr>
      <w:r w:rsidRPr="00AC647D">
        <w:rPr>
          <w:rFonts w:ascii="Times New Roman" w:hAnsi="Times New Roman" w:cs="Times New Roman"/>
          <w:sz w:val="24"/>
          <w:szCs w:val="24"/>
        </w:rPr>
        <w:t>Art Davis, AEA Senior Policy Advisor (DC Rep since 1992)</w:t>
      </w:r>
    </w:p>
    <w:p w14:paraId="4CDFBDFA" w14:textId="77777777" w:rsidR="00BA57DC" w:rsidRDefault="00BA57DC" w:rsidP="00AC647D">
      <w:pPr>
        <w:rPr>
          <w:rFonts w:ascii="Times New Roman" w:hAnsi="Times New Roman" w:cs="Times New Roman"/>
          <w:b/>
          <w:bCs/>
          <w:sz w:val="24"/>
          <w:szCs w:val="24"/>
        </w:rPr>
      </w:pPr>
    </w:p>
    <w:p w14:paraId="713D084A" w14:textId="75A6CFEE" w:rsidR="00E95CFE" w:rsidRPr="00E95CFE" w:rsidRDefault="00E95CFE" w:rsidP="00AC647D">
      <w:pPr>
        <w:rPr>
          <w:rFonts w:ascii="Times New Roman" w:hAnsi="Times New Roman" w:cs="Times New Roman"/>
          <w:b/>
          <w:bCs/>
          <w:sz w:val="24"/>
          <w:szCs w:val="24"/>
        </w:rPr>
      </w:pPr>
      <w:r>
        <w:rPr>
          <w:rFonts w:ascii="Times New Roman" w:hAnsi="Times New Roman" w:cs="Times New Roman"/>
          <w:b/>
          <w:bCs/>
          <w:sz w:val="24"/>
          <w:szCs w:val="24"/>
        </w:rPr>
        <w:t xml:space="preserve">Summary of </w:t>
      </w:r>
      <w:r w:rsidRPr="00E95CFE">
        <w:rPr>
          <w:rFonts w:ascii="Times New Roman" w:hAnsi="Times New Roman" w:cs="Times New Roman"/>
          <w:b/>
          <w:bCs/>
          <w:sz w:val="24"/>
          <w:szCs w:val="24"/>
        </w:rPr>
        <w:t xml:space="preserve">Ex </w:t>
      </w:r>
      <w:proofErr w:type="spellStart"/>
      <w:r w:rsidRPr="00E95CFE">
        <w:rPr>
          <w:rFonts w:ascii="Times New Roman" w:hAnsi="Times New Roman" w:cs="Times New Roman"/>
          <w:b/>
          <w:bCs/>
          <w:sz w:val="24"/>
          <w:szCs w:val="24"/>
        </w:rPr>
        <w:t>Parte</w:t>
      </w:r>
      <w:proofErr w:type="spellEnd"/>
      <w:r w:rsidRPr="00E95CFE">
        <w:rPr>
          <w:rFonts w:ascii="Times New Roman" w:hAnsi="Times New Roman" w:cs="Times New Roman"/>
          <w:b/>
          <w:bCs/>
          <w:sz w:val="24"/>
          <w:szCs w:val="24"/>
        </w:rPr>
        <w:t xml:space="preserve"> Communication</w:t>
      </w:r>
      <w:r w:rsidR="009B1900">
        <w:rPr>
          <w:rFonts w:ascii="Times New Roman" w:hAnsi="Times New Roman" w:cs="Times New Roman"/>
          <w:b/>
          <w:bCs/>
          <w:sz w:val="24"/>
          <w:szCs w:val="24"/>
        </w:rPr>
        <w:t>:</w:t>
      </w:r>
    </w:p>
    <w:p w14:paraId="59D39F6D" w14:textId="6AD9CF25" w:rsidR="00AC647D" w:rsidRPr="00FE1CC5" w:rsidRDefault="00055DDC" w:rsidP="00AC647D">
      <w:pPr>
        <w:rPr>
          <w:rFonts w:ascii="Times New Roman" w:hAnsi="Times New Roman" w:cs="Times New Roman"/>
          <w:sz w:val="24"/>
          <w:szCs w:val="24"/>
          <w:u w:val="single"/>
        </w:rPr>
      </w:pPr>
      <w:r w:rsidRPr="00FE1CC5">
        <w:rPr>
          <w:rFonts w:ascii="Times New Roman" w:hAnsi="Times New Roman" w:cs="Times New Roman"/>
          <w:sz w:val="24"/>
          <w:szCs w:val="24"/>
          <w:u w:val="single"/>
        </w:rPr>
        <w:t xml:space="preserve">General </w:t>
      </w:r>
      <w:r w:rsidR="00BA57DC" w:rsidRPr="00FE1CC5">
        <w:rPr>
          <w:rFonts w:ascii="Times New Roman" w:hAnsi="Times New Roman" w:cs="Times New Roman"/>
          <w:sz w:val="24"/>
          <w:szCs w:val="24"/>
          <w:u w:val="single"/>
        </w:rPr>
        <w:t>Support for NPRM</w:t>
      </w:r>
    </w:p>
    <w:p w14:paraId="3C5DC781" w14:textId="086C0613" w:rsidR="00BA57DC" w:rsidRDefault="00BA57DC" w:rsidP="00AC647D">
      <w:pPr>
        <w:rPr>
          <w:rFonts w:ascii="Times New Roman" w:hAnsi="Times New Roman" w:cs="Times New Roman"/>
          <w:sz w:val="24"/>
          <w:szCs w:val="24"/>
        </w:rPr>
      </w:pPr>
      <w:r>
        <w:rPr>
          <w:rFonts w:ascii="Times New Roman" w:hAnsi="Times New Roman" w:cs="Times New Roman"/>
          <w:sz w:val="24"/>
          <w:szCs w:val="24"/>
        </w:rPr>
        <w:t xml:space="preserve">AEA </w:t>
      </w:r>
      <w:r w:rsidR="00055DDC">
        <w:rPr>
          <w:rFonts w:ascii="Times New Roman" w:hAnsi="Times New Roman" w:cs="Times New Roman"/>
          <w:sz w:val="24"/>
          <w:szCs w:val="24"/>
        </w:rPr>
        <w:t xml:space="preserve">expressed appreciation for </w:t>
      </w:r>
      <w:r>
        <w:rPr>
          <w:rFonts w:ascii="Times New Roman" w:hAnsi="Times New Roman" w:cs="Times New Roman"/>
          <w:sz w:val="24"/>
          <w:szCs w:val="24"/>
        </w:rPr>
        <w:t xml:space="preserve">the balance struck by the NPRM, </w:t>
      </w:r>
      <w:r w:rsidR="00475993">
        <w:rPr>
          <w:rFonts w:ascii="Times New Roman" w:hAnsi="Times New Roman" w:cs="Times New Roman"/>
          <w:sz w:val="24"/>
          <w:szCs w:val="24"/>
        </w:rPr>
        <w:t xml:space="preserve">particularly the </w:t>
      </w:r>
      <w:r>
        <w:rPr>
          <w:rFonts w:ascii="Times New Roman" w:hAnsi="Times New Roman" w:cs="Times New Roman"/>
          <w:sz w:val="24"/>
          <w:szCs w:val="24"/>
        </w:rPr>
        <w:t>propos</w:t>
      </w:r>
      <w:r w:rsidR="00475993">
        <w:rPr>
          <w:rFonts w:ascii="Times New Roman" w:hAnsi="Times New Roman" w:cs="Times New Roman"/>
          <w:sz w:val="24"/>
          <w:szCs w:val="24"/>
        </w:rPr>
        <w:t>al of</w:t>
      </w:r>
      <w:r>
        <w:rPr>
          <w:rFonts w:ascii="Times New Roman" w:hAnsi="Times New Roman" w:cs="Times New Roman"/>
          <w:sz w:val="24"/>
          <w:szCs w:val="24"/>
        </w:rPr>
        <w:t xml:space="preserve"> a limited reporting requirement instead of a full AML program obligation. </w:t>
      </w:r>
    </w:p>
    <w:p w14:paraId="3FD7E3B1" w14:textId="582979D9" w:rsidR="00AC647D" w:rsidRPr="00E95CFE" w:rsidRDefault="00475993" w:rsidP="00AC647D">
      <w:pPr>
        <w:rPr>
          <w:rFonts w:ascii="Times New Roman" w:hAnsi="Times New Roman" w:cs="Times New Roman"/>
          <w:sz w:val="24"/>
          <w:szCs w:val="24"/>
          <w:u w:val="single"/>
        </w:rPr>
      </w:pPr>
      <w:r w:rsidRPr="00E95CFE">
        <w:rPr>
          <w:rFonts w:ascii="Times New Roman" w:hAnsi="Times New Roman" w:cs="Times New Roman"/>
          <w:sz w:val="24"/>
          <w:szCs w:val="24"/>
          <w:u w:val="single"/>
        </w:rPr>
        <w:t xml:space="preserve">Reporting Person </w:t>
      </w:r>
      <w:r w:rsidR="005E28F9" w:rsidRPr="00E95CFE">
        <w:rPr>
          <w:rFonts w:ascii="Times New Roman" w:hAnsi="Times New Roman" w:cs="Times New Roman"/>
          <w:sz w:val="24"/>
          <w:szCs w:val="24"/>
          <w:u w:val="single"/>
        </w:rPr>
        <w:t>Access to Information</w:t>
      </w:r>
    </w:p>
    <w:p w14:paraId="5E9DE659" w14:textId="33D3ADD5" w:rsidR="005E28F9" w:rsidRDefault="00DC308B" w:rsidP="005E28F9">
      <w:pPr>
        <w:rPr>
          <w:rFonts w:ascii="Times New Roman" w:hAnsi="Times New Roman" w:cs="Times New Roman"/>
          <w:sz w:val="24"/>
          <w:szCs w:val="24"/>
        </w:rPr>
      </w:pPr>
      <w:r>
        <w:rPr>
          <w:rFonts w:ascii="Times New Roman" w:hAnsi="Times New Roman" w:cs="Times New Roman"/>
          <w:sz w:val="24"/>
          <w:szCs w:val="24"/>
        </w:rPr>
        <w:t>As reporting persons, the s</w:t>
      </w:r>
      <w:r w:rsidR="000B5704">
        <w:rPr>
          <w:rFonts w:ascii="Times New Roman" w:hAnsi="Times New Roman" w:cs="Times New Roman"/>
          <w:sz w:val="24"/>
          <w:szCs w:val="24"/>
        </w:rPr>
        <w:t>ettlement agents</w:t>
      </w:r>
      <w:r w:rsidR="005E28F9">
        <w:rPr>
          <w:rFonts w:ascii="Times New Roman" w:hAnsi="Times New Roman" w:cs="Times New Roman"/>
          <w:sz w:val="24"/>
          <w:szCs w:val="24"/>
        </w:rPr>
        <w:t xml:space="preserve"> represented by AEA</w:t>
      </w:r>
      <w:r>
        <w:rPr>
          <w:rFonts w:ascii="Times New Roman" w:hAnsi="Times New Roman" w:cs="Times New Roman"/>
          <w:sz w:val="24"/>
          <w:szCs w:val="24"/>
        </w:rPr>
        <w:t xml:space="preserve"> </w:t>
      </w:r>
      <w:r w:rsidR="005E28F9">
        <w:rPr>
          <w:rFonts w:ascii="Times New Roman" w:hAnsi="Times New Roman" w:cs="Times New Roman"/>
          <w:sz w:val="24"/>
          <w:szCs w:val="24"/>
        </w:rPr>
        <w:t>would</w:t>
      </w:r>
      <w:r>
        <w:rPr>
          <w:rFonts w:ascii="Times New Roman" w:hAnsi="Times New Roman" w:cs="Times New Roman"/>
          <w:sz w:val="24"/>
          <w:szCs w:val="24"/>
        </w:rPr>
        <w:t>, as is described in the NPRM,</w:t>
      </w:r>
      <w:r w:rsidR="005E28F9">
        <w:rPr>
          <w:rFonts w:ascii="Times New Roman" w:hAnsi="Times New Roman" w:cs="Times New Roman"/>
          <w:sz w:val="24"/>
          <w:szCs w:val="24"/>
        </w:rPr>
        <w:t xml:space="preserve"> “</w:t>
      </w:r>
      <w:r w:rsidR="005E28F9" w:rsidRPr="005E28F9">
        <w:rPr>
          <w:rFonts w:ascii="Times New Roman" w:hAnsi="Times New Roman" w:cs="Times New Roman"/>
          <w:sz w:val="24"/>
          <w:szCs w:val="24"/>
        </w:rPr>
        <w:t>have access to some, but not all, of the reportable information</w:t>
      </w:r>
      <w:r>
        <w:rPr>
          <w:rFonts w:ascii="Times New Roman" w:hAnsi="Times New Roman" w:cs="Times New Roman"/>
          <w:sz w:val="24"/>
          <w:szCs w:val="24"/>
        </w:rPr>
        <w:t>.</w:t>
      </w:r>
      <w:r w:rsidR="005E28F9">
        <w:rPr>
          <w:rFonts w:ascii="Times New Roman" w:hAnsi="Times New Roman" w:cs="Times New Roman"/>
          <w:sz w:val="24"/>
          <w:szCs w:val="24"/>
        </w:rPr>
        <w:t xml:space="preserve">” </w:t>
      </w:r>
      <w:r w:rsidR="000B5704">
        <w:rPr>
          <w:rFonts w:ascii="Times New Roman" w:hAnsi="Times New Roman" w:cs="Times New Roman"/>
          <w:sz w:val="24"/>
          <w:szCs w:val="24"/>
        </w:rPr>
        <w:t xml:space="preserve"> </w:t>
      </w:r>
      <w:r w:rsidR="00475993">
        <w:rPr>
          <w:rFonts w:ascii="Times New Roman" w:hAnsi="Times New Roman" w:cs="Times New Roman"/>
          <w:sz w:val="24"/>
          <w:szCs w:val="24"/>
        </w:rPr>
        <w:t xml:space="preserve">AEA stated that </w:t>
      </w:r>
      <w:r w:rsidR="00FE4B19">
        <w:rPr>
          <w:rFonts w:ascii="Times New Roman" w:hAnsi="Times New Roman" w:cs="Times New Roman"/>
          <w:sz w:val="24"/>
          <w:szCs w:val="24"/>
        </w:rPr>
        <w:t xml:space="preserve">working group discussions </w:t>
      </w:r>
      <w:r w:rsidR="00475993">
        <w:rPr>
          <w:rFonts w:ascii="Times New Roman" w:hAnsi="Times New Roman" w:cs="Times New Roman"/>
          <w:sz w:val="24"/>
          <w:szCs w:val="24"/>
        </w:rPr>
        <w:t xml:space="preserve">of the proposed rule </w:t>
      </w:r>
      <w:r w:rsidR="00FE4B19">
        <w:rPr>
          <w:rFonts w:ascii="Times New Roman" w:hAnsi="Times New Roman" w:cs="Times New Roman"/>
          <w:sz w:val="24"/>
          <w:szCs w:val="24"/>
        </w:rPr>
        <w:t xml:space="preserve">raised concerns </w:t>
      </w:r>
      <w:r w:rsidR="00475993">
        <w:rPr>
          <w:rFonts w:ascii="Times New Roman" w:hAnsi="Times New Roman" w:cs="Times New Roman"/>
          <w:sz w:val="24"/>
          <w:szCs w:val="24"/>
        </w:rPr>
        <w:t>that s</w:t>
      </w:r>
      <w:r w:rsidR="000B5704">
        <w:rPr>
          <w:rFonts w:ascii="Times New Roman" w:hAnsi="Times New Roman" w:cs="Times New Roman"/>
          <w:sz w:val="24"/>
          <w:szCs w:val="24"/>
        </w:rPr>
        <w:t xml:space="preserve">ome </w:t>
      </w:r>
      <w:r w:rsidR="00FE4B19">
        <w:rPr>
          <w:rFonts w:ascii="Times New Roman" w:hAnsi="Times New Roman" w:cs="Times New Roman"/>
          <w:sz w:val="24"/>
          <w:szCs w:val="24"/>
        </w:rPr>
        <w:t xml:space="preserve">potentially reportable </w:t>
      </w:r>
      <w:r w:rsidR="000B5704">
        <w:rPr>
          <w:rFonts w:ascii="Times New Roman" w:hAnsi="Times New Roman" w:cs="Times New Roman"/>
          <w:sz w:val="24"/>
          <w:szCs w:val="24"/>
        </w:rPr>
        <w:t xml:space="preserve">information is not currently available to settlement agents, and some information may be collected </w:t>
      </w:r>
      <w:r>
        <w:rPr>
          <w:rFonts w:ascii="Times New Roman" w:hAnsi="Times New Roman" w:cs="Times New Roman"/>
          <w:sz w:val="24"/>
          <w:szCs w:val="24"/>
        </w:rPr>
        <w:t>by settlement agents</w:t>
      </w:r>
      <w:r w:rsidR="00475993">
        <w:rPr>
          <w:rFonts w:ascii="Times New Roman" w:hAnsi="Times New Roman" w:cs="Times New Roman"/>
          <w:sz w:val="24"/>
          <w:szCs w:val="24"/>
        </w:rPr>
        <w:t>,</w:t>
      </w:r>
      <w:r>
        <w:rPr>
          <w:rFonts w:ascii="Times New Roman" w:hAnsi="Times New Roman" w:cs="Times New Roman"/>
          <w:sz w:val="24"/>
          <w:szCs w:val="24"/>
        </w:rPr>
        <w:t xml:space="preserve"> but is not </w:t>
      </w:r>
      <w:r w:rsidR="000B5704">
        <w:rPr>
          <w:rFonts w:ascii="Times New Roman" w:hAnsi="Times New Roman" w:cs="Times New Roman"/>
          <w:sz w:val="24"/>
          <w:szCs w:val="24"/>
        </w:rPr>
        <w:t>retained</w:t>
      </w:r>
      <w:r w:rsidR="00475993">
        <w:rPr>
          <w:rFonts w:ascii="Times New Roman" w:hAnsi="Times New Roman" w:cs="Times New Roman"/>
          <w:sz w:val="24"/>
          <w:szCs w:val="24"/>
        </w:rPr>
        <w:t>.</w:t>
      </w:r>
    </w:p>
    <w:p w14:paraId="1C594D8A" w14:textId="417BD278" w:rsidR="00114095" w:rsidRDefault="000E6038" w:rsidP="000E6038">
      <w:pPr>
        <w:rPr>
          <w:rFonts w:ascii="Times New Roman" w:hAnsi="Times New Roman" w:cs="Times New Roman"/>
          <w:sz w:val="24"/>
          <w:szCs w:val="24"/>
        </w:rPr>
      </w:pPr>
      <w:r>
        <w:rPr>
          <w:rFonts w:ascii="Times New Roman" w:hAnsi="Times New Roman" w:cs="Times New Roman"/>
          <w:sz w:val="24"/>
          <w:szCs w:val="24"/>
        </w:rPr>
        <w:t>Settlement agents may be well</w:t>
      </w:r>
      <w:r w:rsidR="00475993">
        <w:rPr>
          <w:rFonts w:ascii="Times New Roman" w:hAnsi="Times New Roman" w:cs="Times New Roman"/>
          <w:sz w:val="24"/>
          <w:szCs w:val="24"/>
        </w:rPr>
        <w:t>-</w:t>
      </w:r>
      <w:r>
        <w:rPr>
          <w:rFonts w:ascii="Times New Roman" w:hAnsi="Times New Roman" w:cs="Times New Roman"/>
          <w:sz w:val="24"/>
          <w:szCs w:val="24"/>
        </w:rPr>
        <w:t xml:space="preserve">equipped in time, manner, and mode to comply, but </w:t>
      </w:r>
      <w:r w:rsidR="00DC308B">
        <w:rPr>
          <w:rFonts w:ascii="Times New Roman" w:hAnsi="Times New Roman" w:cs="Times New Roman"/>
          <w:sz w:val="24"/>
          <w:szCs w:val="24"/>
        </w:rPr>
        <w:t xml:space="preserve">the </w:t>
      </w:r>
      <w:r>
        <w:rPr>
          <w:rFonts w:ascii="Times New Roman" w:hAnsi="Times New Roman" w:cs="Times New Roman"/>
          <w:sz w:val="24"/>
          <w:szCs w:val="24"/>
        </w:rPr>
        <w:t>main issue is the effort that would be required to collect the proposed information.  For example, settlement agents in all</w:t>
      </w:r>
      <w:r w:rsidR="00475993">
        <w:rPr>
          <w:rFonts w:ascii="Times New Roman" w:hAnsi="Times New Roman" w:cs="Times New Roman"/>
          <w:sz w:val="24"/>
          <w:szCs w:val="24"/>
        </w:rPr>
        <w:t>-</w:t>
      </w:r>
      <w:r>
        <w:rPr>
          <w:rFonts w:ascii="Times New Roman" w:hAnsi="Times New Roman" w:cs="Times New Roman"/>
          <w:sz w:val="24"/>
          <w:szCs w:val="24"/>
        </w:rPr>
        <w:t xml:space="preserve">cash transactions do not </w:t>
      </w:r>
      <w:r w:rsidR="00475993">
        <w:rPr>
          <w:rFonts w:ascii="Times New Roman" w:hAnsi="Times New Roman" w:cs="Times New Roman"/>
          <w:sz w:val="24"/>
          <w:szCs w:val="24"/>
        </w:rPr>
        <w:t xml:space="preserve">currently collect certain </w:t>
      </w:r>
      <w:r>
        <w:rPr>
          <w:rFonts w:ascii="Times New Roman" w:hAnsi="Times New Roman" w:cs="Times New Roman"/>
          <w:sz w:val="24"/>
          <w:szCs w:val="24"/>
        </w:rPr>
        <w:t xml:space="preserve">information about the </w:t>
      </w:r>
      <w:r>
        <w:rPr>
          <w:rFonts w:ascii="Times New Roman" w:hAnsi="Times New Roman" w:cs="Times New Roman"/>
          <w:sz w:val="24"/>
          <w:szCs w:val="24"/>
        </w:rPr>
        <w:lastRenderedPageBreak/>
        <w:t>buyers, such as social security numbers</w:t>
      </w:r>
      <w:r w:rsidR="002A3056">
        <w:rPr>
          <w:rFonts w:ascii="Times New Roman" w:hAnsi="Times New Roman" w:cs="Times New Roman"/>
          <w:sz w:val="24"/>
          <w:szCs w:val="24"/>
        </w:rPr>
        <w:t xml:space="preserve"> (though they do typically collect social security numbers of sellers)</w:t>
      </w:r>
      <w:r>
        <w:rPr>
          <w:rFonts w:ascii="Times New Roman" w:hAnsi="Times New Roman" w:cs="Times New Roman"/>
          <w:sz w:val="24"/>
          <w:szCs w:val="24"/>
        </w:rPr>
        <w:t xml:space="preserve">.  </w:t>
      </w:r>
      <w:r w:rsidR="00BA57DC">
        <w:rPr>
          <w:rFonts w:ascii="Times New Roman" w:hAnsi="Times New Roman" w:cs="Times New Roman"/>
          <w:sz w:val="24"/>
          <w:szCs w:val="24"/>
        </w:rPr>
        <w:t>T</w:t>
      </w:r>
      <w:r w:rsidR="0053359D">
        <w:rPr>
          <w:rFonts w:ascii="Times New Roman" w:hAnsi="Times New Roman" w:cs="Times New Roman"/>
          <w:sz w:val="24"/>
          <w:szCs w:val="24"/>
        </w:rPr>
        <w:t xml:space="preserve">he settlement agent would need to </w:t>
      </w:r>
      <w:r w:rsidR="00BA57DC">
        <w:rPr>
          <w:rFonts w:ascii="Times New Roman" w:hAnsi="Times New Roman" w:cs="Times New Roman"/>
          <w:sz w:val="24"/>
          <w:szCs w:val="24"/>
        </w:rPr>
        <w:t>gather that</w:t>
      </w:r>
      <w:r w:rsidR="00475993">
        <w:rPr>
          <w:rFonts w:ascii="Times New Roman" w:hAnsi="Times New Roman" w:cs="Times New Roman"/>
          <w:sz w:val="24"/>
          <w:szCs w:val="24"/>
        </w:rPr>
        <w:t xml:space="preserve"> </w:t>
      </w:r>
      <w:r w:rsidR="00BA57DC">
        <w:rPr>
          <w:rFonts w:ascii="Times New Roman" w:hAnsi="Times New Roman" w:cs="Times New Roman"/>
          <w:sz w:val="24"/>
          <w:szCs w:val="24"/>
        </w:rPr>
        <w:t xml:space="preserve">information from the consumer or other </w:t>
      </w:r>
      <w:r w:rsidR="0015145E">
        <w:rPr>
          <w:rFonts w:ascii="Times New Roman" w:hAnsi="Times New Roman" w:cs="Times New Roman"/>
          <w:sz w:val="24"/>
          <w:szCs w:val="24"/>
        </w:rPr>
        <w:t>person involved in the transaction</w:t>
      </w:r>
      <w:r w:rsidR="00BA57DC">
        <w:rPr>
          <w:rFonts w:ascii="Times New Roman" w:hAnsi="Times New Roman" w:cs="Times New Roman"/>
          <w:sz w:val="24"/>
          <w:szCs w:val="24"/>
        </w:rPr>
        <w:t>.</w:t>
      </w:r>
      <w:r w:rsidR="00475993">
        <w:rPr>
          <w:rFonts w:ascii="Times New Roman" w:hAnsi="Times New Roman" w:cs="Times New Roman"/>
          <w:sz w:val="24"/>
          <w:szCs w:val="24"/>
        </w:rPr>
        <w:t xml:space="preserve">  AEA stated that there were concerns about collecting this information when settlement agents are sometimes only present at one point in the transaction.</w:t>
      </w:r>
      <w:r w:rsidR="00112E20">
        <w:rPr>
          <w:rFonts w:ascii="Times New Roman" w:hAnsi="Times New Roman" w:cs="Times New Roman"/>
          <w:sz w:val="24"/>
          <w:szCs w:val="24"/>
        </w:rPr>
        <w:t xml:space="preserve">  In the GTO context, independent settlement agents often do not retain information and instead send it to a more centralized covered business that stores it. </w:t>
      </w:r>
      <w:r w:rsidR="00475993">
        <w:rPr>
          <w:rFonts w:ascii="Times New Roman" w:hAnsi="Times New Roman" w:cs="Times New Roman"/>
          <w:sz w:val="24"/>
          <w:szCs w:val="24"/>
        </w:rPr>
        <w:t xml:space="preserve"> </w:t>
      </w:r>
      <w:r w:rsidR="00114095">
        <w:rPr>
          <w:rFonts w:ascii="Times New Roman" w:hAnsi="Times New Roman" w:cs="Times New Roman"/>
          <w:sz w:val="24"/>
          <w:szCs w:val="24"/>
        </w:rPr>
        <w:t xml:space="preserve">  </w:t>
      </w:r>
    </w:p>
    <w:p w14:paraId="17BB3E06" w14:textId="561AFAFB" w:rsidR="000E6038" w:rsidRDefault="00114095" w:rsidP="000E6038">
      <w:pPr>
        <w:rPr>
          <w:rFonts w:ascii="Times New Roman" w:hAnsi="Times New Roman" w:cs="Times New Roman"/>
          <w:sz w:val="24"/>
          <w:szCs w:val="24"/>
        </w:rPr>
      </w:pPr>
      <w:r>
        <w:rPr>
          <w:rFonts w:ascii="Times New Roman" w:hAnsi="Times New Roman" w:cs="Times New Roman"/>
          <w:sz w:val="24"/>
          <w:szCs w:val="24"/>
        </w:rPr>
        <w:t xml:space="preserve">Regarding the requirement to gather source of funds information, settlement agents would not necessarily have it on hand for wire payments.  The account number may be abbreviated to four digits, and gifts or other information on payments from third parties may not be available. </w:t>
      </w:r>
    </w:p>
    <w:p w14:paraId="276F822D" w14:textId="6E0CF80C" w:rsidR="00104DFA" w:rsidRDefault="00104DFA" w:rsidP="000E6038">
      <w:pPr>
        <w:rPr>
          <w:rFonts w:ascii="Times New Roman" w:hAnsi="Times New Roman" w:cs="Times New Roman"/>
          <w:sz w:val="24"/>
          <w:szCs w:val="24"/>
        </w:rPr>
      </w:pPr>
      <w:r>
        <w:rPr>
          <w:rFonts w:ascii="Times New Roman" w:hAnsi="Times New Roman" w:cs="Times New Roman"/>
          <w:sz w:val="24"/>
          <w:szCs w:val="24"/>
        </w:rPr>
        <w:t xml:space="preserve">In the GTO context, it was initially difficult for </w:t>
      </w:r>
      <w:r w:rsidR="00C272B1">
        <w:rPr>
          <w:rFonts w:ascii="Times New Roman" w:hAnsi="Times New Roman" w:cs="Times New Roman"/>
          <w:sz w:val="24"/>
          <w:szCs w:val="24"/>
        </w:rPr>
        <w:t xml:space="preserve">less </w:t>
      </w:r>
      <w:r w:rsidR="00FE4B19">
        <w:rPr>
          <w:rFonts w:ascii="Times New Roman" w:hAnsi="Times New Roman" w:cs="Times New Roman"/>
          <w:sz w:val="24"/>
          <w:szCs w:val="24"/>
        </w:rPr>
        <w:t>experienced</w:t>
      </w:r>
      <w:r>
        <w:rPr>
          <w:rFonts w:ascii="Times New Roman" w:hAnsi="Times New Roman" w:cs="Times New Roman"/>
          <w:sz w:val="24"/>
          <w:szCs w:val="24"/>
        </w:rPr>
        <w:t xml:space="preserve"> staff to collect the </w:t>
      </w:r>
      <w:r w:rsidR="004B2931">
        <w:rPr>
          <w:rFonts w:ascii="Times New Roman" w:hAnsi="Times New Roman" w:cs="Times New Roman"/>
          <w:sz w:val="24"/>
          <w:szCs w:val="24"/>
        </w:rPr>
        <w:t xml:space="preserve">required </w:t>
      </w:r>
      <w:r>
        <w:rPr>
          <w:rFonts w:ascii="Times New Roman" w:hAnsi="Times New Roman" w:cs="Times New Roman"/>
          <w:sz w:val="24"/>
          <w:szCs w:val="24"/>
        </w:rPr>
        <w:t>information from the buyer</w:t>
      </w:r>
      <w:r w:rsidR="00C272B1">
        <w:rPr>
          <w:rFonts w:ascii="Times New Roman" w:hAnsi="Times New Roman" w:cs="Times New Roman"/>
          <w:sz w:val="24"/>
          <w:szCs w:val="24"/>
        </w:rPr>
        <w:t xml:space="preserve">.  They would need to go back to the buyer and make it clear that the information was needed to close the sale.  Some buyers push back. </w:t>
      </w:r>
    </w:p>
    <w:p w14:paraId="7C5F46D2" w14:textId="1571B0CB" w:rsidR="00E03F00" w:rsidRDefault="00E03F00" w:rsidP="000E6038">
      <w:pPr>
        <w:rPr>
          <w:rFonts w:ascii="Times New Roman" w:hAnsi="Times New Roman" w:cs="Times New Roman"/>
          <w:sz w:val="24"/>
          <w:szCs w:val="24"/>
        </w:rPr>
      </w:pPr>
      <w:r>
        <w:rPr>
          <w:rFonts w:ascii="Times New Roman" w:hAnsi="Times New Roman" w:cs="Times New Roman"/>
          <w:sz w:val="24"/>
          <w:szCs w:val="24"/>
        </w:rPr>
        <w:t xml:space="preserve">The </w:t>
      </w:r>
      <w:r w:rsidR="00055DDC">
        <w:rPr>
          <w:rFonts w:ascii="Times New Roman" w:hAnsi="Times New Roman" w:cs="Times New Roman"/>
          <w:sz w:val="24"/>
          <w:szCs w:val="24"/>
        </w:rPr>
        <w:t>r</w:t>
      </w:r>
      <w:r>
        <w:rPr>
          <w:rFonts w:ascii="Times New Roman" w:hAnsi="Times New Roman" w:cs="Times New Roman"/>
          <w:sz w:val="24"/>
          <w:szCs w:val="24"/>
        </w:rPr>
        <w:t>ule should make clear that other persons involved in the transfer have a clear duty under law to help provide information to the reporting person.</w:t>
      </w:r>
    </w:p>
    <w:p w14:paraId="7FA1ADD3" w14:textId="48B218A4" w:rsidR="000B5704" w:rsidRPr="00E95CFE" w:rsidRDefault="00F137C3" w:rsidP="005E28F9">
      <w:pPr>
        <w:rPr>
          <w:rFonts w:ascii="Times New Roman" w:hAnsi="Times New Roman" w:cs="Times New Roman"/>
          <w:sz w:val="24"/>
          <w:szCs w:val="24"/>
          <w:u w:val="single"/>
        </w:rPr>
      </w:pPr>
      <w:r w:rsidRPr="00E95CFE">
        <w:rPr>
          <w:rFonts w:ascii="Times New Roman" w:hAnsi="Times New Roman" w:cs="Times New Roman"/>
          <w:sz w:val="24"/>
          <w:szCs w:val="24"/>
          <w:u w:val="single"/>
        </w:rPr>
        <w:t xml:space="preserve">Reporting </w:t>
      </w:r>
      <w:r w:rsidR="000E6038" w:rsidRPr="00E95CFE">
        <w:rPr>
          <w:rFonts w:ascii="Times New Roman" w:hAnsi="Times New Roman" w:cs="Times New Roman"/>
          <w:sz w:val="24"/>
          <w:szCs w:val="24"/>
          <w:u w:val="single"/>
        </w:rPr>
        <w:t>Cascade</w:t>
      </w:r>
    </w:p>
    <w:p w14:paraId="67E966F5" w14:textId="77777777" w:rsidR="004B2931" w:rsidRDefault="002A3056" w:rsidP="005E28F9">
      <w:pPr>
        <w:rPr>
          <w:rFonts w:ascii="Times New Roman" w:hAnsi="Times New Roman" w:cs="Times New Roman"/>
          <w:sz w:val="24"/>
          <w:szCs w:val="24"/>
        </w:rPr>
      </w:pPr>
      <w:r>
        <w:rPr>
          <w:rFonts w:ascii="Times New Roman" w:hAnsi="Times New Roman" w:cs="Times New Roman"/>
          <w:sz w:val="24"/>
          <w:szCs w:val="24"/>
        </w:rPr>
        <w:t xml:space="preserve">AEA did not have concerns </w:t>
      </w:r>
      <w:r w:rsidR="004B2931">
        <w:rPr>
          <w:rFonts w:ascii="Times New Roman" w:hAnsi="Times New Roman" w:cs="Times New Roman"/>
          <w:sz w:val="24"/>
          <w:szCs w:val="24"/>
        </w:rPr>
        <w:t>with</w:t>
      </w:r>
      <w:r>
        <w:rPr>
          <w:rFonts w:ascii="Times New Roman" w:hAnsi="Times New Roman" w:cs="Times New Roman"/>
          <w:sz w:val="24"/>
          <w:szCs w:val="24"/>
        </w:rPr>
        <w:t xml:space="preserve"> the concept of a reporting cascade.</w:t>
      </w:r>
      <w:r w:rsidR="00FE4B1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2E5E9BA" w14:textId="21837F9D" w:rsidR="00055DDC" w:rsidRDefault="00055DDC" w:rsidP="00055DDC">
      <w:pPr>
        <w:rPr>
          <w:rFonts w:ascii="Times New Roman" w:hAnsi="Times New Roman" w:cs="Times New Roman"/>
          <w:sz w:val="24"/>
          <w:szCs w:val="24"/>
        </w:rPr>
      </w:pPr>
      <w:r>
        <w:rPr>
          <w:rFonts w:ascii="Times New Roman" w:hAnsi="Times New Roman" w:cs="Times New Roman"/>
          <w:sz w:val="24"/>
          <w:szCs w:val="24"/>
        </w:rPr>
        <w:t xml:space="preserve">As proposed, AEA’s member settlement agents would likely be at the top of the </w:t>
      </w:r>
      <w:r w:rsidR="004B2931">
        <w:rPr>
          <w:rFonts w:ascii="Times New Roman" w:hAnsi="Times New Roman" w:cs="Times New Roman"/>
          <w:sz w:val="24"/>
          <w:szCs w:val="24"/>
        </w:rPr>
        <w:t xml:space="preserve">proposed </w:t>
      </w:r>
      <w:r>
        <w:rPr>
          <w:rFonts w:ascii="Times New Roman" w:hAnsi="Times New Roman" w:cs="Times New Roman"/>
          <w:sz w:val="24"/>
          <w:szCs w:val="24"/>
        </w:rPr>
        <w:t xml:space="preserve">reporting cascade, as their names are on the settlement statement.  </w:t>
      </w:r>
    </w:p>
    <w:p w14:paraId="5C437C75" w14:textId="1B9B5BAB" w:rsidR="000E6038" w:rsidRDefault="000E6038" w:rsidP="005E28F9">
      <w:pPr>
        <w:rPr>
          <w:rFonts w:ascii="Times New Roman" w:hAnsi="Times New Roman" w:cs="Times New Roman"/>
          <w:sz w:val="24"/>
          <w:szCs w:val="24"/>
        </w:rPr>
      </w:pPr>
      <w:r>
        <w:rPr>
          <w:rFonts w:ascii="Times New Roman" w:hAnsi="Times New Roman" w:cs="Times New Roman"/>
          <w:sz w:val="24"/>
          <w:szCs w:val="24"/>
        </w:rPr>
        <w:t>AEA believes that real estate agents would be better suited to be at the top of the reporting cascade due to their close</w:t>
      </w:r>
      <w:r w:rsidR="00BA57DC">
        <w:rPr>
          <w:rFonts w:ascii="Times New Roman" w:hAnsi="Times New Roman" w:cs="Times New Roman"/>
          <w:sz w:val="24"/>
          <w:szCs w:val="24"/>
        </w:rPr>
        <w:t>r</w:t>
      </w:r>
      <w:r>
        <w:rPr>
          <w:rFonts w:ascii="Times New Roman" w:hAnsi="Times New Roman" w:cs="Times New Roman"/>
          <w:sz w:val="24"/>
          <w:szCs w:val="24"/>
        </w:rPr>
        <w:t xml:space="preserve"> relationship with the </w:t>
      </w:r>
      <w:r w:rsidR="00475993">
        <w:rPr>
          <w:rFonts w:ascii="Times New Roman" w:hAnsi="Times New Roman" w:cs="Times New Roman"/>
          <w:sz w:val="24"/>
          <w:szCs w:val="24"/>
        </w:rPr>
        <w:t>buyer and seller.</w:t>
      </w:r>
    </w:p>
    <w:p w14:paraId="531DF601" w14:textId="77777777" w:rsidR="004B2931" w:rsidRDefault="004B2931" w:rsidP="004B2931">
      <w:pPr>
        <w:rPr>
          <w:rFonts w:ascii="Times New Roman" w:hAnsi="Times New Roman" w:cs="Times New Roman"/>
          <w:sz w:val="24"/>
          <w:szCs w:val="24"/>
        </w:rPr>
      </w:pPr>
      <w:r>
        <w:rPr>
          <w:rFonts w:ascii="Times New Roman" w:hAnsi="Times New Roman" w:cs="Times New Roman"/>
          <w:sz w:val="24"/>
          <w:szCs w:val="24"/>
        </w:rPr>
        <w:t xml:space="preserve">AEA believes that all persons involved in real estate closings and settlements should have a duty gather required information for one person to file. </w:t>
      </w:r>
    </w:p>
    <w:p w14:paraId="00DF7C84" w14:textId="77777777" w:rsidR="00F137C3" w:rsidRDefault="00F137C3" w:rsidP="00F137C3">
      <w:pPr>
        <w:rPr>
          <w:rFonts w:ascii="Times New Roman" w:hAnsi="Times New Roman" w:cs="Times New Roman"/>
          <w:sz w:val="24"/>
          <w:szCs w:val="24"/>
        </w:rPr>
      </w:pPr>
      <w:r>
        <w:rPr>
          <w:rFonts w:ascii="Times New Roman" w:hAnsi="Times New Roman" w:cs="Times New Roman"/>
          <w:sz w:val="24"/>
          <w:szCs w:val="24"/>
        </w:rPr>
        <w:t>In some states, such as Washington and Missouri, split settlements occur where each party has their own settlement company.</w:t>
      </w:r>
    </w:p>
    <w:p w14:paraId="18B874ED" w14:textId="760D39CE" w:rsidR="00F137C3" w:rsidRDefault="00F137C3" w:rsidP="00F137C3">
      <w:pPr>
        <w:rPr>
          <w:rFonts w:ascii="Times New Roman" w:hAnsi="Times New Roman" w:cs="Times New Roman"/>
          <w:sz w:val="24"/>
          <w:szCs w:val="24"/>
        </w:rPr>
      </w:pPr>
      <w:r>
        <w:rPr>
          <w:rFonts w:ascii="Times New Roman" w:hAnsi="Times New Roman" w:cs="Times New Roman"/>
          <w:sz w:val="24"/>
          <w:szCs w:val="24"/>
        </w:rPr>
        <w:t xml:space="preserve">It is helpful that the NPRM </w:t>
      </w:r>
      <w:r w:rsidR="00714030">
        <w:rPr>
          <w:rFonts w:ascii="Times New Roman" w:hAnsi="Times New Roman" w:cs="Times New Roman"/>
          <w:sz w:val="24"/>
          <w:szCs w:val="24"/>
        </w:rPr>
        <w:t xml:space="preserve">currently states </w:t>
      </w:r>
      <w:r>
        <w:rPr>
          <w:rFonts w:ascii="Times New Roman" w:hAnsi="Times New Roman" w:cs="Times New Roman"/>
          <w:sz w:val="24"/>
          <w:szCs w:val="24"/>
        </w:rPr>
        <w:t xml:space="preserve">that the reporting person is the business, rather than the individual performing the cascade action. </w:t>
      </w:r>
    </w:p>
    <w:p w14:paraId="389B231B" w14:textId="77777777" w:rsidR="00F137C3" w:rsidRPr="00E95CFE" w:rsidRDefault="00F137C3" w:rsidP="00F137C3">
      <w:pPr>
        <w:rPr>
          <w:rFonts w:ascii="Times New Roman" w:hAnsi="Times New Roman" w:cs="Times New Roman"/>
          <w:sz w:val="24"/>
          <w:szCs w:val="24"/>
          <w:u w:val="single"/>
        </w:rPr>
      </w:pPr>
      <w:r w:rsidRPr="00E95CFE">
        <w:rPr>
          <w:rFonts w:ascii="Times New Roman" w:hAnsi="Times New Roman" w:cs="Times New Roman"/>
          <w:sz w:val="24"/>
          <w:szCs w:val="24"/>
          <w:u w:val="single"/>
        </w:rPr>
        <w:t>Designation Agreements</w:t>
      </w:r>
    </w:p>
    <w:p w14:paraId="7D4AED39" w14:textId="3E09C41C" w:rsidR="00F137C3" w:rsidRPr="00F137C3" w:rsidRDefault="002707B6" w:rsidP="00F137C3">
      <w:pPr>
        <w:rPr>
          <w:rFonts w:ascii="Times New Roman" w:hAnsi="Times New Roman" w:cs="Times New Roman"/>
          <w:sz w:val="24"/>
          <w:szCs w:val="24"/>
        </w:rPr>
      </w:pPr>
      <w:r>
        <w:rPr>
          <w:rFonts w:ascii="Times New Roman" w:hAnsi="Times New Roman" w:cs="Times New Roman"/>
          <w:sz w:val="24"/>
          <w:szCs w:val="24"/>
        </w:rPr>
        <w:t xml:space="preserve">AEA discussed the possibility of having third-party vendors perform the </w:t>
      </w:r>
      <w:r w:rsidR="001A2558">
        <w:rPr>
          <w:rFonts w:ascii="Times New Roman" w:hAnsi="Times New Roman" w:cs="Times New Roman"/>
          <w:sz w:val="24"/>
          <w:szCs w:val="24"/>
        </w:rPr>
        <w:t xml:space="preserve">reporting </w:t>
      </w:r>
      <w:r>
        <w:rPr>
          <w:rFonts w:ascii="Times New Roman" w:hAnsi="Times New Roman" w:cs="Times New Roman"/>
          <w:sz w:val="24"/>
          <w:szCs w:val="24"/>
        </w:rPr>
        <w:t xml:space="preserve">function.  Whether a settlement agent uses such a vendor would depend on the cost and how the vendor would access the settlement agent’s information. </w:t>
      </w:r>
    </w:p>
    <w:p w14:paraId="35C1BE4C" w14:textId="2223A35C" w:rsidR="00C272B1" w:rsidRPr="00E95CFE" w:rsidRDefault="00C272B1" w:rsidP="005E28F9">
      <w:pPr>
        <w:rPr>
          <w:rFonts w:ascii="Times New Roman" w:hAnsi="Times New Roman" w:cs="Times New Roman"/>
          <w:sz w:val="24"/>
          <w:szCs w:val="24"/>
          <w:u w:val="single"/>
        </w:rPr>
      </w:pPr>
      <w:r w:rsidRPr="00E95CFE">
        <w:rPr>
          <w:rFonts w:ascii="Times New Roman" w:hAnsi="Times New Roman" w:cs="Times New Roman"/>
          <w:sz w:val="24"/>
          <w:szCs w:val="24"/>
          <w:u w:val="single"/>
        </w:rPr>
        <w:t>Transferee Trusts</w:t>
      </w:r>
    </w:p>
    <w:p w14:paraId="51BBE36C" w14:textId="2894D1A4" w:rsidR="00C272B1" w:rsidRDefault="00C272B1" w:rsidP="005E28F9">
      <w:pPr>
        <w:rPr>
          <w:rFonts w:ascii="Times New Roman" w:hAnsi="Times New Roman" w:cs="Times New Roman"/>
          <w:sz w:val="24"/>
          <w:szCs w:val="24"/>
        </w:rPr>
      </w:pPr>
      <w:r>
        <w:rPr>
          <w:rFonts w:ascii="Times New Roman" w:hAnsi="Times New Roman" w:cs="Times New Roman"/>
          <w:sz w:val="24"/>
          <w:szCs w:val="24"/>
        </w:rPr>
        <w:t xml:space="preserve">In a traditional loan, </w:t>
      </w:r>
      <w:r w:rsidR="00F308BA">
        <w:rPr>
          <w:rFonts w:ascii="Times New Roman" w:hAnsi="Times New Roman" w:cs="Times New Roman"/>
          <w:sz w:val="24"/>
          <w:szCs w:val="24"/>
        </w:rPr>
        <w:t xml:space="preserve">you are not allowed to purchase a house and then immediately transfer it to a trust, </w:t>
      </w:r>
      <w:r>
        <w:rPr>
          <w:rFonts w:ascii="Times New Roman" w:hAnsi="Times New Roman" w:cs="Times New Roman"/>
          <w:sz w:val="24"/>
          <w:szCs w:val="24"/>
        </w:rPr>
        <w:t>as it violates the requirement that the house be immediately occupied as a residence.  That</w:t>
      </w:r>
      <w:r w:rsidR="004B2931">
        <w:rPr>
          <w:rFonts w:ascii="Times New Roman" w:hAnsi="Times New Roman" w:cs="Times New Roman"/>
          <w:sz w:val="24"/>
          <w:szCs w:val="24"/>
        </w:rPr>
        <w:t xml:space="preserve"> i</w:t>
      </w:r>
      <w:r>
        <w:rPr>
          <w:rFonts w:ascii="Times New Roman" w:hAnsi="Times New Roman" w:cs="Times New Roman"/>
          <w:sz w:val="24"/>
          <w:szCs w:val="24"/>
        </w:rPr>
        <w:t>s not the case with all</w:t>
      </w:r>
      <w:r w:rsidR="009150A6">
        <w:rPr>
          <w:rFonts w:ascii="Times New Roman" w:hAnsi="Times New Roman" w:cs="Times New Roman"/>
          <w:sz w:val="24"/>
          <w:szCs w:val="24"/>
        </w:rPr>
        <w:t>-</w:t>
      </w:r>
      <w:r>
        <w:rPr>
          <w:rFonts w:ascii="Times New Roman" w:hAnsi="Times New Roman" w:cs="Times New Roman"/>
          <w:sz w:val="24"/>
          <w:szCs w:val="24"/>
        </w:rPr>
        <w:t>cash purchases</w:t>
      </w:r>
      <w:r w:rsidR="00F308BA">
        <w:rPr>
          <w:rFonts w:ascii="Times New Roman" w:hAnsi="Times New Roman" w:cs="Times New Roman"/>
          <w:sz w:val="24"/>
          <w:szCs w:val="24"/>
        </w:rPr>
        <w:t xml:space="preserve">, and such sequential transfers may result in multiple reports. </w:t>
      </w:r>
    </w:p>
    <w:p w14:paraId="7816EA33" w14:textId="2021E482" w:rsidR="00887D8B" w:rsidRDefault="00887D8B" w:rsidP="005E28F9">
      <w:pPr>
        <w:rPr>
          <w:rFonts w:ascii="Times New Roman" w:hAnsi="Times New Roman" w:cs="Times New Roman"/>
          <w:sz w:val="24"/>
          <w:szCs w:val="24"/>
        </w:rPr>
      </w:pPr>
      <w:r>
        <w:rPr>
          <w:rFonts w:ascii="Times New Roman" w:hAnsi="Times New Roman" w:cs="Times New Roman"/>
          <w:sz w:val="24"/>
          <w:szCs w:val="24"/>
        </w:rPr>
        <w:lastRenderedPageBreak/>
        <w:t>In terms of gathering information on trusts, state laws differ</w:t>
      </w:r>
      <w:r w:rsidR="001A2558">
        <w:rPr>
          <w:rFonts w:ascii="Times New Roman" w:hAnsi="Times New Roman" w:cs="Times New Roman"/>
          <w:sz w:val="24"/>
          <w:szCs w:val="24"/>
        </w:rPr>
        <w:t xml:space="preserve"> as to what is available</w:t>
      </w:r>
      <w:r>
        <w:rPr>
          <w:rFonts w:ascii="Times New Roman" w:hAnsi="Times New Roman" w:cs="Times New Roman"/>
          <w:sz w:val="24"/>
          <w:szCs w:val="24"/>
        </w:rPr>
        <w:t xml:space="preserve">.  For example, </w:t>
      </w:r>
      <w:r w:rsidR="00642DB8">
        <w:rPr>
          <w:rFonts w:ascii="Times New Roman" w:hAnsi="Times New Roman" w:cs="Times New Roman"/>
          <w:sz w:val="24"/>
          <w:szCs w:val="24"/>
        </w:rPr>
        <w:t xml:space="preserve">in most states, such as </w:t>
      </w:r>
      <w:r>
        <w:rPr>
          <w:rFonts w:ascii="Times New Roman" w:hAnsi="Times New Roman" w:cs="Times New Roman"/>
          <w:sz w:val="24"/>
          <w:szCs w:val="24"/>
        </w:rPr>
        <w:t xml:space="preserve">Arizona, settlement agents have access to a trust certification listing certain information about </w:t>
      </w:r>
      <w:r w:rsidR="00FC6A8A">
        <w:rPr>
          <w:rFonts w:ascii="Times New Roman" w:hAnsi="Times New Roman" w:cs="Times New Roman"/>
          <w:sz w:val="24"/>
          <w:szCs w:val="24"/>
        </w:rPr>
        <w:t xml:space="preserve">a </w:t>
      </w:r>
      <w:r>
        <w:rPr>
          <w:rFonts w:ascii="Times New Roman" w:hAnsi="Times New Roman" w:cs="Times New Roman"/>
          <w:sz w:val="24"/>
          <w:szCs w:val="24"/>
        </w:rPr>
        <w:t>trust</w:t>
      </w:r>
      <w:r w:rsidR="001A2558">
        <w:rPr>
          <w:rFonts w:ascii="Times New Roman" w:hAnsi="Times New Roman" w:cs="Times New Roman"/>
          <w:sz w:val="24"/>
          <w:szCs w:val="24"/>
        </w:rPr>
        <w:t xml:space="preserve">—the settlement agent would not have access to the trust document itself.  </w:t>
      </w:r>
      <w:r w:rsidR="00642DB8">
        <w:rPr>
          <w:rFonts w:ascii="Times New Roman" w:hAnsi="Times New Roman" w:cs="Times New Roman"/>
          <w:sz w:val="24"/>
          <w:szCs w:val="24"/>
        </w:rPr>
        <w:t>Some</w:t>
      </w:r>
      <w:r w:rsidR="00FC6A8A">
        <w:rPr>
          <w:rFonts w:ascii="Times New Roman" w:hAnsi="Times New Roman" w:cs="Times New Roman"/>
          <w:sz w:val="24"/>
          <w:szCs w:val="24"/>
        </w:rPr>
        <w:t xml:space="preserve"> settlement agents</w:t>
      </w:r>
      <w:r w:rsidR="00642DB8">
        <w:rPr>
          <w:rFonts w:ascii="Times New Roman" w:hAnsi="Times New Roman" w:cs="Times New Roman"/>
          <w:sz w:val="24"/>
          <w:szCs w:val="24"/>
        </w:rPr>
        <w:t xml:space="preserve"> believe that asking to see a trust document would</w:t>
      </w:r>
      <w:r w:rsidR="00FC6A8A">
        <w:rPr>
          <w:rFonts w:ascii="Times New Roman" w:hAnsi="Times New Roman" w:cs="Times New Roman"/>
          <w:sz w:val="24"/>
          <w:szCs w:val="24"/>
        </w:rPr>
        <w:t xml:space="preserve"> seem like</w:t>
      </w:r>
      <w:r w:rsidR="00642DB8">
        <w:rPr>
          <w:rFonts w:ascii="Times New Roman" w:hAnsi="Times New Roman" w:cs="Times New Roman"/>
          <w:sz w:val="24"/>
          <w:szCs w:val="24"/>
        </w:rPr>
        <w:t xml:space="preserve"> an invasion of privacy</w:t>
      </w:r>
      <w:r w:rsidR="00FC6A8A">
        <w:rPr>
          <w:rFonts w:ascii="Times New Roman" w:hAnsi="Times New Roman" w:cs="Times New Roman"/>
          <w:sz w:val="24"/>
          <w:szCs w:val="24"/>
        </w:rPr>
        <w:t xml:space="preserve"> to clients</w:t>
      </w:r>
      <w:r w:rsidR="00FE4B19">
        <w:rPr>
          <w:rFonts w:ascii="Times New Roman" w:hAnsi="Times New Roman" w:cs="Times New Roman"/>
          <w:sz w:val="24"/>
          <w:szCs w:val="24"/>
        </w:rPr>
        <w:t>,</w:t>
      </w:r>
      <w:r w:rsidR="00FC6A8A">
        <w:rPr>
          <w:rFonts w:ascii="Times New Roman" w:hAnsi="Times New Roman" w:cs="Times New Roman"/>
          <w:sz w:val="24"/>
          <w:szCs w:val="24"/>
        </w:rPr>
        <w:t xml:space="preserve"> and some clients refuse to provide this information</w:t>
      </w:r>
      <w:r w:rsidR="00642DB8">
        <w:rPr>
          <w:rFonts w:ascii="Times New Roman" w:hAnsi="Times New Roman" w:cs="Times New Roman"/>
          <w:sz w:val="24"/>
          <w:szCs w:val="24"/>
        </w:rPr>
        <w:t xml:space="preserve">.  Settlement agents may only know the trustee, but some states require that the deed list trust beneficiaries.  </w:t>
      </w:r>
    </w:p>
    <w:p w14:paraId="35255E54" w14:textId="77777777" w:rsidR="001A2558" w:rsidRPr="00E95CFE" w:rsidRDefault="001A2558" w:rsidP="001A2558">
      <w:pPr>
        <w:rPr>
          <w:rFonts w:ascii="Times New Roman" w:hAnsi="Times New Roman" w:cs="Times New Roman"/>
          <w:sz w:val="24"/>
          <w:szCs w:val="24"/>
          <w:u w:val="single"/>
        </w:rPr>
      </w:pPr>
      <w:r w:rsidRPr="00E95CFE">
        <w:rPr>
          <w:rFonts w:ascii="Times New Roman" w:hAnsi="Times New Roman" w:cs="Times New Roman"/>
          <w:sz w:val="24"/>
          <w:szCs w:val="24"/>
          <w:u w:val="single"/>
        </w:rPr>
        <w:t>Seller-Financed Sales</w:t>
      </w:r>
    </w:p>
    <w:p w14:paraId="75A092C1" w14:textId="77777777" w:rsidR="001A2558" w:rsidRDefault="001A2558" w:rsidP="001A2558">
      <w:pPr>
        <w:rPr>
          <w:rFonts w:ascii="Times New Roman" w:hAnsi="Times New Roman" w:cs="Times New Roman"/>
          <w:sz w:val="24"/>
          <w:szCs w:val="24"/>
        </w:rPr>
      </w:pPr>
      <w:r>
        <w:rPr>
          <w:rFonts w:ascii="Times New Roman" w:hAnsi="Times New Roman" w:cs="Times New Roman"/>
          <w:sz w:val="24"/>
          <w:szCs w:val="24"/>
        </w:rPr>
        <w:t xml:space="preserve">There has been a recent push to get title insurance for seller-financed sales, for the owner’s protection. </w:t>
      </w:r>
    </w:p>
    <w:p w14:paraId="2E43C189" w14:textId="51AE140B" w:rsidR="00F308BA" w:rsidRPr="00E95CFE" w:rsidRDefault="00F308BA" w:rsidP="005E28F9">
      <w:pPr>
        <w:rPr>
          <w:rFonts w:ascii="Times New Roman" w:hAnsi="Times New Roman" w:cs="Times New Roman"/>
          <w:sz w:val="24"/>
          <w:szCs w:val="24"/>
          <w:u w:val="single"/>
        </w:rPr>
      </w:pPr>
      <w:r w:rsidRPr="00E95CFE">
        <w:rPr>
          <w:rFonts w:ascii="Times New Roman" w:hAnsi="Times New Roman" w:cs="Times New Roman"/>
          <w:sz w:val="24"/>
          <w:szCs w:val="24"/>
          <w:u w:val="single"/>
        </w:rPr>
        <w:t>Definition of Residential Real Property</w:t>
      </w:r>
    </w:p>
    <w:p w14:paraId="0BDC6998" w14:textId="77777777" w:rsidR="00E26790" w:rsidRDefault="007349E1" w:rsidP="005E28F9">
      <w:pPr>
        <w:rPr>
          <w:rFonts w:ascii="Times New Roman" w:hAnsi="Times New Roman" w:cs="Times New Roman"/>
          <w:sz w:val="24"/>
          <w:szCs w:val="24"/>
        </w:rPr>
      </w:pPr>
      <w:r w:rsidRPr="007349E1">
        <w:rPr>
          <w:rFonts w:ascii="Times New Roman" w:hAnsi="Times New Roman" w:cs="Times New Roman"/>
          <w:sz w:val="24"/>
          <w:szCs w:val="24"/>
        </w:rPr>
        <w:t xml:space="preserve">AEA </w:t>
      </w:r>
      <w:r>
        <w:rPr>
          <w:rFonts w:ascii="Times New Roman" w:hAnsi="Times New Roman" w:cs="Times New Roman"/>
          <w:sz w:val="24"/>
          <w:szCs w:val="24"/>
        </w:rPr>
        <w:t xml:space="preserve">expressed </w:t>
      </w:r>
      <w:r w:rsidR="00E26790">
        <w:rPr>
          <w:rFonts w:ascii="Times New Roman" w:hAnsi="Times New Roman" w:cs="Times New Roman"/>
          <w:sz w:val="24"/>
          <w:szCs w:val="24"/>
        </w:rPr>
        <w:t xml:space="preserve">a </w:t>
      </w:r>
      <w:r>
        <w:rPr>
          <w:rFonts w:ascii="Times New Roman" w:hAnsi="Times New Roman" w:cs="Times New Roman"/>
          <w:sz w:val="24"/>
          <w:szCs w:val="24"/>
        </w:rPr>
        <w:t>lack of clarity as to whether the proposed rule would require reporting on sales of large apartment buildings</w:t>
      </w:r>
      <w:r w:rsidR="009150A6">
        <w:rPr>
          <w:rFonts w:ascii="Times New Roman" w:hAnsi="Times New Roman" w:cs="Times New Roman"/>
          <w:sz w:val="24"/>
          <w:szCs w:val="24"/>
        </w:rPr>
        <w:t xml:space="preserve"> or spaces that appear to have mixed commercial and residential use.</w:t>
      </w:r>
    </w:p>
    <w:p w14:paraId="0B566013" w14:textId="1B8F2347" w:rsidR="007349E1" w:rsidRPr="007349E1" w:rsidRDefault="009150A6" w:rsidP="005E28F9">
      <w:pPr>
        <w:rPr>
          <w:rFonts w:ascii="Times New Roman" w:hAnsi="Times New Roman" w:cs="Times New Roman"/>
          <w:sz w:val="24"/>
          <w:szCs w:val="24"/>
        </w:rPr>
      </w:pPr>
      <w:r>
        <w:rPr>
          <w:rFonts w:ascii="Times New Roman" w:hAnsi="Times New Roman" w:cs="Times New Roman"/>
          <w:sz w:val="24"/>
          <w:szCs w:val="24"/>
        </w:rPr>
        <w:t>AEA also stated that settlement agents do not know whether properties are zoned or permitted for residential us</w:t>
      </w:r>
      <w:r w:rsidR="00FC6A8A">
        <w:rPr>
          <w:rFonts w:ascii="Times New Roman" w:hAnsi="Times New Roman" w:cs="Times New Roman"/>
          <w:sz w:val="24"/>
          <w:szCs w:val="24"/>
        </w:rPr>
        <w:t xml:space="preserve">e and that real estate agents would </w:t>
      </w:r>
      <w:r w:rsidR="00FE4B19">
        <w:rPr>
          <w:rFonts w:ascii="Times New Roman" w:hAnsi="Times New Roman" w:cs="Times New Roman"/>
          <w:sz w:val="24"/>
          <w:szCs w:val="24"/>
        </w:rPr>
        <w:t xml:space="preserve">be more </w:t>
      </w:r>
      <w:r w:rsidR="00FC6A8A">
        <w:rPr>
          <w:rFonts w:ascii="Times New Roman" w:hAnsi="Times New Roman" w:cs="Times New Roman"/>
          <w:sz w:val="24"/>
          <w:szCs w:val="24"/>
        </w:rPr>
        <w:t>likely to know this information.</w:t>
      </w:r>
      <w:r>
        <w:rPr>
          <w:rFonts w:ascii="Times New Roman" w:hAnsi="Times New Roman" w:cs="Times New Roman"/>
          <w:sz w:val="24"/>
          <w:szCs w:val="24"/>
        </w:rPr>
        <w:t xml:space="preserve">  </w:t>
      </w:r>
      <w:r w:rsidR="007349E1">
        <w:rPr>
          <w:rFonts w:ascii="Times New Roman" w:hAnsi="Times New Roman" w:cs="Times New Roman"/>
          <w:sz w:val="24"/>
          <w:szCs w:val="24"/>
        </w:rPr>
        <w:t xml:space="preserve"> </w:t>
      </w:r>
    </w:p>
    <w:p w14:paraId="4708FB5D" w14:textId="4B3D4414" w:rsidR="009E788D" w:rsidRPr="00E95CFE" w:rsidRDefault="00642DB8" w:rsidP="005E28F9">
      <w:pPr>
        <w:rPr>
          <w:rFonts w:ascii="Times New Roman" w:hAnsi="Times New Roman" w:cs="Times New Roman"/>
          <w:sz w:val="24"/>
          <w:szCs w:val="24"/>
          <w:u w:val="single"/>
        </w:rPr>
      </w:pPr>
      <w:r w:rsidRPr="00E95CFE">
        <w:rPr>
          <w:rFonts w:ascii="Times New Roman" w:hAnsi="Times New Roman" w:cs="Times New Roman"/>
          <w:sz w:val="24"/>
          <w:szCs w:val="24"/>
          <w:u w:val="single"/>
        </w:rPr>
        <w:t>Necessity of Information</w:t>
      </w:r>
    </w:p>
    <w:p w14:paraId="0C2BC531" w14:textId="7EB889B0" w:rsidR="009E788D" w:rsidRDefault="009E788D" w:rsidP="005E28F9">
      <w:pPr>
        <w:rPr>
          <w:rFonts w:ascii="Times New Roman" w:hAnsi="Times New Roman" w:cs="Times New Roman"/>
          <w:sz w:val="24"/>
          <w:szCs w:val="24"/>
        </w:rPr>
      </w:pPr>
      <w:r>
        <w:rPr>
          <w:rFonts w:ascii="Times New Roman" w:hAnsi="Times New Roman" w:cs="Times New Roman"/>
          <w:sz w:val="24"/>
          <w:szCs w:val="24"/>
        </w:rPr>
        <w:t xml:space="preserve">AEA expressed some confusion as to why seller information would be collected.  </w:t>
      </w:r>
    </w:p>
    <w:p w14:paraId="57483499" w14:textId="71F98D51" w:rsidR="00642DB8" w:rsidRPr="00F308BA" w:rsidRDefault="00642DB8" w:rsidP="005E28F9">
      <w:pPr>
        <w:rPr>
          <w:rFonts w:ascii="Times New Roman" w:hAnsi="Times New Roman" w:cs="Times New Roman"/>
          <w:sz w:val="24"/>
          <w:szCs w:val="24"/>
        </w:rPr>
      </w:pPr>
      <w:r>
        <w:rPr>
          <w:rFonts w:ascii="Times New Roman" w:hAnsi="Times New Roman" w:cs="Times New Roman"/>
          <w:sz w:val="24"/>
          <w:szCs w:val="24"/>
        </w:rPr>
        <w:t>Collection of beneficial ownership information is duplicative with the Corporate Transparency Act</w:t>
      </w:r>
      <w:r w:rsidR="00FE5CB3">
        <w:rPr>
          <w:rFonts w:ascii="Times New Roman" w:hAnsi="Times New Roman" w:cs="Times New Roman"/>
          <w:sz w:val="24"/>
          <w:szCs w:val="24"/>
        </w:rPr>
        <w:t xml:space="preserve"> (CTA)</w:t>
      </w:r>
      <w:r>
        <w:rPr>
          <w:rFonts w:ascii="Times New Roman" w:hAnsi="Times New Roman" w:cs="Times New Roman"/>
          <w:sz w:val="24"/>
          <w:szCs w:val="24"/>
        </w:rPr>
        <w:t>.</w:t>
      </w:r>
      <w:r w:rsidR="00FC6A8A">
        <w:rPr>
          <w:rFonts w:ascii="Times New Roman" w:hAnsi="Times New Roman" w:cs="Times New Roman"/>
          <w:sz w:val="24"/>
          <w:szCs w:val="24"/>
        </w:rPr>
        <w:t xml:space="preserve"> </w:t>
      </w:r>
      <w:r w:rsidR="00FE4B19">
        <w:rPr>
          <w:rFonts w:ascii="Times New Roman" w:hAnsi="Times New Roman" w:cs="Times New Roman"/>
          <w:sz w:val="24"/>
          <w:szCs w:val="24"/>
        </w:rPr>
        <w:t xml:space="preserve"> </w:t>
      </w:r>
      <w:r w:rsidR="00FC6A8A">
        <w:rPr>
          <w:rFonts w:ascii="Times New Roman" w:hAnsi="Times New Roman" w:cs="Times New Roman"/>
          <w:sz w:val="24"/>
          <w:szCs w:val="24"/>
        </w:rPr>
        <w:t xml:space="preserve">FinCEN should emphasize the </w:t>
      </w:r>
      <w:r w:rsidR="00FE4B19">
        <w:rPr>
          <w:rFonts w:ascii="Times New Roman" w:hAnsi="Times New Roman" w:cs="Times New Roman"/>
          <w:sz w:val="24"/>
          <w:szCs w:val="24"/>
        </w:rPr>
        <w:t xml:space="preserve">functional </w:t>
      </w:r>
      <w:r w:rsidR="00FC6A8A">
        <w:rPr>
          <w:rFonts w:ascii="Times New Roman" w:hAnsi="Times New Roman" w:cs="Times New Roman"/>
          <w:sz w:val="24"/>
          <w:szCs w:val="24"/>
        </w:rPr>
        <w:t xml:space="preserve">difference between the </w:t>
      </w:r>
      <w:proofErr w:type="gramStart"/>
      <w:r w:rsidR="00FC6A8A">
        <w:rPr>
          <w:rFonts w:ascii="Times New Roman" w:hAnsi="Times New Roman" w:cs="Times New Roman"/>
          <w:sz w:val="24"/>
          <w:szCs w:val="24"/>
        </w:rPr>
        <w:t>CTA</w:t>
      </w:r>
      <w:proofErr w:type="gramEnd"/>
      <w:r w:rsidR="00FC6A8A">
        <w:rPr>
          <w:rFonts w:ascii="Times New Roman" w:hAnsi="Times New Roman" w:cs="Times New Roman"/>
          <w:sz w:val="24"/>
          <w:szCs w:val="24"/>
        </w:rPr>
        <w:t xml:space="preserve"> and this proposed rule. </w:t>
      </w:r>
    </w:p>
    <w:p w14:paraId="5C433FB5" w14:textId="4B58A08A" w:rsidR="00F308BA" w:rsidRPr="00E95CFE" w:rsidRDefault="00F308BA" w:rsidP="005E28F9">
      <w:pPr>
        <w:rPr>
          <w:rFonts w:ascii="Times New Roman" w:hAnsi="Times New Roman" w:cs="Times New Roman"/>
          <w:sz w:val="24"/>
          <w:szCs w:val="24"/>
          <w:u w:val="single"/>
        </w:rPr>
      </w:pPr>
      <w:r w:rsidRPr="00E95CFE">
        <w:rPr>
          <w:rFonts w:ascii="Times New Roman" w:hAnsi="Times New Roman" w:cs="Times New Roman"/>
          <w:sz w:val="24"/>
          <w:szCs w:val="24"/>
          <w:u w:val="single"/>
        </w:rPr>
        <w:t>Statement of Purpose</w:t>
      </w:r>
    </w:p>
    <w:p w14:paraId="697B71F8" w14:textId="507F3EC6" w:rsidR="00F308BA" w:rsidRPr="00C272B1" w:rsidRDefault="00F308BA" w:rsidP="005E28F9">
      <w:pPr>
        <w:rPr>
          <w:rFonts w:ascii="Times New Roman" w:hAnsi="Times New Roman" w:cs="Times New Roman"/>
          <w:sz w:val="24"/>
          <w:szCs w:val="24"/>
        </w:rPr>
      </w:pPr>
      <w:r>
        <w:rPr>
          <w:rFonts w:ascii="Times New Roman" w:hAnsi="Times New Roman" w:cs="Times New Roman"/>
          <w:sz w:val="24"/>
          <w:szCs w:val="24"/>
        </w:rPr>
        <w:t>The form may benefit from including a statement that clarifies the purpose of the form</w:t>
      </w:r>
      <w:r w:rsidR="001A2558">
        <w:rPr>
          <w:rFonts w:ascii="Times New Roman" w:hAnsi="Times New Roman" w:cs="Times New Roman"/>
          <w:sz w:val="24"/>
          <w:szCs w:val="24"/>
        </w:rPr>
        <w:t>, such as stating that the form is necessary to collect</w:t>
      </w:r>
      <w:r>
        <w:rPr>
          <w:rFonts w:ascii="Times New Roman" w:hAnsi="Times New Roman" w:cs="Times New Roman"/>
          <w:sz w:val="24"/>
          <w:szCs w:val="24"/>
        </w:rPr>
        <w:t xml:space="preserve"> aggregate information that, in its totality, creates useful lead information for law enforcement.  Such a statement would make it clear to both the filer and the parties to the sale why the report is both necessary and important.  </w:t>
      </w:r>
    </w:p>
    <w:p w14:paraId="5B5C7C41" w14:textId="77777777" w:rsidR="00714030" w:rsidRPr="00E95CFE" w:rsidRDefault="00714030" w:rsidP="00714030">
      <w:pPr>
        <w:rPr>
          <w:rFonts w:ascii="Times New Roman" w:hAnsi="Times New Roman" w:cs="Times New Roman"/>
          <w:sz w:val="24"/>
          <w:szCs w:val="24"/>
          <w:u w:val="single"/>
        </w:rPr>
      </w:pPr>
      <w:r w:rsidRPr="00E95CFE">
        <w:rPr>
          <w:rFonts w:ascii="Times New Roman" w:hAnsi="Times New Roman" w:cs="Times New Roman"/>
          <w:sz w:val="24"/>
          <w:szCs w:val="24"/>
          <w:u w:val="single"/>
        </w:rPr>
        <w:t>Liability Concerns</w:t>
      </w:r>
    </w:p>
    <w:p w14:paraId="0617B4BA" w14:textId="5A27B709" w:rsidR="00714030" w:rsidRDefault="00714030" w:rsidP="00714030">
      <w:pPr>
        <w:rPr>
          <w:rFonts w:ascii="Times New Roman" w:hAnsi="Times New Roman" w:cs="Times New Roman"/>
          <w:sz w:val="24"/>
          <w:szCs w:val="24"/>
        </w:rPr>
      </w:pPr>
      <w:r>
        <w:rPr>
          <w:rFonts w:ascii="Times New Roman" w:hAnsi="Times New Roman" w:cs="Times New Roman"/>
          <w:sz w:val="24"/>
          <w:szCs w:val="24"/>
        </w:rPr>
        <w:t xml:space="preserve">Collecting additional personally identifiable information would increase liability and data protection costs and </w:t>
      </w:r>
      <w:r w:rsidR="00661C1A">
        <w:rPr>
          <w:rFonts w:ascii="Times New Roman" w:hAnsi="Times New Roman" w:cs="Times New Roman"/>
          <w:sz w:val="24"/>
          <w:szCs w:val="24"/>
        </w:rPr>
        <w:t xml:space="preserve">raises </w:t>
      </w:r>
      <w:r>
        <w:rPr>
          <w:rFonts w:ascii="Times New Roman" w:hAnsi="Times New Roman" w:cs="Times New Roman"/>
          <w:sz w:val="24"/>
          <w:szCs w:val="24"/>
        </w:rPr>
        <w:t>concerns about data breaches.</w:t>
      </w:r>
    </w:p>
    <w:p w14:paraId="567CFCF7" w14:textId="77777777" w:rsidR="00714030" w:rsidRDefault="00714030" w:rsidP="00714030">
      <w:pPr>
        <w:rPr>
          <w:rFonts w:ascii="Times New Roman" w:hAnsi="Times New Roman" w:cs="Times New Roman"/>
          <w:sz w:val="24"/>
          <w:szCs w:val="24"/>
        </w:rPr>
      </w:pPr>
      <w:r>
        <w:rPr>
          <w:rFonts w:ascii="Times New Roman" w:hAnsi="Times New Roman" w:cs="Times New Roman"/>
          <w:sz w:val="24"/>
          <w:szCs w:val="24"/>
        </w:rPr>
        <w:t xml:space="preserve">Settlement agents are limited purpose agents who follow instructions.  Expansion of the settlement agent’s role may create additional liability beyond that limited function.  </w:t>
      </w:r>
    </w:p>
    <w:p w14:paraId="14016ED1" w14:textId="09C3A435" w:rsidR="00714030" w:rsidRPr="00A50673" w:rsidRDefault="00714030" w:rsidP="00714030">
      <w:pPr>
        <w:rPr>
          <w:rFonts w:ascii="Times New Roman" w:hAnsi="Times New Roman" w:cs="Times New Roman"/>
          <w:sz w:val="24"/>
          <w:szCs w:val="24"/>
        </w:rPr>
      </w:pPr>
      <w:r w:rsidRPr="00A50673">
        <w:rPr>
          <w:rFonts w:ascii="Times New Roman" w:hAnsi="Times New Roman" w:cs="Times New Roman"/>
          <w:sz w:val="24"/>
          <w:szCs w:val="24"/>
        </w:rPr>
        <w:t xml:space="preserve">Settlement </w:t>
      </w:r>
      <w:r>
        <w:rPr>
          <w:rFonts w:ascii="Times New Roman" w:hAnsi="Times New Roman" w:cs="Times New Roman"/>
          <w:sz w:val="24"/>
          <w:szCs w:val="24"/>
        </w:rPr>
        <w:t>agents would need to interpret the NPRM’s requirements</w:t>
      </w:r>
      <w:r w:rsidR="009150A6">
        <w:rPr>
          <w:rFonts w:ascii="Times New Roman" w:hAnsi="Times New Roman" w:cs="Times New Roman"/>
          <w:sz w:val="24"/>
          <w:szCs w:val="24"/>
        </w:rPr>
        <w:t xml:space="preserve">. </w:t>
      </w:r>
      <w:r w:rsidR="00FE4B19">
        <w:rPr>
          <w:rFonts w:ascii="Times New Roman" w:hAnsi="Times New Roman" w:cs="Times New Roman"/>
          <w:sz w:val="24"/>
          <w:szCs w:val="24"/>
        </w:rPr>
        <w:t xml:space="preserve"> </w:t>
      </w:r>
      <w:r w:rsidR="009150A6">
        <w:rPr>
          <w:rFonts w:ascii="Times New Roman" w:hAnsi="Times New Roman" w:cs="Times New Roman"/>
          <w:sz w:val="24"/>
          <w:szCs w:val="24"/>
        </w:rPr>
        <w:t xml:space="preserve">AEA emphasized that settlement agents are not attorneys. </w:t>
      </w:r>
    </w:p>
    <w:p w14:paraId="76A09D71" w14:textId="29F6B712" w:rsidR="00A50673" w:rsidRPr="00E95CFE" w:rsidRDefault="002707B6" w:rsidP="005E28F9">
      <w:pPr>
        <w:rPr>
          <w:rFonts w:ascii="Times New Roman" w:hAnsi="Times New Roman" w:cs="Times New Roman"/>
          <w:sz w:val="24"/>
          <w:szCs w:val="24"/>
          <w:u w:val="single"/>
        </w:rPr>
      </w:pPr>
      <w:r w:rsidRPr="00E95CFE">
        <w:rPr>
          <w:rFonts w:ascii="Times New Roman" w:hAnsi="Times New Roman" w:cs="Times New Roman"/>
          <w:sz w:val="24"/>
          <w:szCs w:val="24"/>
          <w:u w:val="single"/>
        </w:rPr>
        <w:t>Burden</w:t>
      </w:r>
    </w:p>
    <w:p w14:paraId="250A2720" w14:textId="5AD487D5" w:rsidR="002707B6" w:rsidRDefault="002707B6" w:rsidP="002707B6">
      <w:pPr>
        <w:rPr>
          <w:rFonts w:ascii="Times New Roman" w:hAnsi="Times New Roman" w:cs="Times New Roman"/>
          <w:sz w:val="24"/>
          <w:szCs w:val="24"/>
        </w:rPr>
      </w:pPr>
      <w:r>
        <w:rPr>
          <w:rFonts w:ascii="Times New Roman" w:hAnsi="Times New Roman" w:cs="Times New Roman"/>
          <w:sz w:val="24"/>
          <w:szCs w:val="24"/>
        </w:rPr>
        <w:lastRenderedPageBreak/>
        <w:t xml:space="preserve">The burden of the proposed rule would fall hardest on small businesses, including minority and women-owned businesses.  </w:t>
      </w:r>
    </w:p>
    <w:p w14:paraId="44891827" w14:textId="6E99740C" w:rsidR="002707B6" w:rsidRPr="00A50673" w:rsidRDefault="007349E1" w:rsidP="002707B6">
      <w:pPr>
        <w:rPr>
          <w:rFonts w:ascii="Times New Roman" w:hAnsi="Times New Roman" w:cs="Times New Roman"/>
          <w:sz w:val="24"/>
          <w:szCs w:val="24"/>
        </w:rPr>
      </w:pPr>
      <w:r>
        <w:rPr>
          <w:rFonts w:ascii="Times New Roman" w:hAnsi="Times New Roman" w:cs="Times New Roman"/>
          <w:sz w:val="24"/>
          <w:szCs w:val="24"/>
        </w:rPr>
        <w:t>Costs associated the proposed rule stem from form preparation, data collection, data storage, software systems</w:t>
      </w:r>
      <w:r w:rsidR="009150A6">
        <w:rPr>
          <w:rFonts w:ascii="Times New Roman" w:hAnsi="Times New Roman" w:cs="Times New Roman"/>
          <w:sz w:val="24"/>
          <w:szCs w:val="24"/>
        </w:rPr>
        <w:t>, and potential legal representation</w:t>
      </w:r>
      <w:r>
        <w:rPr>
          <w:rFonts w:ascii="Times New Roman" w:hAnsi="Times New Roman" w:cs="Times New Roman"/>
          <w:sz w:val="24"/>
          <w:szCs w:val="24"/>
        </w:rPr>
        <w:t xml:space="preserve">.  </w:t>
      </w:r>
      <w:r w:rsidR="002707B6">
        <w:rPr>
          <w:rFonts w:ascii="Times New Roman" w:hAnsi="Times New Roman" w:cs="Times New Roman"/>
          <w:sz w:val="24"/>
          <w:szCs w:val="24"/>
        </w:rPr>
        <w:t>The additional costs imposed by the rule may be passed on to the consumer—possibly for all purchases, and not just all</w:t>
      </w:r>
      <w:r w:rsidR="009150A6">
        <w:rPr>
          <w:rFonts w:ascii="Times New Roman" w:hAnsi="Times New Roman" w:cs="Times New Roman"/>
          <w:sz w:val="24"/>
          <w:szCs w:val="24"/>
        </w:rPr>
        <w:t>-</w:t>
      </w:r>
      <w:r w:rsidR="002707B6">
        <w:rPr>
          <w:rFonts w:ascii="Times New Roman" w:hAnsi="Times New Roman" w:cs="Times New Roman"/>
          <w:sz w:val="24"/>
          <w:szCs w:val="24"/>
        </w:rPr>
        <w:t xml:space="preserve">cash ones.  </w:t>
      </w:r>
    </w:p>
    <w:p w14:paraId="4A792A9E" w14:textId="25E3A88C" w:rsidR="002707B6" w:rsidRDefault="002707B6" w:rsidP="002707B6">
      <w:pPr>
        <w:rPr>
          <w:rFonts w:ascii="Times New Roman" w:hAnsi="Times New Roman" w:cs="Times New Roman"/>
          <w:sz w:val="24"/>
          <w:szCs w:val="24"/>
        </w:rPr>
      </w:pPr>
      <w:r>
        <w:rPr>
          <w:rFonts w:ascii="Times New Roman" w:hAnsi="Times New Roman" w:cs="Times New Roman"/>
          <w:sz w:val="24"/>
          <w:szCs w:val="24"/>
        </w:rPr>
        <w:t>Thirty percent of sales are all</w:t>
      </w:r>
      <w:r w:rsidR="009150A6">
        <w:rPr>
          <w:rFonts w:ascii="Times New Roman" w:hAnsi="Times New Roman" w:cs="Times New Roman"/>
          <w:sz w:val="24"/>
          <w:szCs w:val="24"/>
        </w:rPr>
        <w:t>-</w:t>
      </w:r>
      <w:r>
        <w:rPr>
          <w:rFonts w:ascii="Times New Roman" w:hAnsi="Times New Roman" w:cs="Times New Roman"/>
          <w:sz w:val="24"/>
          <w:szCs w:val="24"/>
        </w:rPr>
        <w:t>cash, so the NPRM will have a significant impact.</w:t>
      </w:r>
    </w:p>
    <w:p w14:paraId="4E3F8B95" w14:textId="77777777" w:rsidR="00E95CFE" w:rsidRPr="00E95CFE" w:rsidRDefault="00E95CFE" w:rsidP="00E95CFE">
      <w:pPr>
        <w:rPr>
          <w:rFonts w:ascii="Times New Roman" w:hAnsi="Times New Roman" w:cs="Times New Roman"/>
          <w:sz w:val="24"/>
          <w:szCs w:val="24"/>
          <w:u w:val="single"/>
        </w:rPr>
      </w:pPr>
      <w:r w:rsidRPr="00E95CFE">
        <w:rPr>
          <w:rFonts w:ascii="Times New Roman" w:hAnsi="Times New Roman" w:cs="Times New Roman"/>
          <w:sz w:val="24"/>
          <w:szCs w:val="24"/>
          <w:u w:val="single"/>
        </w:rPr>
        <w:t>Geographic Targeting Orders (GTOs)</w:t>
      </w:r>
    </w:p>
    <w:p w14:paraId="76DAC026" w14:textId="77777777" w:rsidR="00E95CFE" w:rsidRDefault="00E95CFE" w:rsidP="00E95CFE">
      <w:pPr>
        <w:rPr>
          <w:rFonts w:ascii="Times New Roman" w:hAnsi="Times New Roman" w:cs="Times New Roman"/>
          <w:sz w:val="24"/>
          <w:szCs w:val="24"/>
        </w:rPr>
      </w:pPr>
      <w:r>
        <w:rPr>
          <w:rFonts w:ascii="Times New Roman" w:hAnsi="Times New Roman" w:cs="Times New Roman"/>
          <w:sz w:val="24"/>
          <w:szCs w:val="24"/>
        </w:rPr>
        <w:t xml:space="preserve">The burden on title insurance companies would be decreased if the Residential Real Estate GTOs were not expanded while a final rule is being contemplated.  </w:t>
      </w:r>
    </w:p>
    <w:p w14:paraId="72570C98" w14:textId="406A1600" w:rsidR="00114095" w:rsidRPr="00E95CFE" w:rsidRDefault="002F439F" w:rsidP="005E28F9">
      <w:pPr>
        <w:rPr>
          <w:rFonts w:ascii="Times New Roman" w:hAnsi="Times New Roman" w:cs="Times New Roman"/>
          <w:sz w:val="24"/>
          <w:szCs w:val="24"/>
          <w:u w:val="single"/>
        </w:rPr>
      </w:pPr>
      <w:r w:rsidRPr="00E95CFE">
        <w:rPr>
          <w:rFonts w:ascii="Times New Roman" w:hAnsi="Times New Roman" w:cs="Times New Roman"/>
          <w:sz w:val="24"/>
          <w:szCs w:val="24"/>
          <w:u w:val="single"/>
        </w:rPr>
        <w:t xml:space="preserve">Alternative: </w:t>
      </w:r>
      <w:r w:rsidR="00106CBF" w:rsidRPr="00E95CFE">
        <w:rPr>
          <w:rFonts w:ascii="Times New Roman" w:hAnsi="Times New Roman" w:cs="Times New Roman"/>
          <w:sz w:val="24"/>
          <w:szCs w:val="24"/>
          <w:u w:val="single"/>
        </w:rPr>
        <w:t>FinCEN</w:t>
      </w:r>
      <w:r w:rsidR="009150A6" w:rsidRPr="00E95CFE">
        <w:rPr>
          <w:rFonts w:ascii="Times New Roman" w:hAnsi="Times New Roman" w:cs="Times New Roman"/>
          <w:sz w:val="24"/>
          <w:szCs w:val="24"/>
          <w:u w:val="single"/>
        </w:rPr>
        <w:t>-</w:t>
      </w:r>
      <w:r w:rsidR="00106CBF" w:rsidRPr="00E95CFE">
        <w:rPr>
          <w:rFonts w:ascii="Times New Roman" w:hAnsi="Times New Roman" w:cs="Times New Roman"/>
          <w:sz w:val="24"/>
          <w:szCs w:val="24"/>
          <w:u w:val="single"/>
        </w:rPr>
        <w:t>Controlled Portal</w:t>
      </w:r>
    </w:p>
    <w:p w14:paraId="5F1C062E" w14:textId="5A4E9366" w:rsidR="00106CBF" w:rsidRDefault="00106CBF" w:rsidP="005E28F9">
      <w:pPr>
        <w:rPr>
          <w:rFonts w:ascii="Times New Roman" w:hAnsi="Times New Roman" w:cs="Times New Roman"/>
          <w:sz w:val="24"/>
          <w:szCs w:val="24"/>
        </w:rPr>
      </w:pPr>
      <w:r>
        <w:rPr>
          <w:rFonts w:ascii="Times New Roman" w:hAnsi="Times New Roman" w:cs="Times New Roman"/>
          <w:sz w:val="24"/>
          <w:szCs w:val="24"/>
        </w:rPr>
        <w:t xml:space="preserve">As an alternative, AEA suggested that FinCEN create a portal where the buyer would report information directly to FinCEN.  Once submitted, the portal would generate a certificate that the buyer could present to the </w:t>
      </w:r>
      <w:r w:rsidR="009150A6">
        <w:rPr>
          <w:rFonts w:ascii="Times New Roman" w:hAnsi="Times New Roman" w:cs="Times New Roman"/>
          <w:sz w:val="24"/>
          <w:szCs w:val="24"/>
        </w:rPr>
        <w:t>reporting person</w:t>
      </w:r>
      <w:r w:rsidR="002F439F">
        <w:rPr>
          <w:rFonts w:ascii="Times New Roman" w:hAnsi="Times New Roman" w:cs="Times New Roman"/>
          <w:sz w:val="24"/>
          <w:szCs w:val="24"/>
        </w:rPr>
        <w:t xml:space="preserve">.  </w:t>
      </w:r>
    </w:p>
    <w:p w14:paraId="10FB5C3E" w14:textId="388FC3D3" w:rsidR="00A57D24" w:rsidRPr="00E95CFE" w:rsidRDefault="00114095" w:rsidP="005E28F9">
      <w:pPr>
        <w:rPr>
          <w:rFonts w:ascii="Times New Roman" w:hAnsi="Times New Roman" w:cs="Times New Roman"/>
          <w:sz w:val="24"/>
          <w:szCs w:val="24"/>
          <w:u w:val="single"/>
        </w:rPr>
      </w:pPr>
      <w:r w:rsidRPr="00E95CFE">
        <w:rPr>
          <w:rFonts w:ascii="Times New Roman" w:hAnsi="Times New Roman" w:cs="Times New Roman"/>
          <w:sz w:val="24"/>
          <w:szCs w:val="24"/>
          <w:u w:val="single"/>
        </w:rPr>
        <w:t>Effective Date</w:t>
      </w:r>
    </w:p>
    <w:p w14:paraId="117C80A1" w14:textId="66B15CAD" w:rsidR="00E03F00" w:rsidRPr="00E03F00" w:rsidRDefault="00E03F00" w:rsidP="005E28F9">
      <w:pPr>
        <w:rPr>
          <w:rFonts w:ascii="Times New Roman" w:hAnsi="Times New Roman" w:cs="Times New Roman"/>
          <w:sz w:val="24"/>
          <w:szCs w:val="24"/>
        </w:rPr>
      </w:pPr>
      <w:r>
        <w:rPr>
          <w:rFonts w:ascii="Times New Roman" w:hAnsi="Times New Roman" w:cs="Times New Roman"/>
          <w:sz w:val="24"/>
          <w:szCs w:val="24"/>
        </w:rPr>
        <w:t>It may take settlement agents</w:t>
      </w:r>
      <w:r w:rsidR="00FC6A8A">
        <w:rPr>
          <w:rFonts w:ascii="Times New Roman" w:hAnsi="Times New Roman" w:cs="Times New Roman"/>
          <w:sz w:val="24"/>
          <w:szCs w:val="24"/>
        </w:rPr>
        <w:t xml:space="preserve"> </w:t>
      </w:r>
      <w:r w:rsidR="00254051">
        <w:rPr>
          <w:rFonts w:ascii="Times New Roman" w:hAnsi="Times New Roman" w:cs="Times New Roman"/>
          <w:sz w:val="24"/>
          <w:szCs w:val="24"/>
        </w:rPr>
        <w:t xml:space="preserve">a year </w:t>
      </w:r>
      <w:r w:rsidR="00FC6A8A">
        <w:rPr>
          <w:rFonts w:ascii="Times New Roman" w:hAnsi="Times New Roman" w:cs="Times New Roman"/>
          <w:sz w:val="24"/>
          <w:szCs w:val="24"/>
        </w:rPr>
        <w:t xml:space="preserve">to </w:t>
      </w:r>
      <w:r>
        <w:rPr>
          <w:rFonts w:ascii="Times New Roman" w:hAnsi="Times New Roman" w:cs="Times New Roman"/>
          <w:sz w:val="24"/>
          <w:szCs w:val="24"/>
        </w:rPr>
        <w:t>get everything up and running.  New software can sometimes take a year or more to prepare.  Testing alone can take six months.  Time would also be need</w:t>
      </w:r>
      <w:r w:rsidR="00E528D8">
        <w:rPr>
          <w:rFonts w:ascii="Times New Roman" w:hAnsi="Times New Roman" w:cs="Times New Roman"/>
          <w:sz w:val="24"/>
          <w:szCs w:val="24"/>
        </w:rPr>
        <w:t>ed</w:t>
      </w:r>
      <w:r>
        <w:rPr>
          <w:rFonts w:ascii="Times New Roman" w:hAnsi="Times New Roman" w:cs="Times New Roman"/>
          <w:sz w:val="24"/>
          <w:szCs w:val="24"/>
        </w:rPr>
        <w:t xml:space="preserve"> to prepare training guides.  </w:t>
      </w:r>
    </w:p>
    <w:sectPr w:rsidR="00E03F00" w:rsidRPr="00E03F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50A2D" w14:textId="77777777" w:rsidR="00AC647D" w:rsidRDefault="00AC647D" w:rsidP="00AC647D">
      <w:pPr>
        <w:spacing w:after="0" w:line="240" w:lineRule="auto"/>
      </w:pPr>
      <w:r>
        <w:separator/>
      </w:r>
    </w:p>
  </w:endnote>
  <w:endnote w:type="continuationSeparator" w:id="0">
    <w:p w14:paraId="7B151271" w14:textId="77777777" w:rsidR="00AC647D" w:rsidRDefault="00AC647D" w:rsidP="00AC6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CFB58" w14:textId="77777777" w:rsidR="00AC647D" w:rsidRDefault="00AC647D" w:rsidP="00AC647D">
      <w:pPr>
        <w:spacing w:after="0" w:line="240" w:lineRule="auto"/>
      </w:pPr>
      <w:r>
        <w:separator/>
      </w:r>
    </w:p>
  </w:footnote>
  <w:footnote w:type="continuationSeparator" w:id="0">
    <w:p w14:paraId="2EA24A04" w14:textId="77777777" w:rsidR="00AC647D" w:rsidRDefault="00AC647D" w:rsidP="00AC6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55F8"/>
    <w:multiLevelType w:val="hybridMultilevel"/>
    <w:tmpl w:val="B650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136C9"/>
    <w:multiLevelType w:val="hybridMultilevel"/>
    <w:tmpl w:val="0420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478EC"/>
    <w:multiLevelType w:val="hybridMultilevel"/>
    <w:tmpl w:val="AE9A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981415">
    <w:abstractNumId w:val="2"/>
  </w:num>
  <w:num w:numId="2" w16cid:durableId="1363939680">
    <w:abstractNumId w:val="1"/>
  </w:num>
  <w:num w:numId="3" w16cid:durableId="107250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7D"/>
    <w:rsid w:val="0001215B"/>
    <w:rsid w:val="00041ED8"/>
    <w:rsid w:val="00055DDC"/>
    <w:rsid w:val="000B5704"/>
    <w:rsid w:val="000E6038"/>
    <w:rsid w:val="00104DFA"/>
    <w:rsid w:val="00106CBF"/>
    <w:rsid w:val="00112E20"/>
    <w:rsid w:val="00114095"/>
    <w:rsid w:val="0015145E"/>
    <w:rsid w:val="001A2558"/>
    <w:rsid w:val="00254051"/>
    <w:rsid w:val="002707B6"/>
    <w:rsid w:val="002A3056"/>
    <w:rsid w:val="002F439F"/>
    <w:rsid w:val="00411A12"/>
    <w:rsid w:val="00475993"/>
    <w:rsid w:val="00492401"/>
    <w:rsid w:val="004B2931"/>
    <w:rsid w:val="00500BB4"/>
    <w:rsid w:val="005118A2"/>
    <w:rsid w:val="00517CD6"/>
    <w:rsid w:val="005258C5"/>
    <w:rsid w:val="0053359D"/>
    <w:rsid w:val="00552A0D"/>
    <w:rsid w:val="005E28F9"/>
    <w:rsid w:val="005E73D3"/>
    <w:rsid w:val="00642DB8"/>
    <w:rsid w:val="00650593"/>
    <w:rsid w:val="00661C1A"/>
    <w:rsid w:val="00714030"/>
    <w:rsid w:val="007349E1"/>
    <w:rsid w:val="00887D8B"/>
    <w:rsid w:val="009150A6"/>
    <w:rsid w:val="009B1900"/>
    <w:rsid w:val="009E788D"/>
    <w:rsid w:val="009F5117"/>
    <w:rsid w:val="00A50673"/>
    <w:rsid w:val="00A57D24"/>
    <w:rsid w:val="00A63185"/>
    <w:rsid w:val="00AA730B"/>
    <w:rsid w:val="00AC647D"/>
    <w:rsid w:val="00BA57DC"/>
    <w:rsid w:val="00C272B1"/>
    <w:rsid w:val="00D50452"/>
    <w:rsid w:val="00D82ED2"/>
    <w:rsid w:val="00DC308B"/>
    <w:rsid w:val="00E0050E"/>
    <w:rsid w:val="00E03F00"/>
    <w:rsid w:val="00E26790"/>
    <w:rsid w:val="00E528D8"/>
    <w:rsid w:val="00E95CFE"/>
    <w:rsid w:val="00EA13AF"/>
    <w:rsid w:val="00EB2E46"/>
    <w:rsid w:val="00F137C3"/>
    <w:rsid w:val="00F308BA"/>
    <w:rsid w:val="00F529D6"/>
    <w:rsid w:val="00FB6F29"/>
    <w:rsid w:val="00FC6A8A"/>
    <w:rsid w:val="00FE1CC5"/>
    <w:rsid w:val="00FE4B19"/>
    <w:rsid w:val="00FE5CB3"/>
    <w:rsid w:val="00FF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DB08"/>
  <w15:chartTrackingRefBased/>
  <w15:docId w15:val="{85D17C1E-3BEC-4D7D-B099-1D6DF342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7D"/>
    <w:pPr>
      <w:ind w:left="720"/>
      <w:contextualSpacing/>
    </w:pPr>
  </w:style>
  <w:style w:type="paragraph" w:styleId="Header">
    <w:name w:val="header"/>
    <w:basedOn w:val="Normal"/>
    <w:link w:val="HeaderChar"/>
    <w:uiPriority w:val="99"/>
    <w:unhideWhenUsed/>
    <w:rsid w:val="00AC6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47D"/>
  </w:style>
  <w:style w:type="paragraph" w:styleId="Footer">
    <w:name w:val="footer"/>
    <w:basedOn w:val="Normal"/>
    <w:link w:val="FooterChar"/>
    <w:uiPriority w:val="99"/>
    <w:unhideWhenUsed/>
    <w:rsid w:val="00AC6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47D"/>
  </w:style>
  <w:style w:type="character" w:styleId="CommentReference">
    <w:name w:val="annotation reference"/>
    <w:basedOn w:val="DefaultParagraphFont"/>
    <w:uiPriority w:val="99"/>
    <w:semiHidden/>
    <w:unhideWhenUsed/>
    <w:rsid w:val="0015145E"/>
    <w:rPr>
      <w:sz w:val="16"/>
      <w:szCs w:val="16"/>
    </w:rPr>
  </w:style>
  <w:style w:type="paragraph" w:styleId="CommentText">
    <w:name w:val="annotation text"/>
    <w:basedOn w:val="Normal"/>
    <w:link w:val="CommentTextChar"/>
    <w:uiPriority w:val="99"/>
    <w:unhideWhenUsed/>
    <w:rsid w:val="0015145E"/>
    <w:pPr>
      <w:spacing w:line="240" w:lineRule="auto"/>
    </w:pPr>
    <w:rPr>
      <w:sz w:val="20"/>
      <w:szCs w:val="20"/>
    </w:rPr>
  </w:style>
  <w:style w:type="character" w:customStyle="1" w:styleId="CommentTextChar">
    <w:name w:val="Comment Text Char"/>
    <w:basedOn w:val="DefaultParagraphFont"/>
    <w:link w:val="CommentText"/>
    <w:uiPriority w:val="99"/>
    <w:rsid w:val="0015145E"/>
    <w:rPr>
      <w:sz w:val="20"/>
      <w:szCs w:val="20"/>
    </w:rPr>
  </w:style>
  <w:style w:type="paragraph" w:styleId="CommentSubject">
    <w:name w:val="annotation subject"/>
    <w:basedOn w:val="CommentText"/>
    <w:next w:val="CommentText"/>
    <w:link w:val="CommentSubjectChar"/>
    <w:uiPriority w:val="99"/>
    <w:semiHidden/>
    <w:unhideWhenUsed/>
    <w:rsid w:val="0015145E"/>
    <w:rPr>
      <w:b/>
      <w:bCs/>
    </w:rPr>
  </w:style>
  <w:style w:type="character" w:customStyle="1" w:styleId="CommentSubjectChar">
    <w:name w:val="Comment Subject Char"/>
    <w:basedOn w:val="CommentTextChar"/>
    <w:link w:val="CommentSubject"/>
    <w:uiPriority w:val="99"/>
    <w:semiHidden/>
    <w:rsid w:val="0015145E"/>
    <w:rPr>
      <w:b/>
      <w:bCs/>
      <w:sz w:val="20"/>
      <w:szCs w:val="20"/>
    </w:rPr>
  </w:style>
  <w:style w:type="paragraph" w:styleId="Revision">
    <w:name w:val="Revision"/>
    <w:hidden/>
    <w:uiPriority w:val="99"/>
    <w:semiHidden/>
    <w:rsid w:val="004759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FinCEN</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murrak</dc:creator>
  <cp:keywords/>
  <dc:description/>
  <cp:lastModifiedBy>murrak</cp:lastModifiedBy>
  <cp:revision>4</cp:revision>
  <dcterms:created xsi:type="dcterms:W3CDTF">2024-03-13T17:22:00Z</dcterms:created>
  <dcterms:modified xsi:type="dcterms:W3CDTF">2024-03-15T13:53:00Z</dcterms:modified>
</cp:coreProperties>
</file>