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2972" w14:textId="0FCC44BB" w:rsidR="00AE67F7" w:rsidRPr="00AE67F7" w:rsidRDefault="00B07519" w:rsidP="003F6733">
      <w:pPr>
        <w:spacing w:after="0" w:line="240" w:lineRule="auto"/>
        <w:jc w:val="cente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 xml:space="preserve">First </w:t>
      </w:r>
      <w:r w:rsidR="00AE67F7" w:rsidRPr="00AE67F7">
        <w:rPr>
          <w:rFonts w:ascii="Times New Roman" w:eastAsia="Calibri" w:hAnsi="Times New Roman" w:cs="Times New Roman"/>
          <w:b/>
          <w:bCs/>
          <w:sz w:val="24"/>
          <w:szCs w:val="24"/>
          <w:u w:val="single"/>
        </w:rPr>
        <w:t xml:space="preserve">Listening Session Regarding </w:t>
      </w:r>
      <w:r w:rsidR="00AE67F7" w:rsidRPr="001558CC">
        <w:rPr>
          <w:rFonts w:ascii="Times New Roman" w:eastAsia="Calibri" w:hAnsi="Times New Roman" w:cs="Times New Roman"/>
          <w:b/>
          <w:bCs/>
          <w:sz w:val="24"/>
          <w:szCs w:val="24"/>
          <w:u w:val="single"/>
        </w:rPr>
        <w:t xml:space="preserve">the Notice of Proposed Rulemaking </w:t>
      </w:r>
      <w:r w:rsidR="003F6733" w:rsidRPr="001558CC">
        <w:rPr>
          <w:rFonts w:ascii="Times New Roman" w:eastAsia="Calibri" w:hAnsi="Times New Roman" w:cs="Times New Roman"/>
          <w:b/>
          <w:bCs/>
          <w:sz w:val="24"/>
          <w:szCs w:val="24"/>
          <w:u w:val="single"/>
        </w:rPr>
        <w:t>Titled</w:t>
      </w:r>
    </w:p>
    <w:p w14:paraId="1C60DA7A" w14:textId="3DC5D574" w:rsidR="00AE67F7" w:rsidRPr="00AE67F7" w:rsidRDefault="00AE67F7" w:rsidP="00AE67F7">
      <w:pPr>
        <w:spacing w:after="0" w:line="240" w:lineRule="auto"/>
        <w:jc w:val="center"/>
        <w:rPr>
          <w:rFonts w:ascii="Times New Roman" w:eastAsia="Calibri" w:hAnsi="Times New Roman" w:cs="Times New Roman"/>
          <w:b/>
          <w:bCs/>
          <w:sz w:val="24"/>
          <w:szCs w:val="24"/>
          <w:u w:val="single"/>
        </w:rPr>
      </w:pPr>
      <w:r w:rsidRPr="00AE67F7">
        <w:rPr>
          <w:rFonts w:ascii="Times New Roman" w:eastAsia="Calibri" w:hAnsi="Times New Roman" w:cs="Times New Roman"/>
          <w:b/>
          <w:bCs/>
          <w:sz w:val="24"/>
          <w:szCs w:val="24"/>
          <w:u w:val="single"/>
        </w:rPr>
        <w:t>“Anti-Money Laundering</w:t>
      </w:r>
      <w:r w:rsidR="003F6733" w:rsidRPr="001558CC">
        <w:rPr>
          <w:rFonts w:ascii="Times New Roman" w:eastAsia="Calibri" w:hAnsi="Times New Roman" w:cs="Times New Roman"/>
          <w:b/>
          <w:bCs/>
          <w:sz w:val="24"/>
          <w:szCs w:val="24"/>
          <w:u w:val="single"/>
        </w:rPr>
        <w:t xml:space="preserve"> and </w:t>
      </w:r>
      <w:r w:rsidRPr="00AE67F7">
        <w:rPr>
          <w:rFonts w:ascii="Times New Roman" w:eastAsia="Calibri" w:hAnsi="Times New Roman" w:cs="Times New Roman"/>
          <w:b/>
          <w:bCs/>
          <w:sz w:val="24"/>
          <w:szCs w:val="24"/>
          <w:u w:val="single"/>
        </w:rPr>
        <w:t>Countering the Financing of Terrorism Program</w:t>
      </w:r>
      <w:r w:rsidR="003F6733" w:rsidRPr="001558CC">
        <w:rPr>
          <w:rFonts w:ascii="Times New Roman" w:eastAsia="Calibri" w:hAnsi="Times New Roman" w:cs="Times New Roman"/>
          <w:b/>
          <w:bCs/>
          <w:sz w:val="24"/>
          <w:szCs w:val="24"/>
          <w:u w:val="single"/>
        </w:rPr>
        <w:t>s”</w:t>
      </w:r>
      <w:r w:rsidRPr="00AE67F7">
        <w:rPr>
          <w:rFonts w:ascii="Times New Roman" w:eastAsia="Calibri" w:hAnsi="Times New Roman" w:cs="Times New Roman"/>
          <w:b/>
          <w:bCs/>
          <w:sz w:val="24"/>
          <w:szCs w:val="24"/>
          <w:u w:val="single"/>
        </w:rPr>
        <w:t xml:space="preserve"> </w:t>
      </w:r>
    </w:p>
    <w:p w14:paraId="4AAA288D" w14:textId="77777777" w:rsidR="00AE67F7" w:rsidRPr="00AE67F7" w:rsidRDefault="00AE67F7" w:rsidP="00AE67F7">
      <w:pPr>
        <w:rPr>
          <w:rFonts w:ascii="Times New Roman" w:eastAsia="Calibri" w:hAnsi="Times New Roman" w:cs="Times New Roman"/>
          <w:sz w:val="24"/>
          <w:szCs w:val="24"/>
        </w:rPr>
      </w:pPr>
    </w:p>
    <w:p w14:paraId="7CE285D5" w14:textId="49F1FA6E" w:rsidR="00AE67F7" w:rsidRPr="00AE67F7" w:rsidRDefault="00AE67F7" w:rsidP="00AE67F7">
      <w:pPr>
        <w:spacing w:after="0" w:line="240" w:lineRule="auto"/>
        <w:rPr>
          <w:rFonts w:ascii="Times New Roman" w:eastAsia="Calibri" w:hAnsi="Times New Roman" w:cs="Times New Roman"/>
          <w:sz w:val="24"/>
          <w:szCs w:val="24"/>
        </w:rPr>
      </w:pPr>
      <w:r w:rsidRPr="00AE67F7">
        <w:rPr>
          <w:rFonts w:ascii="Times New Roman" w:eastAsia="Calibri" w:hAnsi="Times New Roman" w:cs="Times New Roman"/>
          <w:sz w:val="24"/>
          <w:szCs w:val="24"/>
        </w:rPr>
        <w:t>This document summarizes a listening session that the Financial Crimes Enforcement Network (FinCEN)</w:t>
      </w:r>
      <w:r w:rsidR="00F8266E" w:rsidRPr="001558CC">
        <w:rPr>
          <w:rFonts w:ascii="Times New Roman" w:eastAsia="Calibri" w:hAnsi="Times New Roman" w:cs="Times New Roman"/>
          <w:sz w:val="24"/>
          <w:szCs w:val="24"/>
        </w:rPr>
        <w:t>, a bureau within the U.S. Department of the Treasury (Treasury),</w:t>
      </w:r>
      <w:r w:rsidRPr="00AE67F7">
        <w:rPr>
          <w:rFonts w:ascii="Times New Roman" w:eastAsia="Calibri" w:hAnsi="Times New Roman" w:cs="Times New Roman"/>
          <w:sz w:val="24"/>
          <w:szCs w:val="24"/>
        </w:rPr>
        <w:t xml:space="preserve"> held with representatives of </w:t>
      </w:r>
      <w:r w:rsidR="00F8266E" w:rsidRPr="001558CC">
        <w:rPr>
          <w:rFonts w:ascii="Times New Roman" w:eastAsia="Calibri" w:hAnsi="Times New Roman" w:cs="Times New Roman"/>
          <w:sz w:val="24"/>
          <w:szCs w:val="24"/>
        </w:rPr>
        <w:t>financial institutions</w:t>
      </w:r>
      <w:r w:rsidRPr="00AE67F7">
        <w:rPr>
          <w:rFonts w:ascii="Times New Roman" w:eastAsia="Calibri" w:hAnsi="Times New Roman" w:cs="Times New Roman"/>
          <w:sz w:val="24"/>
          <w:szCs w:val="24"/>
        </w:rPr>
        <w:t xml:space="preserve"> about </w:t>
      </w:r>
      <w:r w:rsidR="00F8266E" w:rsidRPr="001558CC">
        <w:rPr>
          <w:rFonts w:ascii="Times New Roman" w:eastAsia="Calibri" w:hAnsi="Times New Roman" w:cs="Times New Roman"/>
          <w:sz w:val="24"/>
          <w:szCs w:val="24"/>
        </w:rPr>
        <w:t>the</w:t>
      </w:r>
      <w:r w:rsidRPr="00AE67F7">
        <w:rPr>
          <w:rFonts w:ascii="Times New Roman" w:eastAsia="Calibri" w:hAnsi="Times New Roman" w:cs="Times New Roman"/>
          <w:sz w:val="24"/>
          <w:szCs w:val="24"/>
        </w:rPr>
        <w:t xml:space="preserve"> notice of proposed rulemaking</w:t>
      </w:r>
      <w:r w:rsidR="003F6733" w:rsidRPr="001558CC">
        <w:rPr>
          <w:rFonts w:ascii="Times New Roman" w:eastAsia="Calibri" w:hAnsi="Times New Roman" w:cs="Times New Roman"/>
          <w:sz w:val="24"/>
          <w:szCs w:val="24"/>
        </w:rPr>
        <w:t xml:space="preserve"> (NPRM)</w:t>
      </w:r>
      <w:r w:rsidRPr="00AE67F7">
        <w:rPr>
          <w:rFonts w:ascii="Times New Roman" w:eastAsia="Calibri" w:hAnsi="Times New Roman" w:cs="Times New Roman"/>
          <w:sz w:val="24"/>
          <w:szCs w:val="24"/>
        </w:rPr>
        <w:t xml:space="preserve"> titled </w:t>
      </w:r>
      <w:r w:rsidRPr="00AE67F7">
        <w:rPr>
          <w:rFonts w:ascii="Times New Roman" w:eastAsia="Calibri" w:hAnsi="Times New Roman" w:cs="Times New Roman"/>
          <w:i/>
          <w:iCs/>
          <w:sz w:val="24"/>
          <w:szCs w:val="24"/>
        </w:rPr>
        <w:t>Anti-Money Laundering</w:t>
      </w:r>
      <w:r w:rsidR="003F6733" w:rsidRPr="001558CC">
        <w:rPr>
          <w:rFonts w:ascii="Times New Roman" w:eastAsia="Calibri" w:hAnsi="Times New Roman" w:cs="Times New Roman"/>
          <w:i/>
          <w:iCs/>
          <w:sz w:val="24"/>
          <w:szCs w:val="24"/>
        </w:rPr>
        <w:t xml:space="preserve"> and </w:t>
      </w:r>
      <w:r w:rsidRPr="00AE67F7">
        <w:rPr>
          <w:rFonts w:ascii="Times New Roman" w:eastAsia="Calibri" w:hAnsi="Times New Roman" w:cs="Times New Roman"/>
          <w:i/>
          <w:iCs/>
          <w:sz w:val="24"/>
          <w:szCs w:val="24"/>
        </w:rPr>
        <w:t>Countering the Financing of Terrorism Program</w:t>
      </w:r>
      <w:r w:rsidR="003F6733" w:rsidRPr="001558CC">
        <w:rPr>
          <w:rFonts w:ascii="Times New Roman" w:eastAsia="Calibri" w:hAnsi="Times New Roman" w:cs="Times New Roman"/>
          <w:i/>
          <w:iCs/>
          <w:sz w:val="24"/>
          <w:szCs w:val="24"/>
        </w:rPr>
        <w:t>s</w:t>
      </w:r>
      <w:r w:rsidRPr="00AE67F7">
        <w:rPr>
          <w:rFonts w:ascii="Times New Roman" w:eastAsia="Calibri" w:hAnsi="Times New Roman" w:cs="Times New Roman"/>
          <w:i/>
          <w:iCs/>
          <w:sz w:val="24"/>
          <w:szCs w:val="24"/>
        </w:rPr>
        <w:t xml:space="preserve"> </w:t>
      </w:r>
      <w:r w:rsidR="003F6733" w:rsidRPr="001558CC">
        <w:rPr>
          <w:rFonts w:ascii="Times New Roman" w:eastAsia="Calibri" w:hAnsi="Times New Roman" w:cs="Times New Roman"/>
          <w:sz w:val="24"/>
          <w:szCs w:val="24"/>
        </w:rPr>
        <w:t>published</w:t>
      </w:r>
      <w:r w:rsidRPr="00AE67F7">
        <w:rPr>
          <w:rFonts w:ascii="Times New Roman" w:eastAsia="Calibri" w:hAnsi="Times New Roman" w:cs="Times New Roman"/>
          <w:sz w:val="24"/>
          <w:szCs w:val="24"/>
        </w:rPr>
        <w:t xml:space="preserve"> on </w:t>
      </w:r>
      <w:r w:rsidR="003F6733" w:rsidRPr="001558CC">
        <w:rPr>
          <w:rFonts w:ascii="Times New Roman" w:eastAsia="Calibri" w:hAnsi="Times New Roman" w:cs="Times New Roman"/>
          <w:sz w:val="24"/>
          <w:szCs w:val="24"/>
        </w:rPr>
        <w:t>July 3</w:t>
      </w:r>
      <w:r w:rsidRPr="00AE67F7">
        <w:rPr>
          <w:rFonts w:ascii="Times New Roman" w:eastAsia="Calibri" w:hAnsi="Times New Roman" w:cs="Times New Roman"/>
          <w:sz w:val="24"/>
          <w:szCs w:val="24"/>
        </w:rPr>
        <w:t xml:space="preserve">, 2024 (Docket Number </w:t>
      </w:r>
      <w:r w:rsidR="003F6733" w:rsidRPr="001558CC">
        <w:rPr>
          <w:rFonts w:ascii="Times New Roman" w:eastAsia="Calibri" w:hAnsi="Times New Roman" w:cs="Times New Roman"/>
          <w:sz w:val="24"/>
          <w:szCs w:val="24"/>
        </w:rPr>
        <w:t>FINCEN-</w:t>
      </w:r>
      <w:r w:rsidRPr="00AE67F7">
        <w:rPr>
          <w:rFonts w:ascii="Times New Roman" w:eastAsia="Calibri" w:hAnsi="Times New Roman" w:cs="Times New Roman"/>
          <w:sz w:val="24"/>
          <w:szCs w:val="24"/>
        </w:rPr>
        <w:t>2024-0</w:t>
      </w:r>
      <w:r w:rsidR="003F6733" w:rsidRPr="001558CC">
        <w:rPr>
          <w:rFonts w:ascii="Times New Roman" w:eastAsia="Calibri" w:hAnsi="Times New Roman" w:cs="Times New Roman"/>
          <w:sz w:val="24"/>
          <w:szCs w:val="24"/>
        </w:rPr>
        <w:t>013</w:t>
      </w:r>
      <w:r w:rsidRPr="00AE67F7">
        <w:rPr>
          <w:rFonts w:ascii="Times New Roman" w:eastAsia="Calibri" w:hAnsi="Times New Roman" w:cs="Times New Roman"/>
          <w:sz w:val="24"/>
          <w:szCs w:val="24"/>
        </w:rPr>
        <w:t>) (</w:t>
      </w:r>
      <w:r w:rsidR="003F6733" w:rsidRPr="001558CC">
        <w:rPr>
          <w:rFonts w:ascii="Times New Roman" w:eastAsia="Calibri" w:hAnsi="Times New Roman" w:cs="Times New Roman"/>
          <w:sz w:val="24"/>
          <w:szCs w:val="24"/>
        </w:rPr>
        <w:t>Program</w:t>
      </w:r>
      <w:r w:rsidRPr="00AE67F7">
        <w:rPr>
          <w:rFonts w:ascii="Times New Roman" w:eastAsia="Calibri" w:hAnsi="Times New Roman" w:cs="Times New Roman"/>
          <w:sz w:val="24"/>
          <w:szCs w:val="24"/>
        </w:rPr>
        <w:t xml:space="preserve"> NPRM). </w:t>
      </w:r>
      <w:r w:rsidR="00F8266E" w:rsidRPr="001558CC">
        <w:rPr>
          <w:rFonts w:ascii="Times New Roman" w:eastAsia="Calibri" w:hAnsi="Times New Roman" w:cs="Times New Roman"/>
          <w:sz w:val="24"/>
          <w:szCs w:val="24"/>
        </w:rPr>
        <w:t xml:space="preserve"> </w:t>
      </w:r>
      <w:r w:rsidRPr="00AE67F7">
        <w:rPr>
          <w:rFonts w:ascii="Times New Roman" w:eastAsia="Calibri" w:hAnsi="Times New Roman" w:cs="Times New Roman"/>
          <w:sz w:val="24"/>
          <w:szCs w:val="24"/>
        </w:rPr>
        <w:t xml:space="preserve">FinCEN is adding this summary of the listening session to the docket for the </w:t>
      </w:r>
      <w:r w:rsidR="00F8266E" w:rsidRPr="001558CC">
        <w:rPr>
          <w:rFonts w:ascii="Times New Roman" w:eastAsia="Calibri" w:hAnsi="Times New Roman" w:cs="Times New Roman"/>
          <w:sz w:val="24"/>
          <w:szCs w:val="24"/>
        </w:rPr>
        <w:t xml:space="preserve">Program </w:t>
      </w:r>
      <w:r w:rsidRPr="00AE67F7">
        <w:rPr>
          <w:rFonts w:ascii="Times New Roman" w:eastAsia="Calibri" w:hAnsi="Times New Roman" w:cs="Times New Roman"/>
          <w:sz w:val="24"/>
          <w:szCs w:val="24"/>
        </w:rPr>
        <w:t>NPRM to help ensure that the public is aware of the listening session and understands the information that was provided to FinCEN in this session.  FinCEN did not provide any new substantive information about either proposed rules or substantively respond to any comments during the listening session.</w:t>
      </w:r>
    </w:p>
    <w:p w14:paraId="193529B4" w14:textId="77777777" w:rsidR="00AE67F7" w:rsidRPr="00AE67F7" w:rsidRDefault="00AE67F7" w:rsidP="00AE67F7">
      <w:pPr>
        <w:rPr>
          <w:rFonts w:ascii="Times New Roman" w:eastAsia="Calibri" w:hAnsi="Times New Roman" w:cs="Times New Roman"/>
          <w:sz w:val="24"/>
          <w:szCs w:val="24"/>
        </w:rPr>
      </w:pPr>
    </w:p>
    <w:p w14:paraId="278D9278" w14:textId="061582E3" w:rsidR="00AE67F7" w:rsidRPr="00AE67F7" w:rsidRDefault="00AE67F7" w:rsidP="00AE67F7">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DATE: </w:t>
      </w:r>
      <w:r w:rsidR="00747DB9">
        <w:rPr>
          <w:rFonts w:ascii="Times New Roman" w:eastAsia="Calibri" w:hAnsi="Times New Roman" w:cs="Times New Roman"/>
          <w:sz w:val="24"/>
          <w:szCs w:val="24"/>
        </w:rPr>
        <w:t>August</w:t>
      </w:r>
      <w:r w:rsidRPr="00AE67F7">
        <w:rPr>
          <w:rFonts w:ascii="Times New Roman" w:eastAsia="Calibri" w:hAnsi="Times New Roman" w:cs="Times New Roman"/>
          <w:sz w:val="24"/>
          <w:szCs w:val="24"/>
        </w:rPr>
        <w:t xml:space="preserve"> 1</w:t>
      </w:r>
      <w:r w:rsidR="00F8266E" w:rsidRPr="001558CC">
        <w:rPr>
          <w:rFonts w:ascii="Times New Roman" w:eastAsia="Calibri" w:hAnsi="Times New Roman" w:cs="Times New Roman"/>
          <w:sz w:val="24"/>
          <w:szCs w:val="24"/>
        </w:rPr>
        <w:t>9</w:t>
      </w:r>
      <w:r w:rsidRPr="00AE67F7">
        <w:rPr>
          <w:rFonts w:ascii="Times New Roman" w:eastAsia="Calibri" w:hAnsi="Times New Roman" w:cs="Times New Roman"/>
          <w:sz w:val="24"/>
          <w:szCs w:val="24"/>
        </w:rPr>
        <w:t>, 2024</w:t>
      </w:r>
    </w:p>
    <w:p w14:paraId="7D38C248" w14:textId="21F23122" w:rsidR="00AE67F7" w:rsidRPr="00AE67F7" w:rsidRDefault="00AE67F7" w:rsidP="00AE67F7">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TIME: </w:t>
      </w:r>
      <w:r w:rsidR="00F8266E" w:rsidRPr="001558CC">
        <w:rPr>
          <w:rFonts w:ascii="Times New Roman" w:eastAsia="Calibri" w:hAnsi="Times New Roman" w:cs="Times New Roman"/>
          <w:sz w:val="24"/>
          <w:szCs w:val="24"/>
        </w:rPr>
        <w:t>1:00</w:t>
      </w:r>
      <w:r w:rsidRPr="00AE67F7">
        <w:rPr>
          <w:rFonts w:ascii="Times New Roman" w:eastAsia="Calibri" w:hAnsi="Times New Roman" w:cs="Times New Roman"/>
          <w:sz w:val="24"/>
          <w:szCs w:val="24"/>
        </w:rPr>
        <w:t xml:space="preserve"> p.m. – </w:t>
      </w:r>
      <w:r w:rsidR="00F8266E" w:rsidRPr="001558CC">
        <w:rPr>
          <w:rFonts w:ascii="Times New Roman" w:eastAsia="Calibri" w:hAnsi="Times New Roman" w:cs="Times New Roman"/>
          <w:sz w:val="24"/>
          <w:szCs w:val="24"/>
        </w:rPr>
        <w:t>2:00</w:t>
      </w:r>
      <w:r w:rsidRPr="00AE67F7">
        <w:rPr>
          <w:rFonts w:ascii="Times New Roman" w:eastAsia="Calibri" w:hAnsi="Times New Roman" w:cs="Times New Roman"/>
          <w:sz w:val="24"/>
          <w:szCs w:val="24"/>
        </w:rPr>
        <w:t xml:space="preserve"> p.m., Eastern Time </w:t>
      </w:r>
    </w:p>
    <w:p w14:paraId="0582494F" w14:textId="77777777" w:rsidR="00AE67F7" w:rsidRPr="00AE67F7" w:rsidRDefault="00AE67F7" w:rsidP="00AE67F7">
      <w:pPr>
        <w:rPr>
          <w:rFonts w:ascii="Times New Roman" w:eastAsia="Calibri" w:hAnsi="Times New Roman" w:cs="Times New Roman"/>
          <w:sz w:val="24"/>
          <w:szCs w:val="24"/>
        </w:rPr>
      </w:pPr>
      <w:r w:rsidRPr="00AE67F7">
        <w:rPr>
          <w:rFonts w:ascii="Times New Roman" w:eastAsia="Calibri" w:hAnsi="Times New Roman" w:cs="Times New Roman"/>
          <w:sz w:val="24"/>
          <w:szCs w:val="24"/>
        </w:rPr>
        <w:t>LOCATION: Virtual</w:t>
      </w:r>
    </w:p>
    <w:p w14:paraId="724306A1" w14:textId="63213416" w:rsidR="00AE67F7" w:rsidRPr="00AE67F7" w:rsidRDefault="00AE67F7" w:rsidP="00AE67F7">
      <w:pPr>
        <w:rPr>
          <w:rFonts w:ascii="Times New Roman" w:eastAsia="Calibri" w:hAnsi="Times New Roman" w:cs="Times New Roman"/>
          <w:sz w:val="24"/>
          <w:szCs w:val="24"/>
        </w:rPr>
      </w:pPr>
      <w:r w:rsidRPr="00AE67F7">
        <w:rPr>
          <w:rFonts w:ascii="Times New Roman" w:eastAsia="Calibri" w:hAnsi="Times New Roman" w:cs="Times New Roman"/>
          <w:sz w:val="24"/>
          <w:szCs w:val="24"/>
        </w:rPr>
        <w:t xml:space="preserve">ATTENDEES: </w:t>
      </w:r>
    </w:p>
    <w:p w14:paraId="7D4DFBE5" w14:textId="0F3A67A2" w:rsidR="00F8266E" w:rsidRPr="001558CC" w:rsidRDefault="001558CC" w:rsidP="00F8266E">
      <w:pPr>
        <w:rPr>
          <w:rFonts w:ascii="Times New Roman" w:hAnsi="Times New Roman" w:cs="Times New Roman"/>
          <w:u w:val="single"/>
        </w:rPr>
      </w:pPr>
      <w:r w:rsidRPr="001558CC">
        <w:rPr>
          <w:rFonts w:ascii="Times New Roman" w:hAnsi="Times New Roman" w:cs="Times New Roman"/>
          <w:u w:val="single"/>
        </w:rPr>
        <w:t>FinCEN</w:t>
      </w:r>
      <w:r>
        <w:rPr>
          <w:rFonts w:ascii="Times New Roman" w:hAnsi="Times New Roman" w:cs="Times New Roman"/>
          <w:u w:val="single"/>
        </w:rPr>
        <w:t xml:space="preserve"> and Treasury</w:t>
      </w:r>
    </w:p>
    <w:p w14:paraId="0718105F" w14:textId="62C9E56E" w:rsidR="009638C7" w:rsidRPr="001558CC" w:rsidRDefault="00F8266E" w:rsidP="00F8266E">
      <w:pPr>
        <w:pStyle w:val="ListParagraph"/>
        <w:numPr>
          <w:ilvl w:val="0"/>
          <w:numId w:val="1"/>
        </w:numPr>
        <w:rPr>
          <w:rFonts w:ascii="Times New Roman" w:hAnsi="Times New Roman" w:cs="Times New Roman"/>
        </w:rPr>
      </w:pPr>
      <w:r w:rsidRPr="001558CC">
        <w:rPr>
          <w:rFonts w:ascii="Times New Roman" w:hAnsi="Times New Roman" w:cs="Times New Roman"/>
        </w:rPr>
        <w:t>James Martinelli, Acting Associate Director, Policy Division</w:t>
      </w:r>
    </w:p>
    <w:p w14:paraId="7ED404A4" w14:textId="676D41D6" w:rsidR="00F8266E" w:rsidRPr="001558CC" w:rsidRDefault="00F8266E" w:rsidP="00F8266E">
      <w:pPr>
        <w:pStyle w:val="ListParagraph"/>
        <w:numPr>
          <w:ilvl w:val="0"/>
          <w:numId w:val="1"/>
        </w:numPr>
        <w:rPr>
          <w:rFonts w:ascii="Times New Roman" w:hAnsi="Times New Roman" w:cs="Times New Roman"/>
        </w:rPr>
      </w:pPr>
      <w:r w:rsidRPr="001558CC">
        <w:rPr>
          <w:rFonts w:ascii="Times New Roman" w:hAnsi="Times New Roman" w:cs="Times New Roman"/>
        </w:rPr>
        <w:t xml:space="preserve">Staff from FinCEN, </w:t>
      </w:r>
      <w:r w:rsidR="002B2B97">
        <w:rPr>
          <w:rFonts w:ascii="Times New Roman" w:hAnsi="Times New Roman" w:cs="Times New Roman"/>
        </w:rPr>
        <w:t xml:space="preserve">Treasury’s </w:t>
      </w:r>
      <w:r w:rsidRPr="001558CC">
        <w:rPr>
          <w:rFonts w:ascii="Times New Roman" w:hAnsi="Times New Roman" w:cs="Times New Roman"/>
        </w:rPr>
        <w:t>Office of Terrorist Financing and Financial Crimes, and Treasury’s Office of the General Counsel</w:t>
      </w:r>
    </w:p>
    <w:p w14:paraId="3FC3BA92" w14:textId="0BD9D338" w:rsidR="001558CC" w:rsidRPr="001558CC" w:rsidRDefault="001558CC" w:rsidP="001558CC">
      <w:pPr>
        <w:rPr>
          <w:rFonts w:ascii="Times New Roman" w:hAnsi="Times New Roman" w:cs="Times New Roman"/>
          <w:u w:val="single"/>
        </w:rPr>
      </w:pPr>
      <w:r w:rsidRPr="001558CC">
        <w:rPr>
          <w:rFonts w:ascii="Times New Roman" w:hAnsi="Times New Roman" w:cs="Times New Roman"/>
          <w:u w:val="single"/>
        </w:rPr>
        <w:t>Other Attendees</w:t>
      </w:r>
      <w:r w:rsidR="0077533E" w:rsidRPr="0077533E">
        <w:rPr>
          <w:rFonts w:ascii="Times New Roman" w:hAnsi="Times New Roman" w:cs="Times New Roman"/>
          <w:u w:val="single"/>
          <w:vertAlign w:val="superscript"/>
        </w:rPr>
        <w:footnoteReference w:id="2"/>
      </w:r>
    </w:p>
    <w:p w14:paraId="6779FE62" w14:textId="08E72683"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Alix Roberts</w:t>
      </w:r>
      <w:r w:rsidR="00AA7496">
        <w:rPr>
          <w:rFonts w:ascii="Times New Roman" w:hAnsi="Times New Roman" w:cs="Times New Roman"/>
        </w:rPr>
        <w:t xml:space="preserve">, </w:t>
      </w:r>
      <w:r w:rsidRPr="001558CC">
        <w:rPr>
          <w:rFonts w:ascii="Times New Roman" w:hAnsi="Times New Roman" w:cs="Times New Roman"/>
        </w:rPr>
        <w:t>B</w:t>
      </w:r>
      <w:r w:rsidR="00183812">
        <w:rPr>
          <w:rFonts w:ascii="Times New Roman" w:hAnsi="Times New Roman" w:cs="Times New Roman"/>
        </w:rPr>
        <w:t xml:space="preserve">ank </w:t>
      </w:r>
      <w:r w:rsidRPr="001558CC">
        <w:rPr>
          <w:rFonts w:ascii="Times New Roman" w:hAnsi="Times New Roman" w:cs="Times New Roman"/>
        </w:rPr>
        <w:t>P</w:t>
      </w:r>
      <w:r w:rsidR="00183812">
        <w:rPr>
          <w:rFonts w:ascii="Times New Roman" w:hAnsi="Times New Roman" w:cs="Times New Roman"/>
        </w:rPr>
        <w:t xml:space="preserve">olicy </w:t>
      </w:r>
      <w:r w:rsidRPr="001558CC">
        <w:rPr>
          <w:rFonts w:ascii="Times New Roman" w:hAnsi="Times New Roman" w:cs="Times New Roman"/>
        </w:rPr>
        <w:t>I</w:t>
      </w:r>
      <w:r w:rsidR="00183812">
        <w:rPr>
          <w:rFonts w:ascii="Times New Roman" w:hAnsi="Times New Roman" w:cs="Times New Roman"/>
        </w:rPr>
        <w:t>nstitute (BPI)</w:t>
      </w:r>
    </w:p>
    <w:p w14:paraId="4E20E29F" w14:textId="2594DAA6"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Molly McLane</w:t>
      </w:r>
      <w:r w:rsidR="00AA7496">
        <w:rPr>
          <w:rFonts w:ascii="Times New Roman" w:hAnsi="Times New Roman" w:cs="Times New Roman"/>
        </w:rPr>
        <w:t>, Morgan Stanley</w:t>
      </w:r>
    </w:p>
    <w:p w14:paraId="5EA2D29D" w14:textId="61215BE3"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Kevin Lampeter</w:t>
      </w:r>
      <w:r w:rsidR="00AA7496">
        <w:rPr>
          <w:rFonts w:ascii="Times New Roman" w:hAnsi="Times New Roman" w:cs="Times New Roman"/>
        </w:rPr>
        <w:t xml:space="preserve">, </w:t>
      </w:r>
      <w:r w:rsidRPr="001558CC">
        <w:rPr>
          <w:rFonts w:ascii="Times New Roman" w:hAnsi="Times New Roman" w:cs="Times New Roman"/>
        </w:rPr>
        <w:t>HSBC</w:t>
      </w:r>
    </w:p>
    <w:p w14:paraId="2FAE6577" w14:textId="77777777" w:rsidR="008B7DA9" w:rsidRPr="001558CC" w:rsidRDefault="008B7DA9" w:rsidP="008B7DA9">
      <w:pPr>
        <w:pStyle w:val="ListParagraph"/>
        <w:numPr>
          <w:ilvl w:val="0"/>
          <w:numId w:val="2"/>
        </w:numPr>
        <w:rPr>
          <w:rFonts w:ascii="Times New Roman" w:hAnsi="Times New Roman" w:cs="Times New Roman"/>
        </w:rPr>
      </w:pPr>
      <w:r w:rsidRPr="001558CC">
        <w:rPr>
          <w:rFonts w:ascii="Times New Roman" w:hAnsi="Times New Roman" w:cs="Times New Roman"/>
        </w:rPr>
        <w:t>Bernard Canepa</w:t>
      </w:r>
      <w:r>
        <w:rPr>
          <w:rFonts w:ascii="Times New Roman" w:hAnsi="Times New Roman" w:cs="Times New Roman"/>
        </w:rPr>
        <w:t>, Securities Industry and Financial Markets Association (SIFMA)</w:t>
      </w:r>
    </w:p>
    <w:p w14:paraId="1154C4B8" w14:textId="27705460"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Margaret Edmunds</w:t>
      </w:r>
      <w:r w:rsidR="00AA7496">
        <w:rPr>
          <w:rFonts w:ascii="Times New Roman" w:hAnsi="Times New Roman" w:cs="Times New Roman"/>
        </w:rPr>
        <w:t>,</w:t>
      </w:r>
      <w:r w:rsidRPr="001558CC">
        <w:rPr>
          <w:rFonts w:ascii="Times New Roman" w:hAnsi="Times New Roman" w:cs="Times New Roman"/>
        </w:rPr>
        <w:t xml:space="preserve"> </w:t>
      </w:r>
      <w:r w:rsidR="00AA7496">
        <w:rPr>
          <w:rFonts w:ascii="Times New Roman" w:hAnsi="Times New Roman" w:cs="Times New Roman"/>
        </w:rPr>
        <w:t xml:space="preserve">RW </w:t>
      </w:r>
      <w:r w:rsidRPr="001558CC">
        <w:rPr>
          <w:rFonts w:ascii="Times New Roman" w:hAnsi="Times New Roman" w:cs="Times New Roman"/>
        </w:rPr>
        <w:t>Baird</w:t>
      </w:r>
    </w:p>
    <w:p w14:paraId="7C0B7F69" w14:textId="02D63330"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Monty Engel</w:t>
      </w:r>
      <w:r w:rsidR="00AA7496">
        <w:rPr>
          <w:rFonts w:ascii="Times New Roman" w:hAnsi="Times New Roman" w:cs="Times New Roman"/>
        </w:rPr>
        <w:t xml:space="preserve">, </w:t>
      </w:r>
      <w:r w:rsidRPr="001558CC">
        <w:rPr>
          <w:rFonts w:ascii="Times New Roman" w:hAnsi="Times New Roman" w:cs="Times New Roman"/>
        </w:rPr>
        <w:t>J</w:t>
      </w:r>
      <w:r w:rsidR="00492FC2">
        <w:rPr>
          <w:rFonts w:ascii="Times New Roman" w:hAnsi="Times New Roman" w:cs="Times New Roman"/>
        </w:rPr>
        <w:t>.</w:t>
      </w:r>
      <w:r w:rsidRPr="001558CC">
        <w:rPr>
          <w:rFonts w:ascii="Times New Roman" w:hAnsi="Times New Roman" w:cs="Times New Roman"/>
        </w:rPr>
        <w:t>P</w:t>
      </w:r>
      <w:r w:rsidR="00492FC2">
        <w:rPr>
          <w:rFonts w:ascii="Times New Roman" w:hAnsi="Times New Roman" w:cs="Times New Roman"/>
        </w:rPr>
        <w:t>.</w:t>
      </w:r>
      <w:r w:rsidR="00AA7496">
        <w:rPr>
          <w:rFonts w:ascii="Times New Roman" w:hAnsi="Times New Roman" w:cs="Times New Roman"/>
        </w:rPr>
        <w:t xml:space="preserve"> </w:t>
      </w:r>
      <w:r w:rsidRPr="001558CC">
        <w:rPr>
          <w:rFonts w:ascii="Times New Roman" w:hAnsi="Times New Roman" w:cs="Times New Roman"/>
        </w:rPr>
        <w:t>M</w:t>
      </w:r>
      <w:r w:rsidR="00AA7496">
        <w:rPr>
          <w:rFonts w:ascii="Times New Roman" w:hAnsi="Times New Roman" w:cs="Times New Roman"/>
        </w:rPr>
        <w:t>organ Chase</w:t>
      </w:r>
      <w:r w:rsidR="004E3426">
        <w:rPr>
          <w:rFonts w:ascii="Times New Roman" w:hAnsi="Times New Roman" w:cs="Times New Roman"/>
        </w:rPr>
        <w:t xml:space="preserve"> (JPMC)</w:t>
      </w:r>
    </w:p>
    <w:p w14:paraId="3B142CD3" w14:textId="77777777" w:rsidR="002B2B97" w:rsidRPr="001558CC" w:rsidRDefault="002B2B97" w:rsidP="002B2B97">
      <w:pPr>
        <w:pStyle w:val="ListParagraph"/>
        <w:numPr>
          <w:ilvl w:val="0"/>
          <w:numId w:val="2"/>
        </w:numPr>
        <w:rPr>
          <w:rFonts w:ascii="Times New Roman" w:hAnsi="Times New Roman" w:cs="Times New Roman"/>
        </w:rPr>
      </w:pPr>
      <w:r w:rsidRPr="001558CC">
        <w:rPr>
          <w:rFonts w:ascii="Times New Roman" w:hAnsi="Times New Roman" w:cs="Times New Roman"/>
        </w:rPr>
        <w:t>Kelly Cooper</w:t>
      </w:r>
      <w:r>
        <w:rPr>
          <w:rFonts w:ascii="Times New Roman" w:hAnsi="Times New Roman" w:cs="Times New Roman"/>
        </w:rPr>
        <w:t xml:space="preserve">, </w:t>
      </w:r>
      <w:r w:rsidRPr="001558CC">
        <w:rPr>
          <w:rFonts w:ascii="Times New Roman" w:hAnsi="Times New Roman" w:cs="Times New Roman"/>
        </w:rPr>
        <w:t>J</w:t>
      </w:r>
      <w:r>
        <w:rPr>
          <w:rFonts w:ascii="Times New Roman" w:hAnsi="Times New Roman" w:cs="Times New Roman"/>
        </w:rPr>
        <w:t>.</w:t>
      </w:r>
      <w:r w:rsidRPr="001558CC">
        <w:rPr>
          <w:rFonts w:ascii="Times New Roman" w:hAnsi="Times New Roman" w:cs="Times New Roman"/>
        </w:rPr>
        <w:t>P</w:t>
      </w:r>
      <w:r>
        <w:rPr>
          <w:rFonts w:ascii="Times New Roman" w:hAnsi="Times New Roman" w:cs="Times New Roman"/>
        </w:rPr>
        <w:t xml:space="preserve">. </w:t>
      </w:r>
      <w:r w:rsidRPr="001558CC">
        <w:rPr>
          <w:rFonts w:ascii="Times New Roman" w:hAnsi="Times New Roman" w:cs="Times New Roman"/>
        </w:rPr>
        <w:t>M</w:t>
      </w:r>
      <w:r>
        <w:rPr>
          <w:rFonts w:ascii="Times New Roman" w:hAnsi="Times New Roman" w:cs="Times New Roman"/>
        </w:rPr>
        <w:t>organ Chase</w:t>
      </w:r>
    </w:p>
    <w:p w14:paraId="6023E4AA" w14:textId="6EECF9DB"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Tracy Paradise</w:t>
      </w:r>
      <w:r w:rsidR="00AA7496">
        <w:rPr>
          <w:rFonts w:ascii="Times New Roman" w:hAnsi="Times New Roman" w:cs="Times New Roman"/>
        </w:rPr>
        <w:t>, HSBC</w:t>
      </w:r>
    </w:p>
    <w:p w14:paraId="5C0841F8" w14:textId="2723F7F7"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Alan Ketley</w:t>
      </w:r>
      <w:r w:rsidR="00AA7496">
        <w:rPr>
          <w:rFonts w:ascii="Times New Roman" w:hAnsi="Times New Roman" w:cs="Times New Roman"/>
        </w:rPr>
        <w:t>, Wolfsberg Group</w:t>
      </w:r>
    </w:p>
    <w:p w14:paraId="594ED0F6" w14:textId="516FAC76"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Sharon Cohen Levin</w:t>
      </w:r>
      <w:r w:rsidR="00AA7496">
        <w:rPr>
          <w:rFonts w:ascii="Times New Roman" w:hAnsi="Times New Roman" w:cs="Times New Roman"/>
        </w:rPr>
        <w:t>,</w:t>
      </w:r>
      <w:r w:rsidRPr="001558CC">
        <w:rPr>
          <w:rFonts w:ascii="Times New Roman" w:hAnsi="Times New Roman" w:cs="Times New Roman"/>
        </w:rPr>
        <w:t xml:space="preserve"> Sullivan &amp; Cromwell </w:t>
      </w:r>
      <w:r w:rsidR="00AA7496">
        <w:rPr>
          <w:rFonts w:ascii="Times New Roman" w:hAnsi="Times New Roman" w:cs="Times New Roman"/>
        </w:rPr>
        <w:t>(</w:t>
      </w:r>
      <w:r w:rsidRPr="001558CC">
        <w:rPr>
          <w:rFonts w:ascii="Times New Roman" w:hAnsi="Times New Roman" w:cs="Times New Roman"/>
        </w:rPr>
        <w:t>representing BPI)</w:t>
      </w:r>
    </w:p>
    <w:p w14:paraId="3FB3537F" w14:textId="130AB723"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K</w:t>
      </w:r>
      <w:r w:rsidR="00DB7759">
        <w:rPr>
          <w:rFonts w:ascii="Times New Roman" w:hAnsi="Times New Roman" w:cs="Times New Roman"/>
        </w:rPr>
        <w:t>eara</w:t>
      </w:r>
      <w:r w:rsidRPr="001558CC">
        <w:rPr>
          <w:rFonts w:ascii="Times New Roman" w:hAnsi="Times New Roman" w:cs="Times New Roman"/>
        </w:rPr>
        <w:t xml:space="preserve"> R</w:t>
      </w:r>
      <w:r w:rsidR="00D240E7">
        <w:rPr>
          <w:rFonts w:ascii="Times New Roman" w:hAnsi="Times New Roman" w:cs="Times New Roman"/>
        </w:rPr>
        <w:t>e</w:t>
      </w:r>
      <w:r w:rsidRPr="001558CC">
        <w:rPr>
          <w:rFonts w:ascii="Times New Roman" w:hAnsi="Times New Roman" w:cs="Times New Roman"/>
        </w:rPr>
        <w:t>l</w:t>
      </w:r>
      <w:r w:rsidR="00D240E7">
        <w:rPr>
          <w:rFonts w:ascii="Times New Roman" w:hAnsi="Times New Roman" w:cs="Times New Roman"/>
        </w:rPr>
        <w:t>uzco</w:t>
      </w:r>
      <w:r w:rsidRPr="001558CC">
        <w:rPr>
          <w:rFonts w:ascii="Times New Roman" w:hAnsi="Times New Roman" w:cs="Times New Roman"/>
        </w:rPr>
        <w:t>, Barclays</w:t>
      </w:r>
    </w:p>
    <w:p w14:paraId="5D96F8B7" w14:textId="5207A8A6" w:rsid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Logan Anderson</w:t>
      </w:r>
      <w:r w:rsidR="00DC6CD1">
        <w:rPr>
          <w:rFonts w:ascii="Times New Roman" w:hAnsi="Times New Roman" w:cs="Times New Roman"/>
        </w:rPr>
        <w:t>, Charles Schwab</w:t>
      </w:r>
    </w:p>
    <w:p w14:paraId="3A9E60E9" w14:textId="77777777" w:rsidR="002B2B97" w:rsidRPr="001558CC" w:rsidRDefault="002B2B97" w:rsidP="002B2B97">
      <w:pPr>
        <w:pStyle w:val="ListParagraph"/>
        <w:numPr>
          <w:ilvl w:val="0"/>
          <w:numId w:val="2"/>
        </w:numPr>
        <w:rPr>
          <w:rFonts w:ascii="Times New Roman" w:hAnsi="Times New Roman" w:cs="Times New Roman"/>
        </w:rPr>
      </w:pPr>
      <w:r w:rsidRPr="001558CC">
        <w:rPr>
          <w:rFonts w:ascii="Times New Roman" w:hAnsi="Times New Roman" w:cs="Times New Roman"/>
        </w:rPr>
        <w:t>Elizabeth David</w:t>
      </w:r>
      <w:r>
        <w:rPr>
          <w:rFonts w:ascii="Times New Roman" w:hAnsi="Times New Roman" w:cs="Times New Roman"/>
        </w:rPr>
        <w:t>, Citibank</w:t>
      </w:r>
    </w:p>
    <w:p w14:paraId="03D06C8F" w14:textId="3772EB77"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Ainsley Cathcart</w:t>
      </w:r>
      <w:r w:rsidR="00DC6CD1">
        <w:rPr>
          <w:rFonts w:ascii="Times New Roman" w:hAnsi="Times New Roman" w:cs="Times New Roman"/>
        </w:rPr>
        <w:t>, Citi</w:t>
      </w:r>
      <w:r w:rsidR="00492FC2">
        <w:rPr>
          <w:rFonts w:ascii="Times New Roman" w:hAnsi="Times New Roman" w:cs="Times New Roman"/>
        </w:rPr>
        <w:t>bank</w:t>
      </w:r>
    </w:p>
    <w:p w14:paraId="6DE168E3" w14:textId="4DFBB5BF"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Erin Finger</w:t>
      </w:r>
      <w:r w:rsidR="00DC6CD1">
        <w:rPr>
          <w:rFonts w:ascii="Times New Roman" w:hAnsi="Times New Roman" w:cs="Times New Roman"/>
        </w:rPr>
        <w:t>, Bank of America</w:t>
      </w:r>
    </w:p>
    <w:p w14:paraId="220705B3" w14:textId="295F54A0"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t>Tharinee Charintranont</w:t>
      </w:r>
      <w:r w:rsidR="00B33B5E">
        <w:rPr>
          <w:rFonts w:ascii="Times New Roman" w:hAnsi="Times New Roman" w:cs="Times New Roman"/>
        </w:rPr>
        <w:t>, Goldman Sachs</w:t>
      </w:r>
    </w:p>
    <w:p w14:paraId="027270E8" w14:textId="192B3DE2" w:rsidR="001558CC" w:rsidRPr="001558CC" w:rsidRDefault="001558CC" w:rsidP="001558CC">
      <w:pPr>
        <w:pStyle w:val="ListParagraph"/>
        <w:numPr>
          <w:ilvl w:val="0"/>
          <w:numId w:val="2"/>
        </w:numPr>
        <w:rPr>
          <w:rFonts w:ascii="Times New Roman" w:hAnsi="Times New Roman" w:cs="Times New Roman"/>
        </w:rPr>
      </w:pPr>
      <w:r w:rsidRPr="001558CC">
        <w:rPr>
          <w:rFonts w:ascii="Times New Roman" w:hAnsi="Times New Roman" w:cs="Times New Roman"/>
        </w:rPr>
        <w:lastRenderedPageBreak/>
        <w:t>Jon Easton</w:t>
      </w:r>
      <w:r w:rsidR="00DB7759">
        <w:rPr>
          <w:rFonts w:ascii="Times New Roman" w:hAnsi="Times New Roman" w:cs="Times New Roman"/>
        </w:rPr>
        <w:t>, Goldman Sachs</w:t>
      </w:r>
    </w:p>
    <w:p w14:paraId="70C7C5F5" w14:textId="29023973" w:rsidR="00183812" w:rsidRDefault="00183812" w:rsidP="007C2E85">
      <w:pPr>
        <w:rPr>
          <w:rFonts w:ascii="Times New Roman" w:hAnsi="Times New Roman" w:cs="Times New Roman"/>
        </w:rPr>
      </w:pPr>
      <w:r>
        <w:rPr>
          <w:rFonts w:ascii="Times New Roman" w:hAnsi="Times New Roman" w:cs="Times New Roman"/>
        </w:rPr>
        <w:t>SUMMARY</w:t>
      </w:r>
    </w:p>
    <w:p w14:paraId="04C883E3" w14:textId="03AE6D74" w:rsidR="00043939" w:rsidRPr="00043939" w:rsidRDefault="00043939" w:rsidP="00043939">
      <w:pPr>
        <w:rPr>
          <w:rFonts w:ascii="Times New Roman" w:hAnsi="Times New Roman" w:cs="Times New Roman"/>
        </w:rPr>
      </w:pPr>
      <w:r w:rsidRPr="00043939">
        <w:rPr>
          <w:rFonts w:ascii="Times New Roman" w:hAnsi="Times New Roman" w:cs="Times New Roman"/>
        </w:rPr>
        <w:t>FinCEN noted at the outset that the comment period is currently open and closes on September 3, 2024, so participants should be aware that FinCEN will be taking notes and will include the notes in the public comment file.  FinCEN</w:t>
      </w:r>
      <w:r w:rsidR="00073281">
        <w:rPr>
          <w:rFonts w:ascii="Times New Roman" w:hAnsi="Times New Roman" w:cs="Times New Roman"/>
        </w:rPr>
        <w:t xml:space="preserve"> also explained that it would not be providing substantive remarks on the </w:t>
      </w:r>
      <w:r w:rsidR="009E1591">
        <w:rPr>
          <w:rFonts w:ascii="Times New Roman" w:hAnsi="Times New Roman" w:cs="Times New Roman"/>
        </w:rPr>
        <w:t xml:space="preserve">proposed </w:t>
      </w:r>
      <w:r w:rsidR="00073281">
        <w:rPr>
          <w:rFonts w:ascii="Times New Roman" w:hAnsi="Times New Roman" w:cs="Times New Roman"/>
        </w:rPr>
        <w:t>rule during the listening session and</w:t>
      </w:r>
      <w:r w:rsidRPr="00043939">
        <w:rPr>
          <w:rFonts w:ascii="Times New Roman" w:hAnsi="Times New Roman" w:cs="Times New Roman"/>
        </w:rPr>
        <w:t xml:space="preserve"> encouraged participants to submit comments through the Federal Register.  FinCEN then asked for any reaction or general comments on the Program NPRM.</w:t>
      </w:r>
    </w:p>
    <w:p w14:paraId="4AD7F171" w14:textId="04A464DD" w:rsidR="00B779BE" w:rsidRDefault="00183812" w:rsidP="007C2E85">
      <w:pPr>
        <w:rPr>
          <w:rFonts w:ascii="Times New Roman" w:hAnsi="Times New Roman" w:cs="Times New Roman"/>
        </w:rPr>
      </w:pPr>
      <w:r>
        <w:rPr>
          <w:rFonts w:ascii="Times New Roman" w:hAnsi="Times New Roman" w:cs="Times New Roman"/>
        </w:rPr>
        <w:t xml:space="preserve">BPI </w:t>
      </w:r>
      <w:r w:rsidR="00043939">
        <w:rPr>
          <w:rFonts w:ascii="Times New Roman" w:hAnsi="Times New Roman" w:cs="Times New Roman"/>
        </w:rPr>
        <w:t>stated</w:t>
      </w:r>
      <w:r>
        <w:rPr>
          <w:rFonts w:ascii="Times New Roman" w:hAnsi="Times New Roman" w:cs="Times New Roman"/>
        </w:rPr>
        <w:t xml:space="preserve"> that while </w:t>
      </w:r>
      <w:r w:rsidR="00630F61">
        <w:rPr>
          <w:rFonts w:ascii="Times New Roman" w:hAnsi="Times New Roman" w:cs="Times New Roman"/>
        </w:rPr>
        <w:t>it</w:t>
      </w:r>
      <w:r>
        <w:rPr>
          <w:rFonts w:ascii="Times New Roman" w:hAnsi="Times New Roman" w:cs="Times New Roman"/>
        </w:rPr>
        <w:t xml:space="preserve"> support</w:t>
      </w:r>
      <w:r w:rsidR="00A8456C">
        <w:rPr>
          <w:rFonts w:ascii="Times New Roman" w:hAnsi="Times New Roman" w:cs="Times New Roman"/>
        </w:rPr>
        <w:t>s</w:t>
      </w:r>
      <w:r>
        <w:rPr>
          <w:rFonts w:ascii="Times New Roman" w:hAnsi="Times New Roman" w:cs="Times New Roman"/>
        </w:rPr>
        <w:t xml:space="preserve"> the goals of the NPRM, </w:t>
      </w:r>
      <w:r w:rsidR="0058001C">
        <w:rPr>
          <w:rFonts w:ascii="Times New Roman" w:hAnsi="Times New Roman" w:cs="Times New Roman"/>
        </w:rPr>
        <w:t xml:space="preserve">it </w:t>
      </w:r>
      <w:r>
        <w:rPr>
          <w:rFonts w:ascii="Times New Roman" w:hAnsi="Times New Roman" w:cs="Times New Roman"/>
        </w:rPr>
        <w:t>believe</w:t>
      </w:r>
      <w:r w:rsidR="0058001C">
        <w:rPr>
          <w:rFonts w:ascii="Times New Roman" w:hAnsi="Times New Roman" w:cs="Times New Roman"/>
        </w:rPr>
        <w:t>s</w:t>
      </w:r>
      <w:r>
        <w:rPr>
          <w:rFonts w:ascii="Times New Roman" w:hAnsi="Times New Roman" w:cs="Times New Roman"/>
        </w:rPr>
        <w:t xml:space="preserve"> that there were significant missed opportunities in shifting away from minimum</w:t>
      </w:r>
      <w:r w:rsidR="00641B75">
        <w:rPr>
          <w:rFonts w:ascii="Times New Roman" w:hAnsi="Times New Roman" w:cs="Times New Roman"/>
        </w:rPr>
        <w:t xml:space="preserve"> </w:t>
      </w:r>
      <w:r w:rsidR="00641B75" w:rsidRPr="00641B75">
        <w:rPr>
          <w:rFonts w:ascii="Times New Roman" w:hAnsi="Times New Roman" w:cs="Times New Roman"/>
        </w:rPr>
        <w:t>anti-money laundering and countering the financing of terrorism</w:t>
      </w:r>
      <w:r>
        <w:rPr>
          <w:rFonts w:ascii="Times New Roman" w:hAnsi="Times New Roman" w:cs="Times New Roman"/>
        </w:rPr>
        <w:t xml:space="preserve"> </w:t>
      </w:r>
      <w:r w:rsidR="00641B75">
        <w:rPr>
          <w:rFonts w:ascii="Times New Roman" w:hAnsi="Times New Roman" w:cs="Times New Roman"/>
        </w:rPr>
        <w:t>(</w:t>
      </w:r>
      <w:r w:rsidR="0058001C">
        <w:rPr>
          <w:rFonts w:ascii="Times New Roman" w:hAnsi="Times New Roman" w:cs="Times New Roman"/>
        </w:rPr>
        <w:t>AML/CFT</w:t>
      </w:r>
      <w:r w:rsidR="00641B75">
        <w:rPr>
          <w:rFonts w:ascii="Times New Roman" w:hAnsi="Times New Roman" w:cs="Times New Roman"/>
        </w:rPr>
        <w:t>)</w:t>
      </w:r>
      <w:r w:rsidR="0058001C">
        <w:rPr>
          <w:rFonts w:ascii="Times New Roman" w:hAnsi="Times New Roman" w:cs="Times New Roman"/>
        </w:rPr>
        <w:t xml:space="preserve"> </w:t>
      </w:r>
      <w:r>
        <w:rPr>
          <w:rFonts w:ascii="Times New Roman" w:hAnsi="Times New Roman" w:cs="Times New Roman"/>
        </w:rPr>
        <w:t xml:space="preserve">program standards set by individual examiners to allowing </w:t>
      </w:r>
      <w:r w:rsidR="00DB4F6C">
        <w:rPr>
          <w:rFonts w:ascii="Times New Roman" w:hAnsi="Times New Roman" w:cs="Times New Roman"/>
        </w:rPr>
        <w:t>financial institution</w:t>
      </w:r>
      <w:r>
        <w:rPr>
          <w:rFonts w:ascii="Times New Roman" w:hAnsi="Times New Roman" w:cs="Times New Roman"/>
        </w:rPr>
        <w:t xml:space="preserve">s </w:t>
      </w:r>
      <w:r w:rsidR="004E5BA4">
        <w:rPr>
          <w:rFonts w:ascii="Times New Roman" w:hAnsi="Times New Roman" w:cs="Times New Roman"/>
        </w:rPr>
        <w:t xml:space="preserve">(FIs) </w:t>
      </w:r>
      <w:r>
        <w:rPr>
          <w:rFonts w:ascii="Times New Roman" w:hAnsi="Times New Roman" w:cs="Times New Roman"/>
        </w:rPr>
        <w:t xml:space="preserve">to determine how to reallocate resources </w:t>
      </w:r>
      <w:r w:rsidR="00E843C0">
        <w:rPr>
          <w:rFonts w:ascii="Times New Roman" w:hAnsi="Times New Roman" w:cs="Times New Roman"/>
        </w:rPr>
        <w:t>to incorporate the</w:t>
      </w:r>
      <w:r w:rsidR="003528ED">
        <w:rPr>
          <w:rFonts w:ascii="Times New Roman" w:hAnsi="Times New Roman" w:cs="Times New Roman"/>
        </w:rPr>
        <w:t xml:space="preserve"> National AML/CFT</w:t>
      </w:r>
      <w:r>
        <w:rPr>
          <w:rFonts w:ascii="Times New Roman" w:hAnsi="Times New Roman" w:cs="Times New Roman"/>
        </w:rPr>
        <w:t xml:space="preserve"> Priorities</w:t>
      </w:r>
      <w:r w:rsidR="003528ED">
        <w:rPr>
          <w:rFonts w:ascii="Times New Roman" w:hAnsi="Times New Roman" w:cs="Times New Roman"/>
        </w:rPr>
        <w:t xml:space="preserve"> (Priorities)</w:t>
      </w:r>
      <w:r>
        <w:rPr>
          <w:rFonts w:ascii="Times New Roman" w:hAnsi="Times New Roman" w:cs="Times New Roman"/>
        </w:rPr>
        <w:t>.</w:t>
      </w:r>
      <w:r w:rsidR="003528ED">
        <w:rPr>
          <w:rStyle w:val="FootnoteReference"/>
          <w:rFonts w:ascii="Times New Roman" w:hAnsi="Times New Roman" w:cs="Times New Roman"/>
        </w:rPr>
        <w:footnoteReference w:id="3"/>
      </w:r>
      <w:r>
        <w:rPr>
          <w:rFonts w:ascii="Times New Roman" w:hAnsi="Times New Roman" w:cs="Times New Roman"/>
        </w:rPr>
        <w:t xml:space="preserve">  </w:t>
      </w:r>
      <w:r w:rsidR="00691E82">
        <w:rPr>
          <w:rFonts w:ascii="Times New Roman" w:hAnsi="Times New Roman" w:cs="Times New Roman"/>
        </w:rPr>
        <w:t>BPI believes that the critical parts</w:t>
      </w:r>
      <w:r w:rsidR="00B779BE">
        <w:rPr>
          <w:rFonts w:ascii="Times New Roman" w:hAnsi="Times New Roman" w:cs="Times New Roman"/>
        </w:rPr>
        <w:t xml:space="preserve"> of the NPRM</w:t>
      </w:r>
      <w:r w:rsidR="00691E82">
        <w:rPr>
          <w:rFonts w:ascii="Times New Roman" w:hAnsi="Times New Roman" w:cs="Times New Roman"/>
        </w:rPr>
        <w:t xml:space="preserve"> are in the preamble instead of in the regulatory text itself, and that </w:t>
      </w:r>
      <w:r w:rsidR="00DB4F6C">
        <w:rPr>
          <w:rFonts w:ascii="Times New Roman" w:hAnsi="Times New Roman" w:cs="Times New Roman"/>
        </w:rPr>
        <w:t>financial institution</w:t>
      </w:r>
      <w:r w:rsidR="00691E82">
        <w:rPr>
          <w:rFonts w:ascii="Times New Roman" w:hAnsi="Times New Roman" w:cs="Times New Roman"/>
        </w:rPr>
        <w:t xml:space="preserve">s should have explicit authority to reallocate resources based on their judgment, including which risk assessment process to use, how to incorporate the Priorities, and how often to update the risk assessment.  </w:t>
      </w:r>
      <w:r w:rsidR="00B779BE">
        <w:rPr>
          <w:rFonts w:ascii="Times New Roman" w:hAnsi="Times New Roman" w:cs="Times New Roman"/>
        </w:rPr>
        <w:t>BPI believes that e</w:t>
      </w:r>
      <w:r w:rsidR="00691E82">
        <w:rPr>
          <w:rFonts w:ascii="Times New Roman" w:hAnsi="Times New Roman" w:cs="Times New Roman"/>
        </w:rPr>
        <w:t xml:space="preserve">xaminers should give </w:t>
      </w:r>
      <w:r w:rsidR="00DB4F6C">
        <w:rPr>
          <w:rFonts w:ascii="Times New Roman" w:hAnsi="Times New Roman" w:cs="Times New Roman"/>
        </w:rPr>
        <w:t>financial institution</w:t>
      </w:r>
      <w:r w:rsidR="00691E82">
        <w:rPr>
          <w:rFonts w:ascii="Times New Roman" w:hAnsi="Times New Roman" w:cs="Times New Roman"/>
        </w:rPr>
        <w:t>s a certain amount of deference</w:t>
      </w:r>
      <w:r w:rsidR="00B779BE">
        <w:rPr>
          <w:rFonts w:ascii="Times New Roman" w:hAnsi="Times New Roman" w:cs="Times New Roman"/>
        </w:rPr>
        <w:t>, and that since examiners are also focused on safety and soundness, FinCEN is better positioned to set standards and determine whether banks are taking a risk-based approach</w:t>
      </w:r>
      <w:r w:rsidR="00691E82">
        <w:rPr>
          <w:rFonts w:ascii="Times New Roman" w:hAnsi="Times New Roman" w:cs="Times New Roman"/>
        </w:rPr>
        <w:t xml:space="preserve">.  Without </w:t>
      </w:r>
      <w:r w:rsidR="00B779BE">
        <w:rPr>
          <w:rFonts w:ascii="Times New Roman" w:hAnsi="Times New Roman" w:cs="Times New Roman"/>
        </w:rPr>
        <w:t>greater deference</w:t>
      </w:r>
      <w:r w:rsidR="00691E82">
        <w:rPr>
          <w:rFonts w:ascii="Times New Roman" w:hAnsi="Times New Roman" w:cs="Times New Roman"/>
        </w:rPr>
        <w:t xml:space="preserve">, </w:t>
      </w:r>
      <w:r w:rsidR="00630F61">
        <w:rPr>
          <w:rFonts w:ascii="Times New Roman" w:hAnsi="Times New Roman" w:cs="Times New Roman"/>
        </w:rPr>
        <w:t xml:space="preserve">BPI believes that </w:t>
      </w:r>
      <w:r w:rsidR="00691E82">
        <w:rPr>
          <w:rFonts w:ascii="Times New Roman" w:hAnsi="Times New Roman" w:cs="Times New Roman"/>
        </w:rPr>
        <w:t xml:space="preserve">the rule will be additive for </w:t>
      </w:r>
      <w:r w:rsidR="00DB4F6C">
        <w:rPr>
          <w:rFonts w:ascii="Times New Roman" w:hAnsi="Times New Roman" w:cs="Times New Roman"/>
        </w:rPr>
        <w:t>financial institutions</w:t>
      </w:r>
      <w:r w:rsidR="00691E82">
        <w:rPr>
          <w:rFonts w:ascii="Times New Roman" w:hAnsi="Times New Roman" w:cs="Times New Roman"/>
        </w:rPr>
        <w:t xml:space="preserve"> and will not alter examiners’ current practices.</w:t>
      </w:r>
    </w:p>
    <w:p w14:paraId="2812FCCF" w14:textId="4D5AC1D9" w:rsidR="00BF78F7" w:rsidRDefault="00B779BE" w:rsidP="007C2E85">
      <w:pPr>
        <w:rPr>
          <w:rFonts w:ascii="Times New Roman" w:hAnsi="Times New Roman" w:cs="Times New Roman"/>
        </w:rPr>
      </w:pPr>
      <w:r>
        <w:rPr>
          <w:rFonts w:ascii="Times New Roman" w:hAnsi="Times New Roman" w:cs="Times New Roman"/>
        </w:rPr>
        <w:t xml:space="preserve">The comment letter that BPI will submit will explicitly ask that the final rule grant </w:t>
      </w:r>
      <w:r w:rsidR="00DB4F6C">
        <w:rPr>
          <w:rFonts w:ascii="Times New Roman" w:hAnsi="Times New Roman" w:cs="Times New Roman"/>
        </w:rPr>
        <w:t>financial institution</w:t>
      </w:r>
      <w:r>
        <w:rPr>
          <w:rFonts w:ascii="Times New Roman" w:hAnsi="Times New Roman" w:cs="Times New Roman"/>
        </w:rPr>
        <w:t>s the discretion to reallocate resources from low to higher-risk activities, and will offer a three-pronged approach to AML</w:t>
      </w:r>
      <w:r w:rsidR="008B62A8">
        <w:rPr>
          <w:rFonts w:ascii="Times New Roman" w:hAnsi="Times New Roman" w:cs="Times New Roman"/>
        </w:rPr>
        <w:t>/CFT</w:t>
      </w:r>
      <w:r>
        <w:rPr>
          <w:rFonts w:ascii="Times New Roman" w:hAnsi="Times New Roman" w:cs="Times New Roman"/>
        </w:rPr>
        <w:t xml:space="preserve"> program requirements: (1) an AML/CFT program </w:t>
      </w:r>
      <w:r w:rsidR="00AB0832">
        <w:rPr>
          <w:rFonts w:ascii="Times New Roman" w:hAnsi="Times New Roman" w:cs="Times New Roman"/>
        </w:rPr>
        <w:t xml:space="preserve">should </w:t>
      </w:r>
      <w:r w:rsidR="008B62A8">
        <w:rPr>
          <w:rFonts w:ascii="Times New Roman" w:hAnsi="Times New Roman" w:cs="Times New Roman"/>
        </w:rPr>
        <w:t>assess and manage risk as informed by the risk assessment processes, including the Priorities and the FI’s business activities, as appropriate; (2)</w:t>
      </w:r>
      <w:r w:rsidR="00D76F95">
        <w:rPr>
          <w:rFonts w:ascii="Times New Roman" w:hAnsi="Times New Roman" w:cs="Times New Roman"/>
        </w:rPr>
        <w:t xml:space="preserve"> </w:t>
      </w:r>
      <w:r w:rsidR="00D036AC">
        <w:rPr>
          <w:rFonts w:ascii="Times New Roman" w:hAnsi="Times New Roman" w:cs="Times New Roman"/>
        </w:rPr>
        <w:t xml:space="preserve">a </w:t>
      </w:r>
      <w:r w:rsidR="00D76F95">
        <w:rPr>
          <w:rFonts w:ascii="Times New Roman" w:hAnsi="Times New Roman" w:cs="Times New Roman"/>
        </w:rPr>
        <w:t xml:space="preserve">program </w:t>
      </w:r>
      <w:r w:rsidR="00D036AC">
        <w:rPr>
          <w:rFonts w:ascii="Times New Roman" w:hAnsi="Times New Roman" w:cs="Times New Roman"/>
        </w:rPr>
        <w:t xml:space="preserve">should be </w:t>
      </w:r>
      <w:r w:rsidR="00D76F95">
        <w:rPr>
          <w:rFonts w:ascii="Times New Roman" w:hAnsi="Times New Roman" w:cs="Times New Roman"/>
        </w:rPr>
        <w:t>r</w:t>
      </w:r>
      <w:r w:rsidR="008B62A8">
        <w:rPr>
          <w:rFonts w:ascii="Times New Roman" w:hAnsi="Times New Roman" w:cs="Times New Roman"/>
        </w:rPr>
        <w:t xml:space="preserve">easonably designed to promote compliance; and (3) </w:t>
      </w:r>
      <w:r w:rsidR="00D036AC">
        <w:rPr>
          <w:rFonts w:ascii="Times New Roman" w:hAnsi="Times New Roman" w:cs="Times New Roman"/>
        </w:rPr>
        <w:t xml:space="preserve">a program should </w:t>
      </w:r>
      <w:r w:rsidR="008B62A8">
        <w:rPr>
          <w:rFonts w:ascii="Times New Roman" w:hAnsi="Times New Roman" w:cs="Times New Roman"/>
        </w:rPr>
        <w:t xml:space="preserve">report information that the </w:t>
      </w:r>
      <w:r w:rsidR="00DB4F6C">
        <w:rPr>
          <w:rFonts w:ascii="Times New Roman" w:hAnsi="Times New Roman" w:cs="Times New Roman"/>
        </w:rPr>
        <w:t>institution</w:t>
      </w:r>
      <w:r w:rsidR="008B62A8">
        <w:rPr>
          <w:rFonts w:ascii="Times New Roman" w:hAnsi="Times New Roman" w:cs="Times New Roman"/>
        </w:rPr>
        <w:t xml:space="preserve"> reasonably believes is highly useful to law enforcement and government authorities.  BPI believes that the final rule should replace </w:t>
      </w:r>
      <w:r w:rsidR="008F1AFA">
        <w:rPr>
          <w:rFonts w:ascii="Times New Roman" w:hAnsi="Times New Roman" w:cs="Times New Roman"/>
        </w:rPr>
        <w:t xml:space="preserve">what it views to be a </w:t>
      </w:r>
      <w:r w:rsidR="008B62A8">
        <w:rPr>
          <w:rFonts w:ascii="Times New Roman" w:hAnsi="Times New Roman" w:cs="Times New Roman"/>
        </w:rPr>
        <w:t xml:space="preserve">prescriptive risk assessment </w:t>
      </w:r>
      <w:r w:rsidR="00BF78F7">
        <w:rPr>
          <w:rFonts w:ascii="Times New Roman" w:hAnsi="Times New Roman" w:cs="Times New Roman"/>
        </w:rPr>
        <w:t>process</w:t>
      </w:r>
      <w:r w:rsidR="008F1AFA">
        <w:rPr>
          <w:rFonts w:ascii="Times New Roman" w:hAnsi="Times New Roman" w:cs="Times New Roman"/>
        </w:rPr>
        <w:t xml:space="preserve"> laid out in the Program NPRM</w:t>
      </w:r>
      <w:r w:rsidR="00BF78F7">
        <w:rPr>
          <w:rFonts w:ascii="Times New Roman" w:hAnsi="Times New Roman" w:cs="Times New Roman"/>
        </w:rPr>
        <w:t xml:space="preserve"> </w:t>
      </w:r>
      <w:r w:rsidR="008B62A8">
        <w:rPr>
          <w:rFonts w:ascii="Times New Roman" w:hAnsi="Times New Roman" w:cs="Times New Roman"/>
        </w:rPr>
        <w:t>with a more holistic and deferential approach</w:t>
      </w:r>
      <w:r w:rsidR="00747AB8">
        <w:rPr>
          <w:rFonts w:ascii="Times New Roman" w:hAnsi="Times New Roman" w:cs="Times New Roman"/>
        </w:rPr>
        <w:t xml:space="preserve"> and</w:t>
      </w:r>
      <w:r w:rsidR="00E81C3F">
        <w:rPr>
          <w:rFonts w:ascii="Times New Roman" w:hAnsi="Times New Roman" w:cs="Times New Roman"/>
        </w:rPr>
        <w:t>,</w:t>
      </w:r>
      <w:r w:rsidR="00747AB8">
        <w:rPr>
          <w:rFonts w:ascii="Times New Roman" w:hAnsi="Times New Roman" w:cs="Times New Roman"/>
        </w:rPr>
        <w:t xml:space="preserve"> in particular</w:t>
      </w:r>
      <w:r w:rsidR="00E81C3F">
        <w:rPr>
          <w:rFonts w:ascii="Times New Roman" w:hAnsi="Times New Roman" w:cs="Times New Roman"/>
        </w:rPr>
        <w:t>,</w:t>
      </w:r>
      <w:r w:rsidR="00AB0832">
        <w:rPr>
          <w:rFonts w:ascii="Times New Roman" w:hAnsi="Times New Roman" w:cs="Times New Roman"/>
        </w:rPr>
        <w:t xml:space="preserve"> that</w:t>
      </w:r>
      <w:r w:rsidR="00747AB8">
        <w:rPr>
          <w:rFonts w:ascii="Times New Roman" w:hAnsi="Times New Roman" w:cs="Times New Roman"/>
        </w:rPr>
        <w:t xml:space="preserve"> the use of the Priorities and the timing of updates to the risk assessment should be more flexible.</w:t>
      </w:r>
    </w:p>
    <w:p w14:paraId="47D91A08" w14:textId="1B63E0C0" w:rsidR="00183812" w:rsidRDefault="008B62A8" w:rsidP="007C2E85">
      <w:pPr>
        <w:rPr>
          <w:rFonts w:ascii="Times New Roman" w:hAnsi="Times New Roman" w:cs="Times New Roman"/>
        </w:rPr>
      </w:pPr>
      <w:r>
        <w:rPr>
          <w:rFonts w:ascii="Times New Roman" w:hAnsi="Times New Roman" w:cs="Times New Roman"/>
        </w:rPr>
        <w:t>BPI also expressed concern about the six</w:t>
      </w:r>
      <w:r w:rsidR="00D76F95">
        <w:rPr>
          <w:rFonts w:ascii="Times New Roman" w:hAnsi="Times New Roman" w:cs="Times New Roman"/>
        </w:rPr>
        <w:t>-</w:t>
      </w:r>
      <w:r>
        <w:rPr>
          <w:rFonts w:ascii="Times New Roman" w:hAnsi="Times New Roman" w:cs="Times New Roman"/>
        </w:rPr>
        <w:t xml:space="preserve">month effective date and argued that two years would be needed.  </w:t>
      </w:r>
      <w:r w:rsidR="00D76F95">
        <w:rPr>
          <w:rFonts w:ascii="Times New Roman" w:hAnsi="Times New Roman" w:cs="Times New Roman"/>
        </w:rPr>
        <w:t xml:space="preserve">Further, BPI believes that the final rule should allow </w:t>
      </w:r>
      <w:r w:rsidR="004650A3">
        <w:rPr>
          <w:rFonts w:ascii="Times New Roman" w:hAnsi="Times New Roman" w:cs="Times New Roman"/>
        </w:rPr>
        <w:t>financial institution</w:t>
      </w:r>
      <w:r w:rsidR="00D76F95">
        <w:rPr>
          <w:rFonts w:ascii="Times New Roman" w:hAnsi="Times New Roman" w:cs="Times New Roman"/>
        </w:rPr>
        <w:t xml:space="preserve">s to continue using offshore personnel </w:t>
      </w:r>
      <w:r w:rsidR="00AB0832">
        <w:rPr>
          <w:rFonts w:ascii="Times New Roman" w:hAnsi="Times New Roman" w:cs="Times New Roman"/>
        </w:rPr>
        <w:t xml:space="preserve">to conduct AML/CFT program activities, with only </w:t>
      </w:r>
      <w:r w:rsidR="00D76F95">
        <w:rPr>
          <w:rFonts w:ascii="Times New Roman" w:hAnsi="Times New Roman" w:cs="Times New Roman"/>
        </w:rPr>
        <w:t xml:space="preserve">senior management </w:t>
      </w:r>
      <w:r w:rsidR="00682E8F">
        <w:rPr>
          <w:rFonts w:ascii="Times New Roman" w:hAnsi="Times New Roman" w:cs="Times New Roman"/>
        </w:rPr>
        <w:t>required to remain in</w:t>
      </w:r>
      <w:r w:rsidR="00AB0832">
        <w:rPr>
          <w:rFonts w:ascii="Times New Roman" w:hAnsi="Times New Roman" w:cs="Times New Roman"/>
        </w:rPr>
        <w:t xml:space="preserve"> </w:t>
      </w:r>
      <w:r w:rsidR="00D76F95">
        <w:rPr>
          <w:rFonts w:ascii="Times New Roman" w:hAnsi="Times New Roman" w:cs="Times New Roman"/>
        </w:rPr>
        <w:t xml:space="preserve">the </w:t>
      </w:r>
      <w:r w:rsidR="0037329E">
        <w:rPr>
          <w:rFonts w:ascii="Times New Roman" w:hAnsi="Times New Roman" w:cs="Times New Roman"/>
        </w:rPr>
        <w:t>United States</w:t>
      </w:r>
      <w:r w:rsidR="00D76F95">
        <w:rPr>
          <w:rFonts w:ascii="Times New Roman" w:hAnsi="Times New Roman" w:cs="Times New Roman"/>
        </w:rPr>
        <w:t xml:space="preserve"> subject to FinCEN and U</w:t>
      </w:r>
      <w:r w:rsidR="00DB4F6C">
        <w:rPr>
          <w:rFonts w:ascii="Times New Roman" w:hAnsi="Times New Roman" w:cs="Times New Roman"/>
        </w:rPr>
        <w:t>.</w:t>
      </w:r>
      <w:r w:rsidR="00D76F95">
        <w:rPr>
          <w:rFonts w:ascii="Times New Roman" w:hAnsi="Times New Roman" w:cs="Times New Roman"/>
        </w:rPr>
        <w:t>S</w:t>
      </w:r>
      <w:r w:rsidR="00DB4F6C">
        <w:rPr>
          <w:rFonts w:ascii="Times New Roman" w:hAnsi="Times New Roman" w:cs="Times New Roman"/>
        </w:rPr>
        <w:t>.</w:t>
      </w:r>
      <w:r w:rsidR="00D76F95">
        <w:rPr>
          <w:rFonts w:ascii="Times New Roman" w:hAnsi="Times New Roman" w:cs="Times New Roman"/>
        </w:rPr>
        <w:t xml:space="preserve"> regulators.  BPI </w:t>
      </w:r>
      <w:r w:rsidR="00747AB8">
        <w:rPr>
          <w:rFonts w:ascii="Times New Roman" w:hAnsi="Times New Roman" w:cs="Times New Roman"/>
        </w:rPr>
        <w:t>requested confirmation that a</w:t>
      </w:r>
      <w:r w:rsidR="004650A3">
        <w:rPr>
          <w:rFonts w:ascii="Times New Roman" w:hAnsi="Times New Roman" w:cs="Times New Roman"/>
        </w:rPr>
        <w:t xml:space="preserve"> financial institution</w:t>
      </w:r>
      <w:r w:rsidR="00747AB8">
        <w:rPr>
          <w:rFonts w:ascii="Times New Roman" w:hAnsi="Times New Roman" w:cs="Times New Roman"/>
        </w:rPr>
        <w:t xml:space="preserve">’s decision to innovate rests with the </w:t>
      </w:r>
      <w:r w:rsidR="004650A3">
        <w:rPr>
          <w:rFonts w:ascii="Times New Roman" w:hAnsi="Times New Roman" w:cs="Times New Roman"/>
        </w:rPr>
        <w:t>institution</w:t>
      </w:r>
      <w:r w:rsidR="00747AB8">
        <w:rPr>
          <w:rFonts w:ascii="Times New Roman" w:hAnsi="Times New Roman" w:cs="Times New Roman"/>
        </w:rPr>
        <w:t xml:space="preserve">. </w:t>
      </w:r>
      <w:r w:rsidR="000C349A">
        <w:rPr>
          <w:rFonts w:ascii="Times New Roman" w:hAnsi="Times New Roman" w:cs="Times New Roman"/>
        </w:rPr>
        <w:t>BPI recommended that</w:t>
      </w:r>
      <w:r w:rsidR="00747AB8">
        <w:rPr>
          <w:rFonts w:ascii="Times New Roman" w:hAnsi="Times New Roman" w:cs="Times New Roman"/>
        </w:rPr>
        <w:t xml:space="preserve"> </w:t>
      </w:r>
      <w:r w:rsidR="00D76F95">
        <w:rPr>
          <w:rFonts w:ascii="Times New Roman" w:hAnsi="Times New Roman" w:cs="Times New Roman"/>
        </w:rPr>
        <w:t>FinCEN</w:t>
      </w:r>
      <w:r w:rsidR="00747AB8">
        <w:rPr>
          <w:rFonts w:ascii="Times New Roman" w:hAnsi="Times New Roman" w:cs="Times New Roman"/>
        </w:rPr>
        <w:t xml:space="preserve"> also</w:t>
      </w:r>
      <w:r w:rsidR="00D76F95">
        <w:rPr>
          <w:rFonts w:ascii="Times New Roman" w:hAnsi="Times New Roman" w:cs="Times New Roman"/>
        </w:rPr>
        <w:t xml:space="preserve"> consult with the Federal Banking Agencies (FBAs) </w:t>
      </w:r>
      <w:r w:rsidR="00BF78F7">
        <w:rPr>
          <w:rFonts w:ascii="Times New Roman" w:hAnsi="Times New Roman" w:cs="Times New Roman"/>
        </w:rPr>
        <w:t>to ensure consistency in the application of FinCEN’s rules and supervision of the new rule.</w:t>
      </w:r>
    </w:p>
    <w:p w14:paraId="1C32135B" w14:textId="46EA8442" w:rsidR="00BF78F7" w:rsidRDefault="00C87E0C" w:rsidP="007C2E85">
      <w:pPr>
        <w:rPr>
          <w:rFonts w:ascii="Times New Roman" w:hAnsi="Times New Roman" w:cs="Times New Roman"/>
        </w:rPr>
      </w:pPr>
      <w:r>
        <w:rPr>
          <w:rFonts w:ascii="Times New Roman" w:hAnsi="Times New Roman" w:cs="Times New Roman"/>
        </w:rPr>
        <w:t xml:space="preserve">SIFMA expressed agreement with BPI and noted that FinCEN appears to provide flexibility in the preamble of the NPRM but </w:t>
      </w:r>
      <w:r w:rsidR="00981AE6">
        <w:rPr>
          <w:rFonts w:ascii="Times New Roman" w:hAnsi="Times New Roman" w:cs="Times New Roman"/>
        </w:rPr>
        <w:t xml:space="preserve">SIFMA </w:t>
      </w:r>
      <w:r w:rsidR="00F94122">
        <w:rPr>
          <w:rFonts w:ascii="Times New Roman" w:hAnsi="Times New Roman" w:cs="Times New Roman"/>
        </w:rPr>
        <w:t>expressed concern</w:t>
      </w:r>
      <w:r>
        <w:rPr>
          <w:rFonts w:ascii="Times New Roman" w:hAnsi="Times New Roman" w:cs="Times New Roman"/>
        </w:rPr>
        <w:t xml:space="preserve"> about future enforcement and examination.  SIFMA also stated that if </w:t>
      </w:r>
      <w:r w:rsidR="004650A3">
        <w:rPr>
          <w:rFonts w:ascii="Times New Roman" w:hAnsi="Times New Roman" w:cs="Times New Roman"/>
        </w:rPr>
        <w:t>financial institution</w:t>
      </w:r>
      <w:r>
        <w:rPr>
          <w:rFonts w:ascii="Times New Roman" w:hAnsi="Times New Roman" w:cs="Times New Roman"/>
        </w:rPr>
        <w:t xml:space="preserve">s are not able to use their existing risk assessment processes and if they </w:t>
      </w:r>
      <w:r w:rsidR="005B2068">
        <w:rPr>
          <w:rFonts w:ascii="Times New Roman" w:hAnsi="Times New Roman" w:cs="Times New Roman"/>
        </w:rPr>
        <w:t>are required to</w:t>
      </w:r>
      <w:r>
        <w:rPr>
          <w:rFonts w:ascii="Times New Roman" w:hAnsi="Times New Roman" w:cs="Times New Roman"/>
        </w:rPr>
        <w:t xml:space="preserve"> move staff onshore</w:t>
      </w:r>
      <w:r w:rsidR="005B2068">
        <w:rPr>
          <w:rFonts w:ascii="Times New Roman" w:hAnsi="Times New Roman" w:cs="Times New Roman"/>
        </w:rPr>
        <w:t xml:space="preserve"> under the final rule</w:t>
      </w:r>
      <w:r>
        <w:rPr>
          <w:rFonts w:ascii="Times New Roman" w:hAnsi="Times New Roman" w:cs="Times New Roman"/>
        </w:rPr>
        <w:t>, then implementation</w:t>
      </w:r>
      <w:r w:rsidR="005B2068">
        <w:rPr>
          <w:rFonts w:ascii="Times New Roman" w:hAnsi="Times New Roman" w:cs="Times New Roman"/>
        </w:rPr>
        <w:t xml:space="preserve"> could not</w:t>
      </w:r>
      <w:r>
        <w:rPr>
          <w:rFonts w:ascii="Times New Roman" w:hAnsi="Times New Roman" w:cs="Times New Roman"/>
        </w:rPr>
        <w:t xml:space="preserve"> be done </w:t>
      </w:r>
      <w:r>
        <w:rPr>
          <w:rFonts w:ascii="Times New Roman" w:hAnsi="Times New Roman" w:cs="Times New Roman"/>
        </w:rPr>
        <w:lastRenderedPageBreak/>
        <w:t xml:space="preserve">in six months.  </w:t>
      </w:r>
      <w:r w:rsidR="005B2068">
        <w:rPr>
          <w:rFonts w:ascii="Times New Roman" w:hAnsi="Times New Roman" w:cs="Times New Roman"/>
        </w:rPr>
        <w:t xml:space="preserve">Financial institutions </w:t>
      </w:r>
      <w:r>
        <w:rPr>
          <w:rFonts w:ascii="Times New Roman" w:hAnsi="Times New Roman" w:cs="Times New Roman"/>
        </w:rPr>
        <w:t>would need two to three years.</w:t>
      </w:r>
      <w:r w:rsidR="00747AB8">
        <w:rPr>
          <w:rFonts w:ascii="Times New Roman" w:hAnsi="Times New Roman" w:cs="Times New Roman"/>
        </w:rPr>
        <w:t xml:space="preserve">  </w:t>
      </w:r>
      <w:r w:rsidR="005B2068">
        <w:rPr>
          <w:rFonts w:ascii="Times New Roman" w:hAnsi="Times New Roman" w:cs="Times New Roman"/>
        </w:rPr>
        <w:t xml:space="preserve">RW </w:t>
      </w:r>
      <w:r w:rsidR="00747AB8">
        <w:rPr>
          <w:rFonts w:ascii="Times New Roman" w:hAnsi="Times New Roman" w:cs="Times New Roman"/>
        </w:rPr>
        <w:t xml:space="preserve">Baird also </w:t>
      </w:r>
      <w:r w:rsidR="00AB0832">
        <w:rPr>
          <w:rFonts w:ascii="Times New Roman" w:hAnsi="Times New Roman" w:cs="Times New Roman"/>
        </w:rPr>
        <w:t xml:space="preserve">stated </w:t>
      </w:r>
      <w:r w:rsidR="00747AB8">
        <w:rPr>
          <w:rFonts w:ascii="Times New Roman" w:hAnsi="Times New Roman" w:cs="Times New Roman"/>
        </w:rPr>
        <w:t xml:space="preserve">that the NPRM’s risk-based approach is additive in nature and </w:t>
      </w:r>
      <w:r w:rsidR="00AB0832">
        <w:rPr>
          <w:rFonts w:ascii="Times New Roman" w:hAnsi="Times New Roman" w:cs="Times New Roman"/>
        </w:rPr>
        <w:t xml:space="preserve">that </w:t>
      </w:r>
      <w:r w:rsidR="00747AB8">
        <w:rPr>
          <w:rFonts w:ascii="Times New Roman" w:hAnsi="Times New Roman" w:cs="Times New Roman"/>
        </w:rPr>
        <w:t>there is a need for a more deferential approach.</w:t>
      </w:r>
    </w:p>
    <w:p w14:paraId="395C2121" w14:textId="20509ED6" w:rsidR="00C87E0C" w:rsidRDefault="004E3426" w:rsidP="007C2E85">
      <w:pPr>
        <w:rPr>
          <w:rFonts w:ascii="Times New Roman" w:hAnsi="Times New Roman" w:cs="Times New Roman"/>
        </w:rPr>
      </w:pPr>
      <w:r>
        <w:rPr>
          <w:rFonts w:ascii="Times New Roman" w:hAnsi="Times New Roman" w:cs="Times New Roman"/>
        </w:rPr>
        <w:t>HSBC stated that the preamble</w:t>
      </w:r>
      <w:r w:rsidR="005B2068">
        <w:rPr>
          <w:rFonts w:ascii="Times New Roman" w:hAnsi="Times New Roman" w:cs="Times New Roman"/>
        </w:rPr>
        <w:t xml:space="preserve"> in the Program NPRM</w:t>
      </w:r>
      <w:r>
        <w:rPr>
          <w:rFonts w:ascii="Times New Roman" w:hAnsi="Times New Roman" w:cs="Times New Roman"/>
        </w:rPr>
        <w:t xml:space="preserve"> captures the spirit of the Anti-Money Laundering Act (AMLA) but </w:t>
      </w:r>
      <w:r w:rsidR="00AB0832">
        <w:rPr>
          <w:rFonts w:ascii="Times New Roman" w:hAnsi="Times New Roman" w:cs="Times New Roman"/>
        </w:rPr>
        <w:t xml:space="preserve">that </w:t>
      </w:r>
      <w:r w:rsidR="00662372">
        <w:rPr>
          <w:rFonts w:ascii="Times New Roman" w:hAnsi="Times New Roman" w:cs="Times New Roman"/>
        </w:rPr>
        <w:t xml:space="preserve">the rule text has omissions and </w:t>
      </w:r>
      <w:r w:rsidR="00AB0832">
        <w:rPr>
          <w:rFonts w:ascii="Times New Roman" w:hAnsi="Times New Roman" w:cs="Times New Roman"/>
        </w:rPr>
        <w:t xml:space="preserve">that </w:t>
      </w:r>
      <w:r w:rsidR="00662372">
        <w:rPr>
          <w:rFonts w:ascii="Times New Roman" w:hAnsi="Times New Roman" w:cs="Times New Roman"/>
        </w:rPr>
        <w:t>certain rule provisions</w:t>
      </w:r>
      <w:r>
        <w:rPr>
          <w:rFonts w:ascii="Times New Roman" w:hAnsi="Times New Roman" w:cs="Times New Roman"/>
        </w:rPr>
        <w:t xml:space="preserve"> are vague.  </w:t>
      </w:r>
      <w:r w:rsidR="00CC5AA7">
        <w:rPr>
          <w:rFonts w:ascii="Times New Roman" w:hAnsi="Times New Roman" w:cs="Times New Roman"/>
        </w:rPr>
        <w:t xml:space="preserve">HSBC explained that the </w:t>
      </w:r>
      <w:r>
        <w:rPr>
          <w:rFonts w:ascii="Times New Roman" w:hAnsi="Times New Roman" w:cs="Times New Roman"/>
        </w:rPr>
        <w:t xml:space="preserve">rule text should clearly outline principles for what constitutes “effective, risk-based, and reasonably designed,” and should explicitly permit </w:t>
      </w:r>
      <w:r w:rsidR="004650A3">
        <w:rPr>
          <w:rFonts w:ascii="Times New Roman" w:hAnsi="Times New Roman" w:cs="Times New Roman"/>
        </w:rPr>
        <w:t>financial institutions</w:t>
      </w:r>
      <w:r>
        <w:rPr>
          <w:rFonts w:ascii="Times New Roman" w:hAnsi="Times New Roman" w:cs="Times New Roman"/>
        </w:rPr>
        <w:t xml:space="preserve"> to allocate resources to higher priorities and risks so there is not an expectation that they must identify all risks.</w:t>
      </w:r>
    </w:p>
    <w:p w14:paraId="4FD87D9A" w14:textId="68743364" w:rsidR="004E3426" w:rsidRDefault="004E3426" w:rsidP="007C2E85">
      <w:pPr>
        <w:rPr>
          <w:rFonts w:ascii="Times New Roman" w:hAnsi="Times New Roman" w:cs="Times New Roman"/>
        </w:rPr>
      </w:pPr>
      <w:r>
        <w:rPr>
          <w:rFonts w:ascii="Times New Roman" w:hAnsi="Times New Roman" w:cs="Times New Roman"/>
        </w:rPr>
        <w:t>JPMC requested more clarification of requirements for the risk assessment process</w:t>
      </w:r>
      <w:r w:rsidR="00CC5AA7">
        <w:rPr>
          <w:rFonts w:ascii="Times New Roman" w:hAnsi="Times New Roman" w:cs="Times New Roman"/>
        </w:rPr>
        <w:t xml:space="preserve"> laid out in the Program NPRM</w:t>
      </w:r>
      <w:r w:rsidR="00AB0832">
        <w:rPr>
          <w:rFonts w:ascii="Times New Roman" w:hAnsi="Times New Roman" w:cs="Times New Roman"/>
        </w:rPr>
        <w:t>.</w:t>
      </w:r>
      <w:r>
        <w:rPr>
          <w:rFonts w:ascii="Times New Roman" w:hAnsi="Times New Roman" w:cs="Times New Roman"/>
        </w:rPr>
        <w:t xml:space="preserve">  JPMC believes that in the preamble and the rule text there are two notions of a risk assessment: (1) ongoing assessment of risk embedded in AML controls, and (2) firm-wide risk assessment that is a static annual exercise and retroactive rather than forward looking.  JPMC requested that the final rule text change risk assessment process to “processes” so that</w:t>
      </w:r>
      <w:r w:rsidR="004650A3">
        <w:rPr>
          <w:rFonts w:ascii="Times New Roman" w:hAnsi="Times New Roman" w:cs="Times New Roman"/>
        </w:rPr>
        <w:t xml:space="preserve"> financial institution</w:t>
      </w:r>
      <w:r>
        <w:rPr>
          <w:rFonts w:ascii="Times New Roman" w:hAnsi="Times New Roman" w:cs="Times New Roman"/>
        </w:rPr>
        <w:t xml:space="preserve">s can assess risk according to their own risk profile. </w:t>
      </w:r>
      <w:r w:rsidR="00A944F2">
        <w:rPr>
          <w:rFonts w:ascii="Times New Roman" w:hAnsi="Times New Roman" w:cs="Times New Roman"/>
        </w:rPr>
        <w:t xml:space="preserve"> In </w:t>
      </w:r>
      <w:r w:rsidR="00CC5AA7">
        <w:rPr>
          <w:rFonts w:ascii="Times New Roman" w:hAnsi="Times New Roman" w:cs="Times New Roman"/>
        </w:rPr>
        <w:t xml:space="preserve">JPMC’s </w:t>
      </w:r>
      <w:r w:rsidR="00A944F2">
        <w:rPr>
          <w:rFonts w:ascii="Times New Roman" w:hAnsi="Times New Roman" w:cs="Times New Roman"/>
        </w:rPr>
        <w:t>view, this small change would add value and</w:t>
      </w:r>
      <w:r w:rsidR="00AE69E6">
        <w:rPr>
          <w:rFonts w:ascii="Times New Roman" w:hAnsi="Times New Roman" w:cs="Times New Roman"/>
        </w:rPr>
        <w:t xml:space="preserve"> help avoid a new burden.  JPMC also requested a two-year implementation period. </w:t>
      </w:r>
    </w:p>
    <w:p w14:paraId="45C8B8E7" w14:textId="3D52A4BE" w:rsidR="00F77124" w:rsidRDefault="000938D7" w:rsidP="007C2E85">
      <w:pPr>
        <w:rPr>
          <w:rFonts w:ascii="Times New Roman" w:hAnsi="Times New Roman" w:cs="Times New Roman"/>
        </w:rPr>
      </w:pPr>
      <w:r>
        <w:rPr>
          <w:rFonts w:ascii="Times New Roman" w:hAnsi="Times New Roman" w:cs="Times New Roman"/>
        </w:rPr>
        <w:t xml:space="preserve">Wolfsberg </w:t>
      </w:r>
      <w:r w:rsidR="00C62BEC">
        <w:rPr>
          <w:rFonts w:ascii="Times New Roman" w:hAnsi="Times New Roman" w:cs="Times New Roman"/>
        </w:rPr>
        <w:t xml:space="preserve">Group </w:t>
      </w:r>
      <w:r>
        <w:rPr>
          <w:rFonts w:ascii="Times New Roman" w:hAnsi="Times New Roman" w:cs="Times New Roman"/>
        </w:rPr>
        <w:t xml:space="preserve">agreed with the other speakers and highlighted a few areas.  First, </w:t>
      </w:r>
      <w:r w:rsidR="003B2063">
        <w:rPr>
          <w:rFonts w:ascii="Times New Roman" w:hAnsi="Times New Roman" w:cs="Times New Roman"/>
        </w:rPr>
        <w:t>with respect to the rule text regarding</w:t>
      </w:r>
      <w:r>
        <w:rPr>
          <w:rFonts w:ascii="Times New Roman" w:hAnsi="Times New Roman" w:cs="Times New Roman"/>
        </w:rPr>
        <w:t xml:space="preserve"> shifting resources from low to high-risk activities, Wolfsberg </w:t>
      </w:r>
      <w:r w:rsidR="003F037A">
        <w:rPr>
          <w:rFonts w:ascii="Times New Roman" w:hAnsi="Times New Roman" w:cs="Times New Roman"/>
        </w:rPr>
        <w:t xml:space="preserve">Group </w:t>
      </w:r>
      <w:r>
        <w:rPr>
          <w:rFonts w:ascii="Times New Roman" w:hAnsi="Times New Roman" w:cs="Times New Roman"/>
        </w:rPr>
        <w:t xml:space="preserve">stated that there is a concern that </w:t>
      </w:r>
      <w:r w:rsidR="003F037A">
        <w:rPr>
          <w:rFonts w:ascii="Times New Roman" w:hAnsi="Times New Roman" w:cs="Times New Roman"/>
        </w:rPr>
        <w:t>th</w:t>
      </w:r>
      <w:r w:rsidR="002B698A">
        <w:rPr>
          <w:rFonts w:ascii="Times New Roman" w:hAnsi="Times New Roman" w:cs="Times New Roman"/>
        </w:rPr>
        <w:t>e rule text</w:t>
      </w:r>
      <w:r w:rsidR="003F037A">
        <w:rPr>
          <w:rFonts w:ascii="Times New Roman" w:hAnsi="Times New Roman" w:cs="Times New Roman"/>
        </w:rPr>
        <w:t xml:space="preserve"> is</w:t>
      </w:r>
      <w:r>
        <w:rPr>
          <w:rFonts w:ascii="Times New Roman" w:hAnsi="Times New Roman" w:cs="Times New Roman"/>
        </w:rPr>
        <w:t xml:space="preserve"> not clear enough to be supported in the examination process, and its members are concerned that this</w:t>
      </w:r>
      <w:r w:rsidR="002B698A">
        <w:rPr>
          <w:rFonts w:ascii="Times New Roman" w:hAnsi="Times New Roman" w:cs="Times New Roman"/>
        </w:rPr>
        <w:t xml:space="preserve"> language</w:t>
      </w:r>
      <w:r>
        <w:rPr>
          <w:rFonts w:ascii="Times New Roman" w:hAnsi="Times New Roman" w:cs="Times New Roman"/>
        </w:rPr>
        <w:t xml:space="preserve"> will be additive.  Second, </w:t>
      </w:r>
      <w:r w:rsidR="00F77124">
        <w:rPr>
          <w:rFonts w:ascii="Times New Roman" w:hAnsi="Times New Roman" w:cs="Times New Roman"/>
        </w:rPr>
        <w:t xml:space="preserve">Wolfsberg </w:t>
      </w:r>
      <w:r w:rsidR="003F037A">
        <w:rPr>
          <w:rFonts w:ascii="Times New Roman" w:hAnsi="Times New Roman" w:cs="Times New Roman"/>
        </w:rPr>
        <w:t xml:space="preserve">Group </w:t>
      </w:r>
      <w:r w:rsidR="00F77124">
        <w:rPr>
          <w:rFonts w:ascii="Times New Roman" w:hAnsi="Times New Roman" w:cs="Times New Roman"/>
        </w:rPr>
        <w:t xml:space="preserve">agrees that risk assessment “process” should be changed to “processes,” and this is very important since the current annual risk assessment is more burdensome than the benefits.  Wolfsberg </w:t>
      </w:r>
      <w:r w:rsidR="003F037A">
        <w:rPr>
          <w:rFonts w:ascii="Times New Roman" w:hAnsi="Times New Roman" w:cs="Times New Roman"/>
        </w:rPr>
        <w:t xml:space="preserve">Group </w:t>
      </w:r>
      <w:r w:rsidR="00F77124">
        <w:rPr>
          <w:rFonts w:ascii="Times New Roman" w:hAnsi="Times New Roman" w:cs="Times New Roman"/>
        </w:rPr>
        <w:t>also noted that “effectiveness” is a very important concept</w:t>
      </w:r>
      <w:r w:rsidR="002B698A">
        <w:rPr>
          <w:rFonts w:ascii="Times New Roman" w:hAnsi="Times New Roman" w:cs="Times New Roman"/>
        </w:rPr>
        <w:t>,</w:t>
      </w:r>
      <w:r w:rsidR="00F77124">
        <w:rPr>
          <w:rFonts w:ascii="Times New Roman" w:hAnsi="Times New Roman" w:cs="Times New Roman"/>
        </w:rPr>
        <w:t xml:space="preserve"> but</w:t>
      </w:r>
      <w:r w:rsidR="002B698A">
        <w:rPr>
          <w:rFonts w:ascii="Times New Roman" w:hAnsi="Times New Roman" w:cs="Times New Roman"/>
        </w:rPr>
        <w:t xml:space="preserve"> in its view,</w:t>
      </w:r>
      <w:r w:rsidR="00F77124">
        <w:rPr>
          <w:rFonts w:ascii="Times New Roman" w:hAnsi="Times New Roman" w:cs="Times New Roman"/>
        </w:rPr>
        <w:t xml:space="preserve"> the NPRM does not define or explain it.  Wolfsberg</w:t>
      </w:r>
      <w:r w:rsidR="003F037A">
        <w:rPr>
          <w:rFonts w:ascii="Times New Roman" w:hAnsi="Times New Roman" w:cs="Times New Roman"/>
        </w:rPr>
        <w:t xml:space="preserve"> Group</w:t>
      </w:r>
      <w:r w:rsidR="00F77124">
        <w:rPr>
          <w:rFonts w:ascii="Times New Roman" w:hAnsi="Times New Roman" w:cs="Times New Roman"/>
        </w:rPr>
        <w:t xml:space="preserve"> has tried to define “effectiveness” </w:t>
      </w:r>
      <w:r w:rsidR="002B698A">
        <w:rPr>
          <w:rFonts w:ascii="Times New Roman" w:hAnsi="Times New Roman" w:cs="Times New Roman"/>
        </w:rPr>
        <w:t xml:space="preserve">in the past </w:t>
      </w:r>
      <w:r w:rsidR="00F77124">
        <w:rPr>
          <w:rFonts w:ascii="Times New Roman" w:hAnsi="Times New Roman" w:cs="Times New Roman"/>
        </w:rPr>
        <w:t>and believes that without more clarity in the rule</w:t>
      </w:r>
      <w:r w:rsidR="002B698A">
        <w:rPr>
          <w:rFonts w:ascii="Times New Roman" w:hAnsi="Times New Roman" w:cs="Times New Roman"/>
        </w:rPr>
        <w:t>,</w:t>
      </w:r>
      <w:r w:rsidR="00F77124">
        <w:rPr>
          <w:rFonts w:ascii="Times New Roman" w:hAnsi="Times New Roman" w:cs="Times New Roman"/>
        </w:rPr>
        <w:t xml:space="preserve"> </w:t>
      </w:r>
      <w:r w:rsidR="002B698A">
        <w:rPr>
          <w:rFonts w:ascii="Times New Roman" w:hAnsi="Times New Roman" w:cs="Times New Roman"/>
        </w:rPr>
        <w:t>the rule requirements</w:t>
      </w:r>
      <w:r w:rsidR="00F77124">
        <w:rPr>
          <w:rFonts w:ascii="Times New Roman" w:hAnsi="Times New Roman" w:cs="Times New Roman"/>
        </w:rPr>
        <w:t xml:space="preserve"> will be interpreted in different ways.  Wolfsberg</w:t>
      </w:r>
      <w:r w:rsidR="003F037A">
        <w:rPr>
          <w:rFonts w:ascii="Times New Roman" w:hAnsi="Times New Roman" w:cs="Times New Roman"/>
        </w:rPr>
        <w:t xml:space="preserve"> Group</w:t>
      </w:r>
      <w:r w:rsidR="00F77124">
        <w:rPr>
          <w:rFonts w:ascii="Times New Roman" w:hAnsi="Times New Roman" w:cs="Times New Roman"/>
        </w:rPr>
        <w:t xml:space="preserve"> also</w:t>
      </w:r>
      <w:r w:rsidR="003F037A">
        <w:rPr>
          <w:rFonts w:ascii="Times New Roman" w:hAnsi="Times New Roman" w:cs="Times New Roman"/>
        </w:rPr>
        <w:t xml:space="preserve"> generally</w:t>
      </w:r>
      <w:r w:rsidR="00F77124">
        <w:rPr>
          <w:rFonts w:ascii="Times New Roman" w:hAnsi="Times New Roman" w:cs="Times New Roman"/>
        </w:rPr>
        <w:t xml:space="preserve"> preferred the language in the preamble</w:t>
      </w:r>
      <w:r w:rsidR="002B698A">
        <w:rPr>
          <w:rFonts w:ascii="Times New Roman" w:hAnsi="Times New Roman" w:cs="Times New Roman"/>
        </w:rPr>
        <w:t xml:space="preserve"> of the Program NPRM</w:t>
      </w:r>
      <w:r w:rsidR="00F77124">
        <w:rPr>
          <w:rFonts w:ascii="Times New Roman" w:hAnsi="Times New Roman" w:cs="Times New Roman"/>
        </w:rPr>
        <w:t xml:space="preserve"> over the language in the rule text. </w:t>
      </w:r>
    </w:p>
    <w:p w14:paraId="725D11A1" w14:textId="2D4DD5BA" w:rsidR="00F77124" w:rsidRDefault="740CBC95" w:rsidP="740CBC95">
      <w:pPr>
        <w:rPr>
          <w:rFonts w:ascii="Times New Roman" w:hAnsi="Times New Roman" w:cs="Times New Roman"/>
        </w:rPr>
      </w:pPr>
      <w:r w:rsidRPr="740CBC95">
        <w:rPr>
          <w:rFonts w:ascii="Times New Roman" w:hAnsi="Times New Roman" w:cs="Times New Roman"/>
        </w:rPr>
        <w:t xml:space="preserve">JPMC agreed with the other speakers and wanted to focus on the factors that are required to go into the risk assessment process.  JPMC believes that the reference to </w:t>
      </w:r>
      <w:r w:rsidR="00D761EA">
        <w:rPr>
          <w:rFonts w:ascii="Times New Roman" w:hAnsi="Times New Roman" w:cs="Times New Roman"/>
        </w:rPr>
        <w:t>suspicious activity reports (</w:t>
      </w:r>
      <w:r w:rsidRPr="740CBC95">
        <w:rPr>
          <w:rFonts w:ascii="Times New Roman" w:hAnsi="Times New Roman" w:cs="Times New Roman"/>
        </w:rPr>
        <w:t>SARs</w:t>
      </w:r>
      <w:r w:rsidR="00D761EA">
        <w:rPr>
          <w:rFonts w:ascii="Times New Roman" w:hAnsi="Times New Roman" w:cs="Times New Roman"/>
        </w:rPr>
        <w:t>)</w:t>
      </w:r>
      <w:r w:rsidRPr="740CBC95">
        <w:rPr>
          <w:rFonts w:ascii="Times New Roman" w:hAnsi="Times New Roman" w:cs="Times New Roman"/>
        </w:rPr>
        <w:t xml:space="preserve"> and</w:t>
      </w:r>
      <w:r w:rsidR="00D761EA">
        <w:rPr>
          <w:rFonts w:ascii="Times New Roman" w:hAnsi="Times New Roman" w:cs="Times New Roman"/>
        </w:rPr>
        <w:t xml:space="preserve"> currency transaction reports</w:t>
      </w:r>
      <w:r w:rsidRPr="740CBC95">
        <w:rPr>
          <w:rFonts w:ascii="Times New Roman" w:hAnsi="Times New Roman" w:cs="Times New Roman"/>
        </w:rPr>
        <w:t xml:space="preserve"> </w:t>
      </w:r>
      <w:r w:rsidR="00D761EA">
        <w:rPr>
          <w:rFonts w:ascii="Times New Roman" w:hAnsi="Times New Roman" w:cs="Times New Roman"/>
        </w:rPr>
        <w:t>(</w:t>
      </w:r>
      <w:r w:rsidRPr="740CBC95">
        <w:rPr>
          <w:rFonts w:ascii="Times New Roman" w:hAnsi="Times New Roman" w:cs="Times New Roman"/>
        </w:rPr>
        <w:t>CTRs</w:t>
      </w:r>
      <w:r w:rsidR="00D761EA">
        <w:rPr>
          <w:rFonts w:ascii="Times New Roman" w:hAnsi="Times New Roman" w:cs="Times New Roman"/>
        </w:rPr>
        <w:t>)</w:t>
      </w:r>
      <w:r w:rsidRPr="740CBC95">
        <w:rPr>
          <w:rFonts w:ascii="Times New Roman" w:hAnsi="Times New Roman" w:cs="Times New Roman"/>
        </w:rPr>
        <w:t xml:space="preserve"> in the risk assessment process is a concern because section 6202 of AMLA discusses a reverse process: the National Priorities go into the risk assessment and that directs SAR filing.  JPMC stated that the NPRM suggests financial institutions must take the output of the SARs and feed that to the risk assessment, but JPMC believes this is not consistent with the text or spirit of AMLA.  JPMC believes that financial institutions should be able to choose whether or not to feed SAR output into the risk assessment but doing so should not be a requirement.</w:t>
      </w:r>
    </w:p>
    <w:p w14:paraId="6665DF31" w14:textId="5A0B6007" w:rsidR="00DE0071" w:rsidRDefault="00DE0071" w:rsidP="007C2E85">
      <w:pPr>
        <w:rPr>
          <w:rFonts w:ascii="Times New Roman" w:hAnsi="Times New Roman" w:cs="Times New Roman"/>
        </w:rPr>
      </w:pPr>
      <w:r>
        <w:rPr>
          <w:rFonts w:ascii="Times New Roman" w:hAnsi="Times New Roman" w:cs="Times New Roman"/>
        </w:rPr>
        <w:t xml:space="preserve">JPMC also expressed a concern about the requirement to update risk assessments because the language in the </w:t>
      </w:r>
      <w:r w:rsidR="00834453">
        <w:rPr>
          <w:rFonts w:ascii="Times New Roman" w:hAnsi="Times New Roman" w:cs="Times New Roman"/>
        </w:rPr>
        <w:t xml:space="preserve">proposed </w:t>
      </w:r>
      <w:r>
        <w:rPr>
          <w:rFonts w:ascii="Times New Roman" w:hAnsi="Times New Roman" w:cs="Times New Roman"/>
        </w:rPr>
        <w:t xml:space="preserve">rule text suggests this must be done both on a periodic basis and when there are material changes.  </w:t>
      </w:r>
      <w:r w:rsidR="00A06C7D">
        <w:rPr>
          <w:rFonts w:ascii="Times New Roman" w:hAnsi="Times New Roman" w:cs="Times New Roman"/>
        </w:rPr>
        <w:t>JPMC</w:t>
      </w:r>
      <w:r>
        <w:rPr>
          <w:rFonts w:ascii="Times New Roman" w:hAnsi="Times New Roman" w:cs="Times New Roman"/>
        </w:rPr>
        <w:t xml:space="preserve"> viewed the language in the preamble as clearer.  </w:t>
      </w:r>
      <w:r w:rsidR="00A06C7D">
        <w:rPr>
          <w:rFonts w:ascii="Times New Roman" w:hAnsi="Times New Roman" w:cs="Times New Roman"/>
        </w:rPr>
        <w:t>JPMC stated</w:t>
      </w:r>
      <w:r>
        <w:rPr>
          <w:rFonts w:ascii="Times New Roman" w:hAnsi="Times New Roman" w:cs="Times New Roman"/>
        </w:rPr>
        <w:t xml:space="preserve"> that past guidance and the </w:t>
      </w:r>
      <w:r w:rsidR="000F252F" w:rsidRPr="000F252F">
        <w:rPr>
          <w:rFonts w:ascii="Times New Roman" w:hAnsi="Times New Roman" w:cs="Times New Roman"/>
        </w:rPr>
        <w:t xml:space="preserve">Federal Financial Institutions Examination Council </w:t>
      </w:r>
      <w:r w:rsidR="000F252F">
        <w:rPr>
          <w:rFonts w:ascii="Times New Roman" w:hAnsi="Times New Roman" w:cs="Times New Roman"/>
        </w:rPr>
        <w:t>(</w:t>
      </w:r>
      <w:r>
        <w:rPr>
          <w:rFonts w:ascii="Times New Roman" w:hAnsi="Times New Roman" w:cs="Times New Roman"/>
        </w:rPr>
        <w:t>FFIEC</w:t>
      </w:r>
      <w:r w:rsidR="000F252F">
        <w:rPr>
          <w:rFonts w:ascii="Times New Roman" w:hAnsi="Times New Roman" w:cs="Times New Roman"/>
        </w:rPr>
        <w:t>)</w:t>
      </w:r>
      <w:r>
        <w:rPr>
          <w:rFonts w:ascii="Times New Roman" w:hAnsi="Times New Roman" w:cs="Times New Roman"/>
        </w:rPr>
        <w:t xml:space="preserve"> manual do not include a requirement to update the risk assessment on a “periodic basis,” and </w:t>
      </w:r>
      <w:r w:rsidR="00A06C7D">
        <w:rPr>
          <w:rFonts w:ascii="Times New Roman" w:hAnsi="Times New Roman" w:cs="Times New Roman"/>
        </w:rPr>
        <w:t>JPMC</w:t>
      </w:r>
      <w:r>
        <w:rPr>
          <w:rFonts w:ascii="Times New Roman" w:hAnsi="Times New Roman" w:cs="Times New Roman"/>
        </w:rPr>
        <w:t xml:space="preserve"> believe</w:t>
      </w:r>
      <w:r w:rsidR="00A06C7D">
        <w:rPr>
          <w:rFonts w:ascii="Times New Roman" w:hAnsi="Times New Roman" w:cs="Times New Roman"/>
        </w:rPr>
        <w:t>s</w:t>
      </w:r>
      <w:r>
        <w:rPr>
          <w:rFonts w:ascii="Times New Roman" w:hAnsi="Times New Roman" w:cs="Times New Roman"/>
        </w:rPr>
        <w:t xml:space="preserve"> that the </w:t>
      </w:r>
      <w:r w:rsidR="00834453">
        <w:rPr>
          <w:rFonts w:ascii="Times New Roman" w:hAnsi="Times New Roman" w:cs="Times New Roman"/>
        </w:rPr>
        <w:t xml:space="preserve">final </w:t>
      </w:r>
      <w:r>
        <w:rPr>
          <w:rFonts w:ascii="Times New Roman" w:hAnsi="Times New Roman" w:cs="Times New Roman"/>
        </w:rPr>
        <w:t>rule text should clarify that the update occur on a periodic basis or when there are material changes.</w:t>
      </w:r>
    </w:p>
    <w:p w14:paraId="0714DF93" w14:textId="10017F13" w:rsidR="0067401D" w:rsidRDefault="002E2894" w:rsidP="007C2E85">
      <w:pPr>
        <w:rPr>
          <w:rFonts w:ascii="Times New Roman" w:hAnsi="Times New Roman" w:cs="Times New Roman"/>
        </w:rPr>
      </w:pPr>
      <w:r>
        <w:rPr>
          <w:rFonts w:ascii="Times New Roman" w:hAnsi="Times New Roman" w:cs="Times New Roman"/>
        </w:rPr>
        <w:t>Wolfsberg</w:t>
      </w:r>
      <w:r w:rsidR="003F037A">
        <w:rPr>
          <w:rFonts w:ascii="Times New Roman" w:hAnsi="Times New Roman" w:cs="Times New Roman"/>
        </w:rPr>
        <w:t xml:space="preserve"> Group</w:t>
      </w:r>
      <w:r>
        <w:rPr>
          <w:rFonts w:ascii="Times New Roman" w:hAnsi="Times New Roman" w:cs="Times New Roman"/>
        </w:rPr>
        <w:t xml:space="preserve"> agreed that the idea of feeding SARs filed into the risk assessment process is flawed </w:t>
      </w:r>
      <w:r w:rsidR="0067401D">
        <w:rPr>
          <w:rFonts w:ascii="Times New Roman" w:hAnsi="Times New Roman" w:cs="Times New Roman"/>
        </w:rPr>
        <w:t xml:space="preserve">in the absence of feedback about whether the SARs are highly useful.  </w:t>
      </w:r>
      <w:r w:rsidR="00C62BEC">
        <w:rPr>
          <w:rFonts w:ascii="Times New Roman" w:hAnsi="Times New Roman" w:cs="Times New Roman"/>
        </w:rPr>
        <w:t xml:space="preserve">Wolfsberg </w:t>
      </w:r>
      <w:r w:rsidR="003F037A">
        <w:rPr>
          <w:rFonts w:ascii="Times New Roman" w:hAnsi="Times New Roman" w:cs="Times New Roman"/>
        </w:rPr>
        <w:t xml:space="preserve">Group </w:t>
      </w:r>
      <w:r w:rsidR="00C62BEC">
        <w:rPr>
          <w:rFonts w:ascii="Times New Roman" w:hAnsi="Times New Roman" w:cs="Times New Roman"/>
        </w:rPr>
        <w:t>believes that i</w:t>
      </w:r>
      <w:r w:rsidR="0067401D">
        <w:rPr>
          <w:rFonts w:ascii="Times New Roman" w:hAnsi="Times New Roman" w:cs="Times New Roman"/>
        </w:rPr>
        <w:t xml:space="preserve">ncreasing the number of SAR filings does not correlate on a reduction in crime, and the focus should be on better reporting not more reporting.  </w:t>
      </w:r>
    </w:p>
    <w:p w14:paraId="43EDC2FD" w14:textId="624392B9" w:rsidR="00DE0071" w:rsidRDefault="0067401D" w:rsidP="007C2E85">
      <w:pPr>
        <w:rPr>
          <w:rFonts w:ascii="Times New Roman" w:hAnsi="Times New Roman" w:cs="Times New Roman"/>
        </w:rPr>
      </w:pPr>
      <w:r>
        <w:rPr>
          <w:rFonts w:ascii="Times New Roman" w:hAnsi="Times New Roman" w:cs="Times New Roman"/>
        </w:rPr>
        <w:lastRenderedPageBreak/>
        <w:t>Bank of America agreed with Wolfsberg</w:t>
      </w:r>
      <w:r w:rsidR="003F037A">
        <w:rPr>
          <w:rFonts w:ascii="Times New Roman" w:hAnsi="Times New Roman" w:cs="Times New Roman"/>
        </w:rPr>
        <w:t xml:space="preserve"> Group</w:t>
      </w:r>
      <w:r>
        <w:rPr>
          <w:rFonts w:ascii="Times New Roman" w:hAnsi="Times New Roman" w:cs="Times New Roman"/>
        </w:rPr>
        <w:t xml:space="preserve"> and JPMC on this point, </w:t>
      </w:r>
      <w:r w:rsidR="00C855BC">
        <w:rPr>
          <w:rFonts w:ascii="Times New Roman" w:hAnsi="Times New Roman" w:cs="Times New Roman"/>
        </w:rPr>
        <w:t xml:space="preserve">stating </w:t>
      </w:r>
      <w:r>
        <w:rPr>
          <w:rFonts w:ascii="Times New Roman" w:hAnsi="Times New Roman" w:cs="Times New Roman"/>
        </w:rPr>
        <w:t xml:space="preserve">that BSA reporting driving the risk assessment process is backward looking.  Each individual </w:t>
      </w:r>
      <w:r w:rsidR="004650A3">
        <w:rPr>
          <w:rFonts w:ascii="Times New Roman" w:hAnsi="Times New Roman" w:cs="Times New Roman"/>
        </w:rPr>
        <w:t>financial institution</w:t>
      </w:r>
      <w:r>
        <w:rPr>
          <w:rFonts w:ascii="Times New Roman" w:hAnsi="Times New Roman" w:cs="Times New Roman"/>
        </w:rPr>
        <w:t xml:space="preserve">’s internal processes should </w:t>
      </w:r>
      <w:r w:rsidR="004650A3">
        <w:rPr>
          <w:rFonts w:ascii="Times New Roman" w:hAnsi="Times New Roman" w:cs="Times New Roman"/>
        </w:rPr>
        <w:t>be based on its</w:t>
      </w:r>
      <w:r>
        <w:rPr>
          <w:rFonts w:ascii="Times New Roman" w:hAnsi="Times New Roman" w:cs="Times New Roman"/>
        </w:rPr>
        <w:t xml:space="preserve"> risk attributes</w:t>
      </w:r>
      <w:r w:rsidR="004650A3">
        <w:rPr>
          <w:rFonts w:ascii="Times New Roman" w:hAnsi="Times New Roman" w:cs="Times New Roman"/>
        </w:rPr>
        <w:t>,</w:t>
      </w:r>
      <w:r>
        <w:rPr>
          <w:rFonts w:ascii="Times New Roman" w:hAnsi="Times New Roman" w:cs="Times New Roman"/>
        </w:rPr>
        <w:t xml:space="preserve"> but </w:t>
      </w:r>
      <w:r w:rsidR="003F1CCD">
        <w:rPr>
          <w:rFonts w:ascii="Times New Roman" w:hAnsi="Times New Roman" w:cs="Times New Roman"/>
        </w:rPr>
        <w:t xml:space="preserve">in </w:t>
      </w:r>
      <w:r w:rsidR="007C712F">
        <w:rPr>
          <w:rFonts w:ascii="Times New Roman" w:hAnsi="Times New Roman" w:cs="Times New Roman"/>
        </w:rPr>
        <w:t>Bank of America’s</w:t>
      </w:r>
      <w:r w:rsidR="003F1CCD">
        <w:rPr>
          <w:rFonts w:ascii="Times New Roman" w:hAnsi="Times New Roman" w:cs="Times New Roman"/>
        </w:rPr>
        <w:t xml:space="preserve"> view,</w:t>
      </w:r>
      <w:r>
        <w:rPr>
          <w:rFonts w:ascii="Times New Roman" w:hAnsi="Times New Roman" w:cs="Times New Roman"/>
        </w:rPr>
        <w:t xml:space="preserve"> the NPRM does</w:t>
      </w:r>
      <w:r w:rsidR="00834453">
        <w:rPr>
          <w:rFonts w:ascii="Times New Roman" w:hAnsi="Times New Roman" w:cs="Times New Roman"/>
        </w:rPr>
        <w:t xml:space="preserve"> </w:t>
      </w:r>
      <w:r>
        <w:rPr>
          <w:rFonts w:ascii="Times New Roman" w:hAnsi="Times New Roman" w:cs="Times New Roman"/>
        </w:rPr>
        <w:t>n</w:t>
      </w:r>
      <w:r w:rsidR="00834453">
        <w:rPr>
          <w:rFonts w:ascii="Times New Roman" w:hAnsi="Times New Roman" w:cs="Times New Roman"/>
        </w:rPr>
        <w:t>o</w:t>
      </w:r>
      <w:r>
        <w:rPr>
          <w:rFonts w:ascii="Times New Roman" w:hAnsi="Times New Roman" w:cs="Times New Roman"/>
        </w:rPr>
        <w:t xml:space="preserve">t allow that.  </w:t>
      </w:r>
      <w:r w:rsidR="004F4B97">
        <w:rPr>
          <w:rFonts w:ascii="Times New Roman" w:hAnsi="Times New Roman" w:cs="Times New Roman"/>
        </w:rPr>
        <w:t>Bank of America views that the</w:t>
      </w:r>
      <w:r>
        <w:rPr>
          <w:rFonts w:ascii="Times New Roman" w:hAnsi="Times New Roman" w:cs="Times New Roman"/>
        </w:rPr>
        <w:t xml:space="preserve"> ability for </w:t>
      </w:r>
      <w:r w:rsidR="004650A3">
        <w:rPr>
          <w:rFonts w:ascii="Times New Roman" w:hAnsi="Times New Roman" w:cs="Times New Roman"/>
        </w:rPr>
        <w:t>institution</w:t>
      </w:r>
      <w:r>
        <w:rPr>
          <w:rFonts w:ascii="Times New Roman" w:hAnsi="Times New Roman" w:cs="Times New Roman"/>
        </w:rPr>
        <w:t xml:space="preserve">s to allocate resources away from low-risk areas should be more explicitly </w:t>
      </w:r>
      <w:r w:rsidR="007C712F">
        <w:rPr>
          <w:rFonts w:ascii="Times New Roman" w:hAnsi="Times New Roman" w:cs="Times New Roman"/>
        </w:rPr>
        <w:t>stated</w:t>
      </w:r>
      <w:r>
        <w:rPr>
          <w:rFonts w:ascii="Times New Roman" w:hAnsi="Times New Roman" w:cs="Times New Roman"/>
        </w:rPr>
        <w:t xml:space="preserve"> in the rule text. </w:t>
      </w:r>
    </w:p>
    <w:p w14:paraId="5127A623" w14:textId="77777777" w:rsidR="008F77A4" w:rsidRPr="008F77A4" w:rsidRDefault="008F77A4" w:rsidP="008F77A4">
      <w:pPr>
        <w:rPr>
          <w:rFonts w:ascii="Times New Roman" w:hAnsi="Times New Roman" w:cs="Times New Roman"/>
        </w:rPr>
      </w:pPr>
      <w:r w:rsidRPr="008F77A4">
        <w:rPr>
          <w:rFonts w:ascii="Times New Roman" w:hAnsi="Times New Roman" w:cs="Times New Roman"/>
        </w:rPr>
        <w:t>FinCEN provided a final opportunity for the participants to provide any further comment or reactions to the NPRM.  Since there were no additional comments, FinCEN concluded the listening session.</w:t>
      </w:r>
    </w:p>
    <w:p w14:paraId="0165BC1B" w14:textId="77777777" w:rsidR="0067401D" w:rsidRPr="007C2E85" w:rsidRDefault="0067401D" w:rsidP="007C2E85">
      <w:pPr>
        <w:rPr>
          <w:rFonts w:ascii="Times New Roman" w:hAnsi="Times New Roman" w:cs="Times New Roman"/>
        </w:rPr>
      </w:pPr>
    </w:p>
    <w:sectPr w:rsidR="0067401D" w:rsidRPr="007C2E8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62B4" w14:textId="77777777" w:rsidR="00E3166A" w:rsidRDefault="00E3166A" w:rsidP="00E3166A">
      <w:pPr>
        <w:spacing w:after="0" w:line="240" w:lineRule="auto"/>
      </w:pPr>
      <w:r>
        <w:separator/>
      </w:r>
    </w:p>
  </w:endnote>
  <w:endnote w:type="continuationSeparator" w:id="0">
    <w:p w14:paraId="484E4850" w14:textId="77777777" w:rsidR="00E3166A" w:rsidRDefault="00E3166A" w:rsidP="00E3166A">
      <w:pPr>
        <w:spacing w:after="0" w:line="240" w:lineRule="auto"/>
      </w:pPr>
      <w:r>
        <w:continuationSeparator/>
      </w:r>
    </w:p>
  </w:endnote>
  <w:endnote w:type="continuationNotice" w:id="1">
    <w:p w14:paraId="6C6C6C04" w14:textId="77777777" w:rsidR="00350173" w:rsidRDefault="003501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265176"/>
      <w:docPartObj>
        <w:docPartGallery w:val="Page Numbers (Bottom of Page)"/>
        <w:docPartUnique/>
      </w:docPartObj>
    </w:sdtPr>
    <w:sdtEndPr/>
    <w:sdtContent>
      <w:sdt>
        <w:sdtPr>
          <w:id w:val="1728636285"/>
          <w:docPartObj>
            <w:docPartGallery w:val="Page Numbers (Top of Page)"/>
            <w:docPartUnique/>
          </w:docPartObj>
        </w:sdtPr>
        <w:sdtEndPr/>
        <w:sdtContent>
          <w:p w14:paraId="09337676" w14:textId="7B7ACE77" w:rsidR="00E3166A" w:rsidRDefault="00E3166A">
            <w:pPr>
              <w:pStyle w:val="Footer"/>
              <w:jc w:val="center"/>
            </w:pPr>
            <w:r w:rsidRPr="00E3166A">
              <w:rPr>
                <w:rFonts w:ascii="Times New Roman" w:hAnsi="Times New Roman" w:cs="Times New Roman"/>
              </w:rPr>
              <w:t xml:space="preserve">Page </w:t>
            </w:r>
            <w:r w:rsidRPr="00E3166A">
              <w:rPr>
                <w:rFonts w:ascii="Times New Roman" w:hAnsi="Times New Roman" w:cs="Times New Roman"/>
                <w:b/>
                <w:bCs/>
                <w:sz w:val="24"/>
                <w:szCs w:val="24"/>
              </w:rPr>
              <w:fldChar w:fldCharType="begin"/>
            </w:r>
            <w:r w:rsidRPr="00E3166A">
              <w:rPr>
                <w:rFonts w:ascii="Times New Roman" w:hAnsi="Times New Roman" w:cs="Times New Roman"/>
                <w:b/>
                <w:bCs/>
              </w:rPr>
              <w:instrText xml:space="preserve"> PAGE </w:instrText>
            </w:r>
            <w:r w:rsidRPr="00E3166A">
              <w:rPr>
                <w:rFonts w:ascii="Times New Roman" w:hAnsi="Times New Roman" w:cs="Times New Roman"/>
                <w:b/>
                <w:bCs/>
                <w:sz w:val="24"/>
                <w:szCs w:val="24"/>
              </w:rPr>
              <w:fldChar w:fldCharType="separate"/>
            </w:r>
            <w:r w:rsidRPr="00E3166A">
              <w:rPr>
                <w:rFonts w:ascii="Times New Roman" w:hAnsi="Times New Roman" w:cs="Times New Roman"/>
                <w:b/>
                <w:bCs/>
                <w:noProof/>
              </w:rPr>
              <w:t>2</w:t>
            </w:r>
            <w:r w:rsidRPr="00E3166A">
              <w:rPr>
                <w:rFonts w:ascii="Times New Roman" w:hAnsi="Times New Roman" w:cs="Times New Roman"/>
                <w:b/>
                <w:bCs/>
                <w:sz w:val="24"/>
                <w:szCs w:val="24"/>
              </w:rPr>
              <w:fldChar w:fldCharType="end"/>
            </w:r>
            <w:r w:rsidRPr="00E3166A">
              <w:rPr>
                <w:rFonts w:ascii="Times New Roman" w:hAnsi="Times New Roman" w:cs="Times New Roman"/>
              </w:rPr>
              <w:t xml:space="preserve"> of </w:t>
            </w:r>
            <w:r w:rsidRPr="00E3166A">
              <w:rPr>
                <w:rFonts w:ascii="Times New Roman" w:hAnsi="Times New Roman" w:cs="Times New Roman"/>
                <w:b/>
                <w:bCs/>
                <w:sz w:val="24"/>
                <w:szCs w:val="24"/>
              </w:rPr>
              <w:fldChar w:fldCharType="begin"/>
            </w:r>
            <w:r w:rsidRPr="00E3166A">
              <w:rPr>
                <w:rFonts w:ascii="Times New Roman" w:hAnsi="Times New Roman" w:cs="Times New Roman"/>
                <w:b/>
                <w:bCs/>
              </w:rPr>
              <w:instrText xml:space="preserve"> NUMPAGES  </w:instrText>
            </w:r>
            <w:r w:rsidRPr="00E3166A">
              <w:rPr>
                <w:rFonts w:ascii="Times New Roman" w:hAnsi="Times New Roman" w:cs="Times New Roman"/>
                <w:b/>
                <w:bCs/>
                <w:sz w:val="24"/>
                <w:szCs w:val="24"/>
              </w:rPr>
              <w:fldChar w:fldCharType="separate"/>
            </w:r>
            <w:r w:rsidRPr="00E3166A">
              <w:rPr>
                <w:rFonts w:ascii="Times New Roman" w:hAnsi="Times New Roman" w:cs="Times New Roman"/>
                <w:b/>
                <w:bCs/>
                <w:noProof/>
              </w:rPr>
              <w:t>2</w:t>
            </w:r>
            <w:r w:rsidRPr="00E3166A">
              <w:rPr>
                <w:rFonts w:ascii="Times New Roman" w:hAnsi="Times New Roman" w:cs="Times New Roman"/>
                <w:b/>
                <w:bCs/>
                <w:sz w:val="24"/>
                <w:szCs w:val="24"/>
              </w:rPr>
              <w:fldChar w:fldCharType="end"/>
            </w:r>
          </w:p>
        </w:sdtContent>
      </w:sdt>
    </w:sdtContent>
  </w:sdt>
  <w:p w14:paraId="3E6D77CF" w14:textId="77777777" w:rsidR="00E3166A" w:rsidRDefault="00E31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187D" w14:textId="77777777" w:rsidR="00E3166A" w:rsidRDefault="00E3166A" w:rsidP="00E3166A">
      <w:pPr>
        <w:spacing w:after="0" w:line="240" w:lineRule="auto"/>
      </w:pPr>
      <w:r>
        <w:separator/>
      </w:r>
    </w:p>
  </w:footnote>
  <w:footnote w:type="continuationSeparator" w:id="0">
    <w:p w14:paraId="1C2D851A" w14:textId="77777777" w:rsidR="00E3166A" w:rsidRDefault="00E3166A" w:rsidP="00E3166A">
      <w:pPr>
        <w:spacing w:after="0" w:line="240" w:lineRule="auto"/>
      </w:pPr>
      <w:r>
        <w:continuationSeparator/>
      </w:r>
    </w:p>
  </w:footnote>
  <w:footnote w:type="continuationNotice" w:id="1">
    <w:p w14:paraId="5DE686B2" w14:textId="77777777" w:rsidR="00350173" w:rsidRDefault="00350173">
      <w:pPr>
        <w:spacing w:after="0" w:line="240" w:lineRule="auto"/>
      </w:pPr>
    </w:p>
  </w:footnote>
  <w:footnote w:id="2">
    <w:p w14:paraId="3E88C7D0" w14:textId="77777777" w:rsidR="0077533E" w:rsidRPr="007E6EDD" w:rsidRDefault="0077533E" w:rsidP="0077533E">
      <w:pPr>
        <w:pStyle w:val="FootnoteText"/>
        <w:rPr>
          <w:rFonts w:ascii="Times New Roman" w:hAnsi="Times New Roman" w:cs="Times New Roman"/>
        </w:rPr>
      </w:pPr>
      <w:r w:rsidRPr="007E6EDD">
        <w:rPr>
          <w:rStyle w:val="FootnoteReference"/>
          <w:rFonts w:ascii="Times New Roman" w:hAnsi="Times New Roman" w:cs="Times New Roman"/>
        </w:rPr>
        <w:footnoteRef/>
      </w:r>
      <w:r w:rsidRPr="007E6EDD">
        <w:rPr>
          <w:rFonts w:ascii="Times New Roman" w:hAnsi="Times New Roman" w:cs="Times New Roman"/>
        </w:rPr>
        <w:t xml:space="preserve"> </w:t>
      </w:r>
      <w:r>
        <w:rPr>
          <w:rFonts w:ascii="Times New Roman" w:hAnsi="Times New Roman" w:cs="Times New Roman"/>
        </w:rPr>
        <w:t>Individual names b</w:t>
      </w:r>
      <w:r w:rsidRPr="007E6EDD">
        <w:rPr>
          <w:rFonts w:ascii="Times New Roman" w:hAnsi="Times New Roman" w:cs="Times New Roman"/>
        </w:rPr>
        <w:t>ased on virtual presence.</w:t>
      </w:r>
    </w:p>
  </w:footnote>
  <w:footnote w:id="3">
    <w:p w14:paraId="6E360001" w14:textId="5D39BDA9" w:rsidR="003528ED" w:rsidRDefault="003528ED">
      <w:pPr>
        <w:pStyle w:val="FootnoteText"/>
      </w:pPr>
      <w:r>
        <w:rPr>
          <w:rStyle w:val="FootnoteReference"/>
        </w:rPr>
        <w:footnoteRef/>
      </w:r>
      <w:r>
        <w:t xml:space="preserve"> </w:t>
      </w:r>
      <w:bookmarkStart w:id="0" w:name="_Hlk182310547"/>
      <w:r w:rsidRPr="006C02CD">
        <w:rPr>
          <w:rFonts w:ascii="Times New Roman" w:hAnsi="Times New Roman" w:cs="Times New Roman"/>
          <w:i/>
          <w:iCs/>
        </w:rPr>
        <w:t>See</w:t>
      </w:r>
      <w:r w:rsidRPr="006C02CD">
        <w:rPr>
          <w:rFonts w:ascii="Times New Roman" w:hAnsi="Times New Roman" w:cs="Times New Roman"/>
        </w:rPr>
        <w:t xml:space="preserve"> AML/CFT Priorities (June 30, 2021), available at </w:t>
      </w:r>
      <w:hyperlink r:id="rId1" w:tgtFrame="_blank" w:history="1">
        <w:r w:rsidRPr="006C02CD">
          <w:rPr>
            <w:rStyle w:val="Hyperlink"/>
            <w:rFonts w:ascii="Times New Roman" w:hAnsi="Times New Roman" w:cs="Times New Roman"/>
            <w:i/>
            <w:iCs/>
          </w:rPr>
          <w:t>https://www.fincen.gov/​news/​news-releases/​fincen-issues-first-national-amlcft-priorities-and-accompanying-statements</w:t>
        </w:r>
      </w:hyperlink>
      <w:r w:rsidRPr="006C02CD">
        <w:rPr>
          <w:rFonts w:ascii="Times New Roman" w:hAnsi="Times New Roman" w:cs="Times New Roman"/>
          <w:i/>
          <w:iCs/>
        </w:rPr>
        <w:t>.</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89C"/>
    <w:multiLevelType w:val="hybridMultilevel"/>
    <w:tmpl w:val="4FE8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F1796"/>
    <w:multiLevelType w:val="hybridMultilevel"/>
    <w:tmpl w:val="0990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10C46"/>
    <w:multiLevelType w:val="hybridMultilevel"/>
    <w:tmpl w:val="2582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6063">
    <w:abstractNumId w:val="1"/>
  </w:num>
  <w:num w:numId="2" w16cid:durableId="298809159">
    <w:abstractNumId w:val="0"/>
  </w:num>
  <w:num w:numId="3" w16cid:durableId="120317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F7"/>
    <w:rsid w:val="00042F0B"/>
    <w:rsid w:val="00043939"/>
    <w:rsid w:val="00073281"/>
    <w:rsid w:val="000938D7"/>
    <w:rsid w:val="000C349A"/>
    <w:rsid w:val="000D3B94"/>
    <w:rsid w:val="000F252F"/>
    <w:rsid w:val="001558CC"/>
    <w:rsid w:val="00183812"/>
    <w:rsid w:val="001B394F"/>
    <w:rsid w:val="001B3E21"/>
    <w:rsid w:val="001D7FF7"/>
    <w:rsid w:val="00236AE6"/>
    <w:rsid w:val="002535E1"/>
    <w:rsid w:val="00260245"/>
    <w:rsid w:val="00262AA2"/>
    <w:rsid w:val="002B2B97"/>
    <w:rsid w:val="002B698A"/>
    <w:rsid w:val="002E2894"/>
    <w:rsid w:val="003115FC"/>
    <w:rsid w:val="00350173"/>
    <w:rsid w:val="003528ED"/>
    <w:rsid w:val="003665C4"/>
    <w:rsid w:val="0037329E"/>
    <w:rsid w:val="003B2063"/>
    <w:rsid w:val="003C6064"/>
    <w:rsid w:val="003F037A"/>
    <w:rsid w:val="003F1CCD"/>
    <w:rsid w:val="003F6733"/>
    <w:rsid w:val="004039F3"/>
    <w:rsid w:val="00421688"/>
    <w:rsid w:val="00443A9B"/>
    <w:rsid w:val="00444F47"/>
    <w:rsid w:val="004506C2"/>
    <w:rsid w:val="004650A3"/>
    <w:rsid w:val="00476CE4"/>
    <w:rsid w:val="00492FC2"/>
    <w:rsid w:val="004E3426"/>
    <w:rsid w:val="004E5AB4"/>
    <w:rsid w:val="004E5BA4"/>
    <w:rsid w:val="004F4B97"/>
    <w:rsid w:val="00545CFF"/>
    <w:rsid w:val="00554710"/>
    <w:rsid w:val="0058001C"/>
    <w:rsid w:val="005B2068"/>
    <w:rsid w:val="00630F61"/>
    <w:rsid w:val="00633DAC"/>
    <w:rsid w:val="00641B75"/>
    <w:rsid w:val="00662372"/>
    <w:rsid w:val="0067401D"/>
    <w:rsid w:val="00682E8F"/>
    <w:rsid w:val="00691E82"/>
    <w:rsid w:val="006C02CD"/>
    <w:rsid w:val="00732D8E"/>
    <w:rsid w:val="00747AB8"/>
    <w:rsid w:val="00747DB9"/>
    <w:rsid w:val="007650FA"/>
    <w:rsid w:val="0077533E"/>
    <w:rsid w:val="007C2E85"/>
    <w:rsid w:val="007C712F"/>
    <w:rsid w:val="00834453"/>
    <w:rsid w:val="00856C51"/>
    <w:rsid w:val="008B62A8"/>
    <w:rsid w:val="008B7DA9"/>
    <w:rsid w:val="008D2485"/>
    <w:rsid w:val="008F1AFA"/>
    <w:rsid w:val="008F77A4"/>
    <w:rsid w:val="00915561"/>
    <w:rsid w:val="00955979"/>
    <w:rsid w:val="009638C7"/>
    <w:rsid w:val="00981AE6"/>
    <w:rsid w:val="009B0443"/>
    <w:rsid w:val="009B4DA3"/>
    <w:rsid w:val="009E1591"/>
    <w:rsid w:val="009E66C7"/>
    <w:rsid w:val="009F189D"/>
    <w:rsid w:val="00A06C7D"/>
    <w:rsid w:val="00A76DB5"/>
    <w:rsid w:val="00A8456C"/>
    <w:rsid w:val="00A944F2"/>
    <w:rsid w:val="00AA7496"/>
    <w:rsid w:val="00AB0832"/>
    <w:rsid w:val="00AD06BE"/>
    <w:rsid w:val="00AE67F7"/>
    <w:rsid w:val="00AE69E6"/>
    <w:rsid w:val="00B07519"/>
    <w:rsid w:val="00B1144C"/>
    <w:rsid w:val="00B24594"/>
    <w:rsid w:val="00B33B5E"/>
    <w:rsid w:val="00B576DF"/>
    <w:rsid w:val="00B779BE"/>
    <w:rsid w:val="00BA1A49"/>
    <w:rsid w:val="00BF78F7"/>
    <w:rsid w:val="00C62BEC"/>
    <w:rsid w:val="00C855BC"/>
    <w:rsid w:val="00C87E0C"/>
    <w:rsid w:val="00C954FC"/>
    <w:rsid w:val="00CC0F53"/>
    <w:rsid w:val="00CC5AA7"/>
    <w:rsid w:val="00CD6308"/>
    <w:rsid w:val="00D036AC"/>
    <w:rsid w:val="00D125A9"/>
    <w:rsid w:val="00D240E7"/>
    <w:rsid w:val="00D761EA"/>
    <w:rsid w:val="00D76F95"/>
    <w:rsid w:val="00DB4F6C"/>
    <w:rsid w:val="00DB7759"/>
    <w:rsid w:val="00DC0886"/>
    <w:rsid w:val="00DC6CD1"/>
    <w:rsid w:val="00DE0071"/>
    <w:rsid w:val="00DE77CA"/>
    <w:rsid w:val="00E1474E"/>
    <w:rsid w:val="00E3166A"/>
    <w:rsid w:val="00E81C3F"/>
    <w:rsid w:val="00E843C0"/>
    <w:rsid w:val="00EA1F3D"/>
    <w:rsid w:val="00F77124"/>
    <w:rsid w:val="00F8266E"/>
    <w:rsid w:val="00F94122"/>
    <w:rsid w:val="740CB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C21B"/>
  <w15:docId w15:val="{A39D55E8-E524-45BD-B2BC-212E043E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7F7"/>
    <w:rPr>
      <w:rFonts w:eastAsiaTheme="majorEastAsia" w:cstheme="majorBidi"/>
      <w:color w:val="272727" w:themeColor="text1" w:themeTint="D8"/>
    </w:rPr>
  </w:style>
  <w:style w:type="paragraph" w:styleId="Title">
    <w:name w:val="Title"/>
    <w:basedOn w:val="Normal"/>
    <w:next w:val="Normal"/>
    <w:link w:val="TitleChar"/>
    <w:uiPriority w:val="10"/>
    <w:qFormat/>
    <w:rsid w:val="00AE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7F7"/>
    <w:pPr>
      <w:spacing w:before="160"/>
      <w:jc w:val="center"/>
    </w:pPr>
    <w:rPr>
      <w:i/>
      <w:iCs/>
      <w:color w:val="404040" w:themeColor="text1" w:themeTint="BF"/>
    </w:rPr>
  </w:style>
  <w:style w:type="character" w:customStyle="1" w:styleId="QuoteChar">
    <w:name w:val="Quote Char"/>
    <w:basedOn w:val="DefaultParagraphFont"/>
    <w:link w:val="Quote"/>
    <w:uiPriority w:val="29"/>
    <w:rsid w:val="00AE67F7"/>
    <w:rPr>
      <w:i/>
      <w:iCs/>
      <w:color w:val="404040" w:themeColor="text1" w:themeTint="BF"/>
    </w:rPr>
  </w:style>
  <w:style w:type="paragraph" w:styleId="ListParagraph">
    <w:name w:val="List Paragraph"/>
    <w:basedOn w:val="Normal"/>
    <w:uiPriority w:val="34"/>
    <w:qFormat/>
    <w:rsid w:val="00AE67F7"/>
    <w:pPr>
      <w:ind w:left="720"/>
      <w:contextualSpacing/>
    </w:pPr>
  </w:style>
  <w:style w:type="character" w:styleId="IntenseEmphasis">
    <w:name w:val="Intense Emphasis"/>
    <w:basedOn w:val="DefaultParagraphFont"/>
    <w:uiPriority w:val="21"/>
    <w:qFormat/>
    <w:rsid w:val="00AE67F7"/>
    <w:rPr>
      <w:i/>
      <w:iCs/>
      <w:color w:val="0F4761" w:themeColor="accent1" w:themeShade="BF"/>
    </w:rPr>
  </w:style>
  <w:style w:type="paragraph" w:styleId="IntenseQuote">
    <w:name w:val="Intense Quote"/>
    <w:basedOn w:val="Normal"/>
    <w:next w:val="Normal"/>
    <w:link w:val="IntenseQuoteChar"/>
    <w:uiPriority w:val="30"/>
    <w:qFormat/>
    <w:rsid w:val="00AE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7F7"/>
    <w:rPr>
      <w:i/>
      <w:iCs/>
      <w:color w:val="0F4761" w:themeColor="accent1" w:themeShade="BF"/>
    </w:rPr>
  </w:style>
  <w:style w:type="character" w:styleId="IntenseReference">
    <w:name w:val="Intense Reference"/>
    <w:basedOn w:val="DefaultParagraphFont"/>
    <w:uiPriority w:val="32"/>
    <w:qFormat/>
    <w:rsid w:val="00AE67F7"/>
    <w:rPr>
      <w:b/>
      <w:bCs/>
      <w:smallCaps/>
      <w:color w:val="0F4761" w:themeColor="accent1" w:themeShade="BF"/>
      <w:spacing w:val="5"/>
    </w:rPr>
  </w:style>
  <w:style w:type="character" w:styleId="CommentReference">
    <w:name w:val="annotation reference"/>
    <w:basedOn w:val="DefaultParagraphFont"/>
    <w:uiPriority w:val="99"/>
    <w:semiHidden/>
    <w:unhideWhenUsed/>
    <w:rsid w:val="00AE67F7"/>
    <w:rPr>
      <w:sz w:val="16"/>
      <w:szCs w:val="16"/>
    </w:rPr>
  </w:style>
  <w:style w:type="paragraph" w:styleId="CommentText">
    <w:name w:val="annotation text"/>
    <w:basedOn w:val="Normal"/>
    <w:link w:val="CommentTextChar"/>
    <w:uiPriority w:val="99"/>
    <w:unhideWhenUsed/>
    <w:rsid w:val="00AE67F7"/>
    <w:pPr>
      <w:spacing w:line="240" w:lineRule="auto"/>
    </w:pPr>
    <w:rPr>
      <w:sz w:val="20"/>
      <w:szCs w:val="20"/>
    </w:rPr>
  </w:style>
  <w:style w:type="character" w:customStyle="1" w:styleId="CommentTextChar">
    <w:name w:val="Comment Text Char"/>
    <w:basedOn w:val="DefaultParagraphFont"/>
    <w:link w:val="CommentText"/>
    <w:uiPriority w:val="99"/>
    <w:rsid w:val="00AE67F7"/>
    <w:rPr>
      <w:sz w:val="20"/>
      <w:szCs w:val="20"/>
    </w:rPr>
  </w:style>
  <w:style w:type="paragraph" w:styleId="Header">
    <w:name w:val="header"/>
    <w:basedOn w:val="Normal"/>
    <w:link w:val="HeaderChar"/>
    <w:uiPriority w:val="99"/>
    <w:unhideWhenUsed/>
    <w:rsid w:val="00E31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66A"/>
  </w:style>
  <w:style w:type="paragraph" w:styleId="Footer">
    <w:name w:val="footer"/>
    <w:basedOn w:val="Normal"/>
    <w:link w:val="FooterChar"/>
    <w:uiPriority w:val="99"/>
    <w:unhideWhenUsed/>
    <w:rsid w:val="00E31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6A"/>
  </w:style>
  <w:style w:type="paragraph" w:styleId="FootnoteText">
    <w:name w:val="footnote text"/>
    <w:basedOn w:val="Normal"/>
    <w:link w:val="FootnoteTextChar"/>
    <w:uiPriority w:val="99"/>
    <w:semiHidden/>
    <w:unhideWhenUsed/>
    <w:rsid w:val="007753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33E"/>
    <w:rPr>
      <w:sz w:val="20"/>
      <w:szCs w:val="20"/>
    </w:rPr>
  </w:style>
  <w:style w:type="character" w:styleId="FootnoteReference">
    <w:name w:val="footnote reference"/>
    <w:basedOn w:val="DefaultParagraphFont"/>
    <w:uiPriority w:val="99"/>
    <w:semiHidden/>
    <w:unhideWhenUsed/>
    <w:rsid w:val="0077533E"/>
    <w:rPr>
      <w:vertAlign w:val="superscript"/>
    </w:rPr>
  </w:style>
  <w:style w:type="paragraph" w:styleId="Revision">
    <w:name w:val="Revision"/>
    <w:hidden/>
    <w:uiPriority w:val="99"/>
    <w:semiHidden/>
    <w:rsid w:val="009E1591"/>
    <w:pPr>
      <w:spacing w:after="0" w:line="240" w:lineRule="auto"/>
    </w:pPr>
  </w:style>
  <w:style w:type="paragraph" w:styleId="CommentSubject">
    <w:name w:val="annotation subject"/>
    <w:basedOn w:val="CommentText"/>
    <w:next w:val="CommentText"/>
    <w:link w:val="CommentSubjectChar"/>
    <w:uiPriority w:val="99"/>
    <w:semiHidden/>
    <w:unhideWhenUsed/>
    <w:rsid w:val="004506C2"/>
    <w:rPr>
      <w:b/>
      <w:bCs/>
    </w:rPr>
  </w:style>
  <w:style w:type="character" w:customStyle="1" w:styleId="CommentSubjectChar">
    <w:name w:val="Comment Subject Char"/>
    <w:basedOn w:val="CommentTextChar"/>
    <w:link w:val="CommentSubject"/>
    <w:uiPriority w:val="99"/>
    <w:semiHidden/>
    <w:rsid w:val="004506C2"/>
    <w:rPr>
      <w:b/>
      <w:bCs/>
      <w:sz w:val="20"/>
      <w:szCs w:val="20"/>
    </w:rPr>
  </w:style>
  <w:style w:type="character" w:styleId="Hyperlink">
    <w:name w:val="Hyperlink"/>
    <w:basedOn w:val="DefaultParagraphFont"/>
    <w:uiPriority w:val="99"/>
    <w:unhideWhenUsed/>
    <w:rsid w:val="003528ED"/>
    <w:rPr>
      <w:color w:val="467886" w:themeColor="hyperlink"/>
      <w:u w:val="single"/>
    </w:rPr>
  </w:style>
  <w:style w:type="character" w:styleId="UnresolvedMention">
    <w:name w:val="Unresolved Mention"/>
    <w:basedOn w:val="DefaultParagraphFont"/>
    <w:uiPriority w:val="99"/>
    <w:semiHidden/>
    <w:unhideWhenUsed/>
    <w:rsid w:val="0035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fincen.gov/news/news-releases/fincen-issues-first-national-amlcft-priorities-and-accompanying-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9278EEEF1A7643A49D6A4D244F87C0" ma:contentTypeVersion="4" ma:contentTypeDescription="Create a new document." ma:contentTypeScope="" ma:versionID="ef77de249b3ba7f57498e9d1674a2a6e">
  <xsd:schema xmlns:xsd="http://www.w3.org/2001/XMLSchema" xmlns:xs="http://www.w3.org/2001/XMLSchema" xmlns:p="http://schemas.microsoft.com/office/2006/metadata/properties" xmlns:ns2="cc749c2f-a0f1-4c3a-9751-7fcbdbd676da" xmlns:ns3="91882c98-ad7c-457b-bb99-16138be0c2aa" targetNamespace="http://schemas.microsoft.com/office/2006/metadata/properties" ma:root="true" ma:fieldsID="f16aee6a8bf9e96f5fc400f7c3dcf3a7" ns2:_="" ns3:_="">
    <xsd:import namespace="cc749c2f-a0f1-4c3a-9751-7fcbdbd676da"/>
    <xsd:import namespace="91882c98-ad7c-457b-bb99-16138be0c2aa"/>
    <xsd:element name="properties">
      <xsd:complexType>
        <xsd:sequence>
          <xsd:element name="documentManagement">
            <xsd:complexType>
              <xsd:all>
                <xsd:element ref="ns2:Category" minOccurs="0"/>
                <xsd:element ref="ns2:DocID" minOccurs="0"/>
                <xsd:element ref="ns2:Case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49c2f-a0f1-4c3a-9751-7fcbdbd676da"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Choice">
          <xsd:enumeration value="Final"/>
          <xsd:enumeration value="Draft"/>
          <xsd:enumeration value="IC"/>
        </xsd:restriction>
      </xsd:simpleType>
    </xsd:element>
    <xsd:element name="DocID" ma:index="9" nillable="true" ma:displayName="DocID" ma:internalName="DocID">
      <xsd:simpleType>
        <xsd:restriction base="dms:Text"/>
      </xsd:simpleType>
    </xsd:element>
    <xsd:element name="CaseID" ma:index="10" nillable="true" ma:displayName="CaseID" ma:internalName="Case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82c98-ad7c-457b-bb99-16138be0c2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seID xmlns="cc749c2f-a0f1-4c3a-9751-7fcbdbd676da">20249-TFI-9706</CaseID>
    <DocID xmlns="cc749c2f-a0f1-4c3a-9751-7fcbdbd676da">1afe8e57-190a-44b9-83ac-a316079ceee7</DocID>
    <Category xmlns="cc749c2f-a0f1-4c3a-9751-7fcbdbd676da">Final</Category>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B4B51-70D6-448D-8C98-7DF2063D1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49c2f-a0f1-4c3a-9751-7fcbdbd676da"/>
    <ds:schemaRef ds:uri="91882c98-ad7c-457b-bb99-16138be0c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2161A-DEE0-4F98-870E-46D132045A78}">
  <ds:schemaRefs>
    <ds:schemaRef ds:uri="http://purl.org/dc/terms/"/>
    <ds:schemaRef ds:uri="http://www.w3.org/XML/1998/namespace"/>
    <ds:schemaRef ds:uri="91882c98-ad7c-457b-bb99-16138be0c2aa"/>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cc749c2f-a0f1-4c3a-9751-7fcbdbd676da"/>
    <ds:schemaRef ds:uri="http://purl.org/dc/elements/1.1/"/>
  </ds:schemaRefs>
</ds:datastoreItem>
</file>

<file path=customXml/itemProps3.xml><?xml version="1.0" encoding="utf-8"?>
<ds:datastoreItem xmlns:ds="http://schemas.openxmlformats.org/officeDocument/2006/customXml" ds:itemID="{7859ECA2-998D-48A9-BFDC-75A0F306B10A}">
  <ds:schemaRefs>
    <ds:schemaRef ds:uri="http://schemas.openxmlformats.org/officeDocument/2006/bibliography"/>
  </ds:schemaRefs>
</ds:datastoreItem>
</file>

<file path=customXml/itemProps4.xml><?xml version="1.0" encoding="utf-8"?>
<ds:datastoreItem xmlns:ds="http://schemas.openxmlformats.org/officeDocument/2006/customXml" ds:itemID="{345E230D-348C-4CA9-B561-F0DC2EB9D9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1548</Words>
  <Characters>8825</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FinCEN</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Elosta</dc:creator>
  <cp:keywords/>
  <dc:description/>
  <cp:lastModifiedBy>Bradley, Beth</cp:lastModifiedBy>
  <cp:revision>2</cp:revision>
  <dcterms:created xsi:type="dcterms:W3CDTF">2024-11-20T12:40:00Z</dcterms:created>
  <dcterms:modified xsi:type="dcterms:W3CDTF">2024-11-20T12:40:00Z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0x0101000C9278EEEF1A7643A49D6A4D244F87C0</vt:lpwstr>
  </property>
</Properties>
</file>