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28ABC" w14:textId="70415C93" w:rsidR="007C08B0" w:rsidRPr="00AE67F7" w:rsidRDefault="009B3A83" w:rsidP="007C08B0">
      <w:pPr>
        <w:spacing w:after="0" w:line="240" w:lineRule="auto"/>
        <w:jc w:val="center"/>
        <w:rPr>
          <w:rFonts w:ascii="Times New Roman" w:eastAsia="Calibri" w:hAnsi="Times New Roman" w:cs="Times New Roman"/>
          <w:b/>
          <w:bCs/>
          <w:sz w:val="24"/>
          <w:szCs w:val="24"/>
          <w:u w:val="single"/>
        </w:rPr>
      </w:pPr>
      <w:r>
        <w:rPr>
          <w:rFonts w:ascii="Times New Roman" w:eastAsia="Calibri" w:hAnsi="Times New Roman" w:cs="Times New Roman"/>
          <w:b/>
          <w:bCs/>
          <w:sz w:val="24"/>
          <w:szCs w:val="24"/>
          <w:u w:val="single"/>
        </w:rPr>
        <w:t xml:space="preserve">Second </w:t>
      </w:r>
      <w:r w:rsidR="007C08B0" w:rsidRPr="00AE67F7">
        <w:rPr>
          <w:rFonts w:ascii="Times New Roman" w:eastAsia="Calibri" w:hAnsi="Times New Roman" w:cs="Times New Roman"/>
          <w:b/>
          <w:bCs/>
          <w:sz w:val="24"/>
          <w:szCs w:val="24"/>
          <w:u w:val="single"/>
        </w:rPr>
        <w:t xml:space="preserve">Listening Session Regarding </w:t>
      </w:r>
      <w:r w:rsidR="007C08B0" w:rsidRPr="001558CC">
        <w:rPr>
          <w:rFonts w:ascii="Times New Roman" w:eastAsia="Calibri" w:hAnsi="Times New Roman" w:cs="Times New Roman"/>
          <w:b/>
          <w:bCs/>
          <w:sz w:val="24"/>
          <w:szCs w:val="24"/>
          <w:u w:val="single"/>
        </w:rPr>
        <w:t>the Notice of Proposed Rulemaking Titled</w:t>
      </w:r>
    </w:p>
    <w:p w14:paraId="07D1127C" w14:textId="77777777" w:rsidR="007C08B0" w:rsidRPr="00AE67F7" w:rsidRDefault="007C08B0" w:rsidP="007C08B0">
      <w:pPr>
        <w:spacing w:after="0" w:line="240" w:lineRule="auto"/>
        <w:jc w:val="center"/>
        <w:rPr>
          <w:rFonts w:ascii="Times New Roman" w:eastAsia="Calibri" w:hAnsi="Times New Roman" w:cs="Times New Roman"/>
          <w:b/>
          <w:bCs/>
          <w:sz w:val="24"/>
          <w:szCs w:val="24"/>
          <w:u w:val="single"/>
        </w:rPr>
      </w:pPr>
      <w:r w:rsidRPr="00AE67F7">
        <w:rPr>
          <w:rFonts w:ascii="Times New Roman" w:eastAsia="Calibri" w:hAnsi="Times New Roman" w:cs="Times New Roman"/>
          <w:b/>
          <w:bCs/>
          <w:sz w:val="24"/>
          <w:szCs w:val="24"/>
          <w:u w:val="single"/>
        </w:rPr>
        <w:t>“Anti-Money Laundering</w:t>
      </w:r>
      <w:r w:rsidRPr="001558CC">
        <w:rPr>
          <w:rFonts w:ascii="Times New Roman" w:eastAsia="Calibri" w:hAnsi="Times New Roman" w:cs="Times New Roman"/>
          <w:b/>
          <w:bCs/>
          <w:sz w:val="24"/>
          <w:szCs w:val="24"/>
          <w:u w:val="single"/>
        </w:rPr>
        <w:t xml:space="preserve"> and </w:t>
      </w:r>
      <w:r w:rsidRPr="00AE67F7">
        <w:rPr>
          <w:rFonts w:ascii="Times New Roman" w:eastAsia="Calibri" w:hAnsi="Times New Roman" w:cs="Times New Roman"/>
          <w:b/>
          <w:bCs/>
          <w:sz w:val="24"/>
          <w:szCs w:val="24"/>
          <w:u w:val="single"/>
        </w:rPr>
        <w:t>Countering the Financing of Terrorism Program</w:t>
      </w:r>
      <w:r w:rsidRPr="001558CC">
        <w:rPr>
          <w:rFonts w:ascii="Times New Roman" w:eastAsia="Calibri" w:hAnsi="Times New Roman" w:cs="Times New Roman"/>
          <w:b/>
          <w:bCs/>
          <w:sz w:val="24"/>
          <w:szCs w:val="24"/>
          <w:u w:val="single"/>
        </w:rPr>
        <w:t>s”</w:t>
      </w:r>
      <w:r w:rsidRPr="00AE67F7">
        <w:rPr>
          <w:rFonts w:ascii="Times New Roman" w:eastAsia="Calibri" w:hAnsi="Times New Roman" w:cs="Times New Roman"/>
          <w:b/>
          <w:bCs/>
          <w:sz w:val="24"/>
          <w:szCs w:val="24"/>
          <w:u w:val="single"/>
        </w:rPr>
        <w:t xml:space="preserve"> </w:t>
      </w:r>
    </w:p>
    <w:p w14:paraId="7ABEDDC2" w14:textId="77777777" w:rsidR="007C08B0" w:rsidRPr="00AE67F7" w:rsidRDefault="007C08B0" w:rsidP="007C08B0">
      <w:pPr>
        <w:rPr>
          <w:rFonts w:ascii="Times New Roman" w:eastAsia="Calibri" w:hAnsi="Times New Roman" w:cs="Times New Roman"/>
          <w:sz w:val="24"/>
          <w:szCs w:val="24"/>
        </w:rPr>
      </w:pPr>
    </w:p>
    <w:p w14:paraId="074E5CF5" w14:textId="77777777" w:rsidR="007C08B0" w:rsidRPr="00AE67F7" w:rsidRDefault="007C08B0" w:rsidP="007C08B0">
      <w:pPr>
        <w:spacing w:after="0" w:line="240" w:lineRule="auto"/>
        <w:rPr>
          <w:rFonts w:ascii="Times New Roman" w:eastAsia="Calibri" w:hAnsi="Times New Roman" w:cs="Times New Roman"/>
          <w:sz w:val="24"/>
          <w:szCs w:val="24"/>
        </w:rPr>
      </w:pPr>
      <w:r w:rsidRPr="00AE67F7">
        <w:rPr>
          <w:rFonts w:ascii="Times New Roman" w:eastAsia="Calibri" w:hAnsi="Times New Roman" w:cs="Times New Roman"/>
          <w:sz w:val="24"/>
          <w:szCs w:val="24"/>
        </w:rPr>
        <w:t>This document summarizes a listening session that the Financial Crimes Enforcement Network (FinCEN)</w:t>
      </w:r>
      <w:r w:rsidRPr="001558CC">
        <w:rPr>
          <w:rFonts w:ascii="Times New Roman" w:eastAsia="Calibri" w:hAnsi="Times New Roman" w:cs="Times New Roman"/>
          <w:sz w:val="24"/>
          <w:szCs w:val="24"/>
        </w:rPr>
        <w:t>, a bureau within the U.S. Department of the Treasury (Treasury),</w:t>
      </w:r>
      <w:r w:rsidRPr="00AE67F7">
        <w:rPr>
          <w:rFonts w:ascii="Times New Roman" w:eastAsia="Calibri" w:hAnsi="Times New Roman" w:cs="Times New Roman"/>
          <w:sz w:val="24"/>
          <w:szCs w:val="24"/>
        </w:rPr>
        <w:t xml:space="preserve"> held with representatives of </w:t>
      </w:r>
      <w:r w:rsidRPr="001558CC">
        <w:rPr>
          <w:rFonts w:ascii="Times New Roman" w:eastAsia="Calibri" w:hAnsi="Times New Roman" w:cs="Times New Roman"/>
          <w:sz w:val="24"/>
          <w:szCs w:val="24"/>
        </w:rPr>
        <w:t>financial institutions</w:t>
      </w:r>
      <w:r w:rsidRPr="00AE67F7">
        <w:rPr>
          <w:rFonts w:ascii="Times New Roman" w:eastAsia="Calibri" w:hAnsi="Times New Roman" w:cs="Times New Roman"/>
          <w:sz w:val="24"/>
          <w:szCs w:val="24"/>
        </w:rPr>
        <w:t xml:space="preserve"> about </w:t>
      </w:r>
      <w:r w:rsidRPr="001558CC">
        <w:rPr>
          <w:rFonts w:ascii="Times New Roman" w:eastAsia="Calibri" w:hAnsi="Times New Roman" w:cs="Times New Roman"/>
          <w:sz w:val="24"/>
          <w:szCs w:val="24"/>
        </w:rPr>
        <w:t>the</w:t>
      </w:r>
      <w:r w:rsidRPr="00AE67F7">
        <w:rPr>
          <w:rFonts w:ascii="Times New Roman" w:eastAsia="Calibri" w:hAnsi="Times New Roman" w:cs="Times New Roman"/>
          <w:sz w:val="24"/>
          <w:szCs w:val="24"/>
        </w:rPr>
        <w:t xml:space="preserve"> notice of proposed rulemaking</w:t>
      </w:r>
      <w:r w:rsidRPr="001558CC">
        <w:rPr>
          <w:rFonts w:ascii="Times New Roman" w:eastAsia="Calibri" w:hAnsi="Times New Roman" w:cs="Times New Roman"/>
          <w:sz w:val="24"/>
          <w:szCs w:val="24"/>
        </w:rPr>
        <w:t xml:space="preserve"> (NPRM)</w:t>
      </w:r>
      <w:r w:rsidRPr="00AE67F7">
        <w:rPr>
          <w:rFonts w:ascii="Times New Roman" w:eastAsia="Calibri" w:hAnsi="Times New Roman" w:cs="Times New Roman"/>
          <w:sz w:val="24"/>
          <w:szCs w:val="24"/>
        </w:rPr>
        <w:t xml:space="preserve"> titled </w:t>
      </w:r>
      <w:r w:rsidRPr="00AE67F7">
        <w:rPr>
          <w:rFonts w:ascii="Times New Roman" w:eastAsia="Calibri" w:hAnsi="Times New Roman" w:cs="Times New Roman"/>
          <w:i/>
          <w:iCs/>
          <w:sz w:val="24"/>
          <w:szCs w:val="24"/>
        </w:rPr>
        <w:t>Anti-Money Laundering</w:t>
      </w:r>
      <w:r w:rsidRPr="001558CC">
        <w:rPr>
          <w:rFonts w:ascii="Times New Roman" w:eastAsia="Calibri" w:hAnsi="Times New Roman" w:cs="Times New Roman"/>
          <w:i/>
          <w:iCs/>
          <w:sz w:val="24"/>
          <w:szCs w:val="24"/>
        </w:rPr>
        <w:t xml:space="preserve"> and </w:t>
      </w:r>
      <w:r w:rsidRPr="00AE67F7">
        <w:rPr>
          <w:rFonts w:ascii="Times New Roman" w:eastAsia="Calibri" w:hAnsi="Times New Roman" w:cs="Times New Roman"/>
          <w:i/>
          <w:iCs/>
          <w:sz w:val="24"/>
          <w:szCs w:val="24"/>
        </w:rPr>
        <w:t>Countering the Financing of Terrorism Program</w:t>
      </w:r>
      <w:r w:rsidRPr="001558CC">
        <w:rPr>
          <w:rFonts w:ascii="Times New Roman" w:eastAsia="Calibri" w:hAnsi="Times New Roman" w:cs="Times New Roman"/>
          <w:i/>
          <w:iCs/>
          <w:sz w:val="24"/>
          <w:szCs w:val="24"/>
        </w:rPr>
        <w:t>s</w:t>
      </w:r>
      <w:r w:rsidRPr="00AE67F7">
        <w:rPr>
          <w:rFonts w:ascii="Times New Roman" w:eastAsia="Calibri" w:hAnsi="Times New Roman" w:cs="Times New Roman"/>
          <w:i/>
          <w:iCs/>
          <w:sz w:val="24"/>
          <w:szCs w:val="24"/>
        </w:rPr>
        <w:t xml:space="preserve"> </w:t>
      </w:r>
      <w:r w:rsidRPr="001558CC">
        <w:rPr>
          <w:rFonts w:ascii="Times New Roman" w:eastAsia="Calibri" w:hAnsi="Times New Roman" w:cs="Times New Roman"/>
          <w:sz w:val="24"/>
          <w:szCs w:val="24"/>
        </w:rPr>
        <w:t>published</w:t>
      </w:r>
      <w:r w:rsidRPr="00AE67F7">
        <w:rPr>
          <w:rFonts w:ascii="Times New Roman" w:eastAsia="Calibri" w:hAnsi="Times New Roman" w:cs="Times New Roman"/>
          <w:sz w:val="24"/>
          <w:szCs w:val="24"/>
        </w:rPr>
        <w:t xml:space="preserve"> on </w:t>
      </w:r>
      <w:r w:rsidRPr="001558CC">
        <w:rPr>
          <w:rFonts w:ascii="Times New Roman" w:eastAsia="Calibri" w:hAnsi="Times New Roman" w:cs="Times New Roman"/>
          <w:sz w:val="24"/>
          <w:szCs w:val="24"/>
        </w:rPr>
        <w:t>July 3</w:t>
      </w:r>
      <w:r w:rsidRPr="00AE67F7">
        <w:rPr>
          <w:rFonts w:ascii="Times New Roman" w:eastAsia="Calibri" w:hAnsi="Times New Roman" w:cs="Times New Roman"/>
          <w:sz w:val="24"/>
          <w:szCs w:val="24"/>
        </w:rPr>
        <w:t xml:space="preserve">, 2024 (Docket Number </w:t>
      </w:r>
      <w:r w:rsidRPr="001558CC">
        <w:rPr>
          <w:rFonts w:ascii="Times New Roman" w:eastAsia="Calibri" w:hAnsi="Times New Roman" w:cs="Times New Roman"/>
          <w:sz w:val="24"/>
          <w:szCs w:val="24"/>
        </w:rPr>
        <w:t>FINCEN-</w:t>
      </w:r>
      <w:r w:rsidRPr="00AE67F7">
        <w:rPr>
          <w:rFonts w:ascii="Times New Roman" w:eastAsia="Calibri" w:hAnsi="Times New Roman" w:cs="Times New Roman"/>
          <w:sz w:val="24"/>
          <w:szCs w:val="24"/>
        </w:rPr>
        <w:t>2024-0</w:t>
      </w:r>
      <w:r w:rsidRPr="001558CC">
        <w:rPr>
          <w:rFonts w:ascii="Times New Roman" w:eastAsia="Calibri" w:hAnsi="Times New Roman" w:cs="Times New Roman"/>
          <w:sz w:val="24"/>
          <w:szCs w:val="24"/>
        </w:rPr>
        <w:t>013</w:t>
      </w:r>
      <w:r w:rsidRPr="00AE67F7">
        <w:rPr>
          <w:rFonts w:ascii="Times New Roman" w:eastAsia="Calibri" w:hAnsi="Times New Roman" w:cs="Times New Roman"/>
          <w:sz w:val="24"/>
          <w:szCs w:val="24"/>
        </w:rPr>
        <w:t>) (</w:t>
      </w:r>
      <w:r w:rsidRPr="001558CC">
        <w:rPr>
          <w:rFonts w:ascii="Times New Roman" w:eastAsia="Calibri" w:hAnsi="Times New Roman" w:cs="Times New Roman"/>
          <w:sz w:val="24"/>
          <w:szCs w:val="24"/>
        </w:rPr>
        <w:t>Program</w:t>
      </w:r>
      <w:r w:rsidRPr="00AE67F7">
        <w:rPr>
          <w:rFonts w:ascii="Times New Roman" w:eastAsia="Calibri" w:hAnsi="Times New Roman" w:cs="Times New Roman"/>
          <w:sz w:val="24"/>
          <w:szCs w:val="24"/>
        </w:rPr>
        <w:t xml:space="preserve"> NPRM). </w:t>
      </w:r>
      <w:r w:rsidRPr="001558CC">
        <w:rPr>
          <w:rFonts w:ascii="Times New Roman" w:eastAsia="Calibri" w:hAnsi="Times New Roman" w:cs="Times New Roman"/>
          <w:sz w:val="24"/>
          <w:szCs w:val="24"/>
        </w:rPr>
        <w:t xml:space="preserve"> </w:t>
      </w:r>
      <w:r w:rsidRPr="00AE67F7">
        <w:rPr>
          <w:rFonts w:ascii="Times New Roman" w:eastAsia="Calibri" w:hAnsi="Times New Roman" w:cs="Times New Roman"/>
          <w:sz w:val="24"/>
          <w:szCs w:val="24"/>
        </w:rPr>
        <w:t xml:space="preserve">FinCEN is adding this summary of the listening session to the docket for the </w:t>
      </w:r>
      <w:r w:rsidRPr="001558CC">
        <w:rPr>
          <w:rFonts w:ascii="Times New Roman" w:eastAsia="Calibri" w:hAnsi="Times New Roman" w:cs="Times New Roman"/>
          <w:sz w:val="24"/>
          <w:szCs w:val="24"/>
        </w:rPr>
        <w:t xml:space="preserve">Program </w:t>
      </w:r>
      <w:r w:rsidRPr="00AE67F7">
        <w:rPr>
          <w:rFonts w:ascii="Times New Roman" w:eastAsia="Calibri" w:hAnsi="Times New Roman" w:cs="Times New Roman"/>
          <w:sz w:val="24"/>
          <w:szCs w:val="24"/>
        </w:rPr>
        <w:t>NPRM to help ensure that the public is aware of the listening session and understands the information that was provided to FinCEN in this session.  FinCEN did not provide any new substantive information about either proposed rules or substantively respond to any comments during the listening session.</w:t>
      </w:r>
    </w:p>
    <w:p w14:paraId="6450D1AF" w14:textId="77777777" w:rsidR="007C08B0" w:rsidRPr="00AE67F7" w:rsidRDefault="007C08B0" w:rsidP="007C08B0">
      <w:pPr>
        <w:rPr>
          <w:rFonts w:ascii="Times New Roman" w:eastAsia="Calibri" w:hAnsi="Times New Roman" w:cs="Times New Roman"/>
          <w:sz w:val="24"/>
          <w:szCs w:val="24"/>
        </w:rPr>
      </w:pPr>
    </w:p>
    <w:p w14:paraId="0B8906A3" w14:textId="37EDBCA4" w:rsidR="007C08B0" w:rsidRPr="00AE67F7" w:rsidRDefault="007C08B0" w:rsidP="007C08B0">
      <w:pPr>
        <w:rPr>
          <w:rFonts w:ascii="Times New Roman" w:eastAsia="Calibri" w:hAnsi="Times New Roman" w:cs="Times New Roman"/>
          <w:sz w:val="24"/>
          <w:szCs w:val="24"/>
        </w:rPr>
      </w:pPr>
      <w:r w:rsidRPr="00AE67F7">
        <w:rPr>
          <w:rFonts w:ascii="Times New Roman" w:eastAsia="Calibri" w:hAnsi="Times New Roman" w:cs="Times New Roman"/>
          <w:sz w:val="24"/>
          <w:szCs w:val="24"/>
        </w:rPr>
        <w:t xml:space="preserve">DATE: </w:t>
      </w:r>
      <w:r>
        <w:rPr>
          <w:rFonts w:ascii="Times New Roman" w:eastAsia="Calibri" w:hAnsi="Times New Roman" w:cs="Times New Roman"/>
          <w:sz w:val="24"/>
          <w:szCs w:val="24"/>
        </w:rPr>
        <w:t>August</w:t>
      </w:r>
      <w:r w:rsidRPr="00AE67F7">
        <w:rPr>
          <w:rFonts w:ascii="Times New Roman" w:eastAsia="Calibri" w:hAnsi="Times New Roman" w:cs="Times New Roman"/>
          <w:sz w:val="24"/>
          <w:szCs w:val="24"/>
        </w:rPr>
        <w:t xml:space="preserve"> </w:t>
      </w:r>
      <w:r>
        <w:rPr>
          <w:rFonts w:ascii="Times New Roman" w:eastAsia="Calibri" w:hAnsi="Times New Roman" w:cs="Times New Roman"/>
          <w:sz w:val="24"/>
          <w:szCs w:val="24"/>
        </w:rPr>
        <w:t>20</w:t>
      </w:r>
      <w:r w:rsidRPr="00AE67F7">
        <w:rPr>
          <w:rFonts w:ascii="Times New Roman" w:eastAsia="Calibri" w:hAnsi="Times New Roman" w:cs="Times New Roman"/>
          <w:sz w:val="24"/>
          <w:szCs w:val="24"/>
        </w:rPr>
        <w:t>, 2024</w:t>
      </w:r>
    </w:p>
    <w:p w14:paraId="22D04973" w14:textId="77777777" w:rsidR="007C08B0" w:rsidRPr="00AE67F7" w:rsidRDefault="007C08B0" w:rsidP="007C08B0">
      <w:pPr>
        <w:rPr>
          <w:rFonts w:ascii="Times New Roman" w:eastAsia="Calibri" w:hAnsi="Times New Roman" w:cs="Times New Roman"/>
          <w:sz w:val="24"/>
          <w:szCs w:val="24"/>
        </w:rPr>
      </w:pPr>
      <w:r w:rsidRPr="00AE67F7">
        <w:rPr>
          <w:rFonts w:ascii="Times New Roman" w:eastAsia="Calibri" w:hAnsi="Times New Roman" w:cs="Times New Roman"/>
          <w:sz w:val="24"/>
          <w:szCs w:val="24"/>
        </w:rPr>
        <w:t xml:space="preserve">TIME: </w:t>
      </w:r>
      <w:r w:rsidRPr="001558CC">
        <w:rPr>
          <w:rFonts w:ascii="Times New Roman" w:eastAsia="Calibri" w:hAnsi="Times New Roman" w:cs="Times New Roman"/>
          <w:sz w:val="24"/>
          <w:szCs w:val="24"/>
        </w:rPr>
        <w:t>1:00</w:t>
      </w:r>
      <w:r w:rsidRPr="00AE67F7">
        <w:rPr>
          <w:rFonts w:ascii="Times New Roman" w:eastAsia="Calibri" w:hAnsi="Times New Roman" w:cs="Times New Roman"/>
          <w:sz w:val="24"/>
          <w:szCs w:val="24"/>
        </w:rPr>
        <w:t xml:space="preserve"> p.m. – </w:t>
      </w:r>
      <w:r w:rsidRPr="001558CC">
        <w:rPr>
          <w:rFonts w:ascii="Times New Roman" w:eastAsia="Calibri" w:hAnsi="Times New Roman" w:cs="Times New Roman"/>
          <w:sz w:val="24"/>
          <w:szCs w:val="24"/>
        </w:rPr>
        <w:t>2:00</w:t>
      </w:r>
      <w:r w:rsidRPr="00AE67F7">
        <w:rPr>
          <w:rFonts w:ascii="Times New Roman" w:eastAsia="Calibri" w:hAnsi="Times New Roman" w:cs="Times New Roman"/>
          <w:sz w:val="24"/>
          <w:szCs w:val="24"/>
        </w:rPr>
        <w:t xml:space="preserve"> p.m., Eastern Time </w:t>
      </w:r>
    </w:p>
    <w:p w14:paraId="2B9E7707" w14:textId="77777777" w:rsidR="007C08B0" w:rsidRPr="00AE67F7" w:rsidRDefault="007C08B0" w:rsidP="007C08B0">
      <w:pPr>
        <w:rPr>
          <w:rFonts w:ascii="Times New Roman" w:eastAsia="Calibri" w:hAnsi="Times New Roman" w:cs="Times New Roman"/>
          <w:sz w:val="24"/>
          <w:szCs w:val="24"/>
        </w:rPr>
      </w:pPr>
      <w:r w:rsidRPr="00AE67F7">
        <w:rPr>
          <w:rFonts w:ascii="Times New Roman" w:eastAsia="Calibri" w:hAnsi="Times New Roman" w:cs="Times New Roman"/>
          <w:sz w:val="24"/>
          <w:szCs w:val="24"/>
        </w:rPr>
        <w:t>LOCATION: Virtual</w:t>
      </w:r>
    </w:p>
    <w:p w14:paraId="79490E7F" w14:textId="77777777" w:rsidR="007C08B0" w:rsidRPr="00AE67F7" w:rsidRDefault="007C08B0" w:rsidP="007C08B0">
      <w:pPr>
        <w:rPr>
          <w:rFonts w:ascii="Times New Roman" w:eastAsia="Calibri" w:hAnsi="Times New Roman" w:cs="Times New Roman"/>
          <w:sz w:val="24"/>
          <w:szCs w:val="24"/>
        </w:rPr>
      </w:pPr>
      <w:r w:rsidRPr="00AE67F7">
        <w:rPr>
          <w:rFonts w:ascii="Times New Roman" w:eastAsia="Calibri" w:hAnsi="Times New Roman" w:cs="Times New Roman"/>
          <w:sz w:val="24"/>
          <w:szCs w:val="24"/>
        </w:rPr>
        <w:t xml:space="preserve">ATTENDEES: </w:t>
      </w:r>
    </w:p>
    <w:p w14:paraId="02BE1EDE" w14:textId="77777777" w:rsidR="007C08B0" w:rsidRPr="001558CC" w:rsidRDefault="007C08B0" w:rsidP="007C08B0">
      <w:pPr>
        <w:rPr>
          <w:rFonts w:ascii="Times New Roman" w:hAnsi="Times New Roman" w:cs="Times New Roman"/>
          <w:u w:val="single"/>
        </w:rPr>
      </w:pPr>
      <w:r w:rsidRPr="001558CC">
        <w:rPr>
          <w:rFonts w:ascii="Times New Roman" w:hAnsi="Times New Roman" w:cs="Times New Roman"/>
          <w:u w:val="single"/>
        </w:rPr>
        <w:t>FinCEN</w:t>
      </w:r>
      <w:r>
        <w:rPr>
          <w:rFonts w:ascii="Times New Roman" w:hAnsi="Times New Roman" w:cs="Times New Roman"/>
          <w:u w:val="single"/>
        </w:rPr>
        <w:t xml:space="preserve"> and Treasury</w:t>
      </w:r>
    </w:p>
    <w:p w14:paraId="52B2E085" w14:textId="77777777" w:rsidR="007C08B0" w:rsidRPr="001558CC" w:rsidRDefault="007C08B0" w:rsidP="007C08B0">
      <w:pPr>
        <w:pStyle w:val="ListParagraph"/>
        <w:numPr>
          <w:ilvl w:val="0"/>
          <w:numId w:val="1"/>
        </w:numPr>
        <w:rPr>
          <w:rFonts w:ascii="Times New Roman" w:hAnsi="Times New Roman" w:cs="Times New Roman"/>
        </w:rPr>
      </w:pPr>
      <w:r w:rsidRPr="001558CC">
        <w:rPr>
          <w:rFonts w:ascii="Times New Roman" w:hAnsi="Times New Roman" w:cs="Times New Roman"/>
        </w:rPr>
        <w:t>James Martinelli, Acting Associate Director, Policy Division</w:t>
      </w:r>
    </w:p>
    <w:p w14:paraId="335C3F29" w14:textId="60FC1737" w:rsidR="007C08B0" w:rsidRPr="001558CC" w:rsidRDefault="007C08B0" w:rsidP="007C08B0">
      <w:pPr>
        <w:pStyle w:val="ListParagraph"/>
        <w:numPr>
          <w:ilvl w:val="0"/>
          <w:numId w:val="1"/>
        </w:numPr>
        <w:rPr>
          <w:rFonts w:ascii="Times New Roman" w:hAnsi="Times New Roman" w:cs="Times New Roman"/>
        </w:rPr>
      </w:pPr>
      <w:r w:rsidRPr="001558CC">
        <w:rPr>
          <w:rFonts w:ascii="Times New Roman" w:hAnsi="Times New Roman" w:cs="Times New Roman"/>
        </w:rPr>
        <w:t xml:space="preserve">Staff from FinCEN, </w:t>
      </w:r>
      <w:r w:rsidR="00894AAF">
        <w:rPr>
          <w:rFonts w:ascii="Times New Roman" w:hAnsi="Times New Roman" w:cs="Times New Roman"/>
        </w:rPr>
        <w:t xml:space="preserve">Treasury’s </w:t>
      </w:r>
      <w:r w:rsidRPr="001558CC">
        <w:rPr>
          <w:rFonts w:ascii="Times New Roman" w:hAnsi="Times New Roman" w:cs="Times New Roman"/>
        </w:rPr>
        <w:t>Office of Terrorist Financing and Financial Crimes, and Treasury’s Office of the General Counsel</w:t>
      </w:r>
    </w:p>
    <w:p w14:paraId="74EFE780" w14:textId="03BE01A2" w:rsidR="007C08B0" w:rsidRPr="001558CC" w:rsidRDefault="007C08B0" w:rsidP="007C08B0">
      <w:pPr>
        <w:rPr>
          <w:rFonts w:ascii="Times New Roman" w:hAnsi="Times New Roman" w:cs="Times New Roman"/>
          <w:u w:val="single"/>
        </w:rPr>
      </w:pPr>
      <w:r w:rsidRPr="001558CC">
        <w:rPr>
          <w:rFonts w:ascii="Times New Roman" w:hAnsi="Times New Roman" w:cs="Times New Roman"/>
          <w:u w:val="single"/>
        </w:rPr>
        <w:t>Other Attendees</w:t>
      </w:r>
      <w:r w:rsidR="00662349" w:rsidRPr="00662349">
        <w:rPr>
          <w:rFonts w:ascii="Times New Roman" w:eastAsia="Calibri" w:hAnsi="Times New Roman" w:cs="Times New Roman"/>
          <w:u w:val="single"/>
          <w:vertAlign w:val="superscript"/>
        </w:rPr>
        <w:footnoteReference w:id="1"/>
      </w:r>
    </w:p>
    <w:p w14:paraId="0E844C55" w14:textId="77777777" w:rsidR="000A0D67" w:rsidRDefault="000A0D67" w:rsidP="000A0D67">
      <w:pPr>
        <w:pStyle w:val="ListParagraph"/>
        <w:numPr>
          <w:ilvl w:val="0"/>
          <w:numId w:val="2"/>
        </w:numPr>
        <w:rPr>
          <w:rFonts w:ascii="Times New Roman" w:hAnsi="Times New Roman" w:cs="Times New Roman"/>
        </w:rPr>
      </w:pPr>
      <w:r>
        <w:rPr>
          <w:rFonts w:ascii="Times New Roman" w:hAnsi="Times New Roman" w:cs="Times New Roman"/>
        </w:rPr>
        <w:t>Jennifer Gardner, Marquette Bank</w:t>
      </w:r>
    </w:p>
    <w:p w14:paraId="047104A4" w14:textId="77777777" w:rsidR="000A0D67" w:rsidRDefault="000A0D67" w:rsidP="000A0D67">
      <w:pPr>
        <w:pStyle w:val="ListParagraph"/>
        <w:numPr>
          <w:ilvl w:val="0"/>
          <w:numId w:val="2"/>
        </w:numPr>
        <w:rPr>
          <w:rFonts w:ascii="Times New Roman" w:hAnsi="Times New Roman" w:cs="Times New Roman"/>
        </w:rPr>
      </w:pPr>
      <w:r>
        <w:rPr>
          <w:rFonts w:ascii="Times New Roman" w:hAnsi="Times New Roman" w:cs="Times New Roman"/>
        </w:rPr>
        <w:t>Carol Slattery, Regions Bank</w:t>
      </w:r>
    </w:p>
    <w:p w14:paraId="7ECBBE0C" w14:textId="1E9305E8" w:rsidR="000A0D67" w:rsidRPr="00924F7D" w:rsidRDefault="000A0D67" w:rsidP="000A0D67">
      <w:pPr>
        <w:pStyle w:val="ListParagraph"/>
        <w:numPr>
          <w:ilvl w:val="0"/>
          <w:numId w:val="2"/>
        </w:numPr>
        <w:rPr>
          <w:rFonts w:ascii="Times New Roman" w:hAnsi="Times New Roman" w:cs="Times New Roman"/>
        </w:rPr>
      </w:pPr>
      <w:r>
        <w:rPr>
          <w:rFonts w:ascii="Times New Roman" w:hAnsi="Times New Roman" w:cs="Times New Roman"/>
        </w:rPr>
        <w:t>Kim Lacey, KeyBank</w:t>
      </w:r>
    </w:p>
    <w:p w14:paraId="6946D495" w14:textId="044ED236" w:rsidR="000A0D67" w:rsidRDefault="000A0D67" w:rsidP="000A0D67">
      <w:pPr>
        <w:pStyle w:val="ListParagraph"/>
        <w:numPr>
          <w:ilvl w:val="0"/>
          <w:numId w:val="2"/>
        </w:numPr>
        <w:rPr>
          <w:rFonts w:ascii="Times New Roman" w:hAnsi="Times New Roman" w:cs="Times New Roman"/>
        </w:rPr>
      </w:pPr>
      <w:r>
        <w:rPr>
          <w:rFonts w:ascii="Times New Roman" w:hAnsi="Times New Roman" w:cs="Times New Roman"/>
        </w:rPr>
        <w:t>Mark Twombly, KeyBank</w:t>
      </w:r>
    </w:p>
    <w:p w14:paraId="5D564CA4" w14:textId="77777777" w:rsidR="000A0D67" w:rsidRDefault="000A0D67" w:rsidP="000A0D67">
      <w:pPr>
        <w:pStyle w:val="ListParagraph"/>
        <w:numPr>
          <w:ilvl w:val="0"/>
          <w:numId w:val="2"/>
        </w:numPr>
        <w:rPr>
          <w:rFonts w:ascii="Times New Roman" w:hAnsi="Times New Roman" w:cs="Times New Roman"/>
        </w:rPr>
      </w:pPr>
      <w:r>
        <w:rPr>
          <w:rFonts w:ascii="Times New Roman" w:hAnsi="Times New Roman" w:cs="Times New Roman"/>
        </w:rPr>
        <w:t>Luke Martone, America’s Credit Unions</w:t>
      </w:r>
    </w:p>
    <w:p w14:paraId="52C71ABA" w14:textId="71921C96" w:rsidR="000A0D67" w:rsidRDefault="000A0D67" w:rsidP="000A0D67">
      <w:pPr>
        <w:pStyle w:val="ListParagraph"/>
        <w:numPr>
          <w:ilvl w:val="0"/>
          <w:numId w:val="2"/>
        </w:numPr>
        <w:rPr>
          <w:rFonts w:ascii="Times New Roman" w:hAnsi="Times New Roman" w:cs="Times New Roman"/>
        </w:rPr>
      </w:pPr>
      <w:r>
        <w:rPr>
          <w:rFonts w:ascii="Times New Roman" w:hAnsi="Times New Roman" w:cs="Times New Roman"/>
        </w:rPr>
        <w:t>Rhonda</w:t>
      </w:r>
      <w:r w:rsidRPr="007E79F9">
        <w:rPr>
          <w:rFonts w:ascii="Times New Roman" w:hAnsi="Times New Roman" w:cs="Times New Roman"/>
        </w:rPr>
        <w:t xml:space="preserve"> </w:t>
      </w:r>
      <w:r>
        <w:rPr>
          <w:rFonts w:ascii="Times New Roman" w:hAnsi="Times New Roman" w:cs="Times New Roman"/>
        </w:rPr>
        <w:t xml:space="preserve">Whitley, </w:t>
      </w:r>
      <w:r w:rsidR="009A4BF1">
        <w:rPr>
          <w:rFonts w:ascii="Times New Roman" w:hAnsi="Times New Roman" w:cs="Times New Roman"/>
        </w:rPr>
        <w:t>Independent Community Bankers of America (</w:t>
      </w:r>
      <w:r>
        <w:rPr>
          <w:rFonts w:ascii="Times New Roman" w:hAnsi="Times New Roman" w:cs="Times New Roman"/>
        </w:rPr>
        <w:t>ICBA</w:t>
      </w:r>
      <w:r w:rsidR="009A4BF1">
        <w:rPr>
          <w:rFonts w:ascii="Times New Roman" w:hAnsi="Times New Roman" w:cs="Times New Roman"/>
        </w:rPr>
        <w:t>)</w:t>
      </w:r>
    </w:p>
    <w:p w14:paraId="3B5921AB" w14:textId="77777777" w:rsidR="000A0D67" w:rsidRDefault="000A0D67" w:rsidP="000A0D67">
      <w:pPr>
        <w:pStyle w:val="ListParagraph"/>
        <w:numPr>
          <w:ilvl w:val="0"/>
          <w:numId w:val="2"/>
        </w:numPr>
        <w:rPr>
          <w:rFonts w:ascii="Times New Roman" w:hAnsi="Times New Roman" w:cs="Times New Roman"/>
        </w:rPr>
      </w:pPr>
      <w:r>
        <w:rPr>
          <w:rFonts w:ascii="Times New Roman" w:hAnsi="Times New Roman" w:cs="Times New Roman"/>
        </w:rPr>
        <w:t xml:space="preserve">Jennifer </w:t>
      </w:r>
      <w:proofErr w:type="spellStart"/>
      <w:r>
        <w:rPr>
          <w:rFonts w:ascii="Times New Roman" w:hAnsi="Times New Roman" w:cs="Times New Roman"/>
        </w:rPr>
        <w:t>Papenhagen</w:t>
      </w:r>
      <w:proofErr w:type="spellEnd"/>
      <w:r>
        <w:rPr>
          <w:rFonts w:ascii="Times New Roman" w:hAnsi="Times New Roman" w:cs="Times New Roman"/>
        </w:rPr>
        <w:t>, Fifth Third Bank</w:t>
      </w:r>
    </w:p>
    <w:p w14:paraId="656D7DA0" w14:textId="77777777" w:rsidR="000A0D67" w:rsidRDefault="000A0D67" w:rsidP="000A0D67">
      <w:pPr>
        <w:pStyle w:val="ListParagraph"/>
        <w:numPr>
          <w:ilvl w:val="0"/>
          <w:numId w:val="2"/>
        </w:numPr>
        <w:rPr>
          <w:rFonts w:ascii="Times New Roman" w:hAnsi="Times New Roman" w:cs="Times New Roman"/>
        </w:rPr>
      </w:pPr>
      <w:r>
        <w:rPr>
          <w:rFonts w:ascii="Times New Roman" w:hAnsi="Times New Roman" w:cs="Times New Roman"/>
        </w:rPr>
        <w:t>Patricia O’Connell, America’s Credit Unions</w:t>
      </w:r>
    </w:p>
    <w:p w14:paraId="34796188" w14:textId="77777777" w:rsidR="000A0D67" w:rsidRPr="004E3914" w:rsidRDefault="000A0D67" w:rsidP="000A0D67">
      <w:pPr>
        <w:pStyle w:val="ListParagraph"/>
        <w:numPr>
          <w:ilvl w:val="0"/>
          <w:numId w:val="2"/>
        </w:numPr>
        <w:rPr>
          <w:rFonts w:ascii="Times New Roman" w:hAnsi="Times New Roman" w:cs="Times New Roman"/>
        </w:rPr>
      </w:pPr>
      <w:r>
        <w:rPr>
          <w:rFonts w:ascii="Times New Roman" w:hAnsi="Times New Roman" w:cs="Times New Roman"/>
        </w:rPr>
        <w:t>Tawny Giles, Fifth Third Bank</w:t>
      </w:r>
    </w:p>
    <w:p w14:paraId="6D051954" w14:textId="4DF6E78E" w:rsidR="009638C7" w:rsidRDefault="007C08B0">
      <w:pPr>
        <w:rPr>
          <w:rFonts w:ascii="Times New Roman" w:hAnsi="Times New Roman" w:cs="Times New Roman"/>
        </w:rPr>
      </w:pPr>
      <w:r>
        <w:rPr>
          <w:rFonts w:ascii="Times New Roman" w:hAnsi="Times New Roman" w:cs="Times New Roman"/>
        </w:rPr>
        <w:t>SUMMARY</w:t>
      </w:r>
    </w:p>
    <w:p w14:paraId="2BAD3007" w14:textId="02874855" w:rsidR="00FF380A" w:rsidRDefault="00FF380A">
      <w:pPr>
        <w:rPr>
          <w:rFonts w:ascii="Times New Roman" w:hAnsi="Times New Roman" w:cs="Times New Roman"/>
        </w:rPr>
      </w:pPr>
      <w:r>
        <w:rPr>
          <w:rFonts w:ascii="Times New Roman" w:hAnsi="Times New Roman" w:cs="Times New Roman"/>
        </w:rPr>
        <w:t xml:space="preserve">FinCEN noted at the outset that we are currently in the comment period so participants should be aware that we are taking notes and will include the notes in the public comment file.  </w:t>
      </w:r>
      <w:r w:rsidR="009D630A" w:rsidRPr="009D630A">
        <w:rPr>
          <w:rFonts w:ascii="Times New Roman" w:hAnsi="Times New Roman" w:cs="Times New Roman"/>
        </w:rPr>
        <w:t xml:space="preserve">FinCEN also explained that it would not be providing substantive remarks on the rule during the listening session and encouraged participants to submit comments through the Federal Register.  </w:t>
      </w:r>
      <w:r>
        <w:rPr>
          <w:rFonts w:ascii="Times New Roman" w:hAnsi="Times New Roman" w:cs="Times New Roman"/>
        </w:rPr>
        <w:t>FinCEN then asked for any reaction or general comments on the Program NPRM.</w:t>
      </w:r>
    </w:p>
    <w:p w14:paraId="61DD8B9A" w14:textId="6CF5C9CB" w:rsidR="009D5CC3" w:rsidRDefault="009D5CC3">
      <w:pPr>
        <w:rPr>
          <w:rFonts w:ascii="Times New Roman" w:hAnsi="Times New Roman" w:cs="Times New Roman"/>
        </w:rPr>
      </w:pPr>
      <w:r>
        <w:rPr>
          <w:rFonts w:ascii="Times New Roman" w:hAnsi="Times New Roman" w:cs="Times New Roman"/>
        </w:rPr>
        <w:lastRenderedPageBreak/>
        <w:t xml:space="preserve">KeyBank appreciated the mention of effectiveness in the Program NPRM but </w:t>
      </w:r>
      <w:r w:rsidR="0031055E">
        <w:rPr>
          <w:rFonts w:ascii="Times New Roman" w:hAnsi="Times New Roman" w:cs="Times New Roman"/>
        </w:rPr>
        <w:t xml:space="preserve">stated that </w:t>
      </w:r>
      <w:r>
        <w:rPr>
          <w:rFonts w:ascii="Times New Roman" w:hAnsi="Times New Roman" w:cs="Times New Roman"/>
        </w:rPr>
        <w:t>it would be helpful to have a definition of what effectiveness means and how it is measured, or at the very least what it does</w:t>
      </w:r>
      <w:r w:rsidR="0031055E">
        <w:rPr>
          <w:rFonts w:ascii="Times New Roman" w:hAnsi="Times New Roman" w:cs="Times New Roman"/>
        </w:rPr>
        <w:t xml:space="preserve"> </w:t>
      </w:r>
      <w:r>
        <w:rPr>
          <w:rFonts w:ascii="Times New Roman" w:hAnsi="Times New Roman" w:cs="Times New Roman"/>
        </w:rPr>
        <w:t>n</w:t>
      </w:r>
      <w:r w:rsidR="0031055E">
        <w:rPr>
          <w:rFonts w:ascii="Times New Roman" w:hAnsi="Times New Roman" w:cs="Times New Roman"/>
        </w:rPr>
        <w:t>o</w:t>
      </w:r>
      <w:r>
        <w:rPr>
          <w:rFonts w:ascii="Times New Roman" w:hAnsi="Times New Roman" w:cs="Times New Roman"/>
        </w:rPr>
        <w:t xml:space="preserve">t mean.  </w:t>
      </w:r>
      <w:r w:rsidR="000C736B">
        <w:rPr>
          <w:rFonts w:ascii="Times New Roman" w:hAnsi="Times New Roman" w:cs="Times New Roman"/>
        </w:rPr>
        <w:t>KeyBank conveyed that f</w:t>
      </w:r>
      <w:r w:rsidR="00237ABA">
        <w:rPr>
          <w:rFonts w:ascii="Times New Roman" w:hAnsi="Times New Roman" w:cs="Times New Roman"/>
        </w:rPr>
        <w:t>inancial institutions</w:t>
      </w:r>
      <w:r w:rsidR="0054313A">
        <w:rPr>
          <w:rFonts w:ascii="Times New Roman" w:hAnsi="Times New Roman" w:cs="Times New Roman"/>
        </w:rPr>
        <w:t xml:space="preserve"> want to ensure their </w:t>
      </w:r>
      <w:r w:rsidR="00F069C6">
        <w:rPr>
          <w:rFonts w:ascii="Times New Roman" w:hAnsi="Times New Roman" w:cs="Times New Roman"/>
        </w:rPr>
        <w:t xml:space="preserve">AML/CFT </w:t>
      </w:r>
      <w:r w:rsidR="0054313A">
        <w:rPr>
          <w:rFonts w:ascii="Times New Roman" w:hAnsi="Times New Roman" w:cs="Times New Roman"/>
        </w:rPr>
        <w:t>programs are identifying and reporting suspicious activity to the government and exiting the customer if there is something illegal</w:t>
      </w:r>
      <w:r w:rsidR="00F069C6">
        <w:rPr>
          <w:rFonts w:ascii="Times New Roman" w:hAnsi="Times New Roman" w:cs="Times New Roman"/>
        </w:rPr>
        <w:t>.  However, KeyBank explained that, at times, a gray area can exist where it is not clear that an activity is illegal</w:t>
      </w:r>
      <w:r w:rsidR="0023194B">
        <w:rPr>
          <w:rFonts w:ascii="Times New Roman" w:hAnsi="Times New Roman" w:cs="Times New Roman"/>
        </w:rPr>
        <w:t xml:space="preserve">.  </w:t>
      </w:r>
      <w:r w:rsidR="00FE1515">
        <w:rPr>
          <w:rFonts w:ascii="Times New Roman" w:hAnsi="Times New Roman" w:cs="Times New Roman"/>
        </w:rPr>
        <w:t xml:space="preserve">KeyBank believes that </w:t>
      </w:r>
      <w:r w:rsidR="0054313A">
        <w:rPr>
          <w:rFonts w:ascii="Times New Roman" w:hAnsi="Times New Roman" w:cs="Times New Roman"/>
        </w:rPr>
        <w:t>FinCEN should clarify that effectiveness should not be measured by 20/20 hindsight</w:t>
      </w:r>
      <w:r w:rsidR="00FE1515">
        <w:rPr>
          <w:rFonts w:ascii="Times New Roman" w:hAnsi="Times New Roman" w:cs="Times New Roman"/>
        </w:rPr>
        <w:t xml:space="preserve"> –</w:t>
      </w:r>
      <w:r w:rsidR="007A346C">
        <w:rPr>
          <w:rFonts w:ascii="Times New Roman" w:hAnsi="Times New Roman" w:cs="Times New Roman"/>
        </w:rPr>
        <w:t xml:space="preserve"> </w:t>
      </w:r>
      <w:r w:rsidR="000D2F6D">
        <w:rPr>
          <w:rFonts w:ascii="Times New Roman" w:hAnsi="Times New Roman" w:cs="Times New Roman"/>
        </w:rPr>
        <w:t>financial institutions</w:t>
      </w:r>
      <w:r w:rsidR="007A346C">
        <w:rPr>
          <w:rFonts w:ascii="Times New Roman" w:hAnsi="Times New Roman" w:cs="Times New Roman"/>
        </w:rPr>
        <w:t xml:space="preserve"> do the best they can</w:t>
      </w:r>
      <w:r w:rsidR="0031055E">
        <w:rPr>
          <w:rFonts w:ascii="Times New Roman" w:hAnsi="Times New Roman" w:cs="Times New Roman"/>
        </w:rPr>
        <w:t>,</w:t>
      </w:r>
      <w:r w:rsidR="007A346C">
        <w:rPr>
          <w:rFonts w:ascii="Times New Roman" w:hAnsi="Times New Roman" w:cs="Times New Roman"/>
        </w:rPr>
        <w:t xml:space="preserve"> but </w:t>
      </w:r>
      <w:r w:rsidR="00FE1515">
        <w:rPr>
          <w:rFonts w:ascii="Times New Roman" w:hAnsi="Times New Roman" w:cs="Times New Roman"/>
        </w:rPr>
        <w:t xml:space="preserve">they are not going to get it right 100 percent of the time.  </w:t>
      </w:r>
    </w:p>
    <w:p w14:paraId="2FF47710" w14:textId="48ACDC38" w:rsidR="00FE1515" w:rsidRDefault="00FE1515">
      <w:pPr>
        <w:rPr>
          <w:rFonts w:ascii="Times New Roman" w:hAnsi="Times New Roman" w:cs="Times New Roman"/>
        </w:rPr>
      </w:pPr>
      <w:r>
        <w:rPr>
          <w:rFonts w:ascii="Times New Roman" w:hAnsi="Times New Roman" w:cs="Times New Roman"/>
        </w:rPr>
        <w:t xml:space="preserve">Marquette Bank </w:t>
      </w:r>
      <w:r w:rsidR="0031055E">
        <w:rPr>
          <w:rFonts w:ascii="Times New Roman" w:hAnsi="Times New Roman" w:cs="Times New Roman"/>
        </w:rPr>
        <w:t xml:space="preserve">stated </w:t>
      </w:r>
      <w:r>
        <w:rPr>
          <w:rFonts w:ascii="Times New Roman" w:hAnsi="Times New Roman" w:cs="Times New Roman"/>
        </w:rPr>
        <w:t>that in the NPRM there are examples of distribution channels</w:t>
      </w:r>
      <w:r w:rsidR="0031055E">
        <w:rPr>
          <w:rFonts w:ascii="Times New Roman" w:hAnsi="Times New Roman" w:cs="Times New Roman"/>
        </w:rPr>
        <w:t>,</w:t>
      </w:r>
      <w:r>
        <w:rPr>
          <w:rFonts w:ascii="Times New Roman" w:hAnsi="Times New Roman" w:cs="Times New Roman"/>
        </w:rPr>
        <w:t xml:space="preserve"> but distribution channels at </w:t>
      </w:r>
      <w:r w:rsidR="000D2F6D">
        <w:rPr>
          <w:rFonts w:ascii="Times New Roman" w:hAnsi="Times New Roman" w:cs="Times New Roman"/>
        </w:rPr>
        <w:t>financial institutions</w:t>
      </w:r>
      <w:r>
        <w:rPr>
          <w:rFonts w:ascii="Times New Roman" w:hAnsi="Times New Roman" w:cs="Times New Roman"/>
        </w:rPr>
        <w:t xml:space="preserve"> differ</w:t>
      </w:r>
      <w:r w:rsidR="0031055E">
        <w:rPr>
          <w:rFonts w:ascii="Times New Roman" w:hAnsi="Times New Roman" w:cs="Times New Roman"/>
        </w:rPr>
        <w:t>;</w:t>
      </w:r>
      <w:r>
        <w:rPr>
          <w:rFonts w:ascii="Times New Roman" w:hAnsi="Times New Roman" w:cs="Times New Roman"/>
        </w:rPr>
        <w:t xml:space="preserve"> </w:t>
      </w:r>
      <w:r w:rsidR="0031055E">
        <w:rPr>
          <w:rFonts w:ascii="Times New Roman" w:hAnsi="Times New Roman" w:cs="Times New Roman"/>
        </w:rPr>
        <w:t xml:space="preserve">thus, </w:t>
      </w:r>
      <w:r w:rsidR="008F327F">
        <w:rPr>
          <w:rFonts w:ascii="Times New Roman" w:hAnsi="Times New Roman" w:cs="Times New Roman"/>
        </w:rPr>
        <w:t xml:space="preserve">it would be helpful if </w:t>
      </w:r>
      <w:r w:rsidR="00863700">
        <w:rPr>
          <w:rFonts w:ascii="Times New Roman" w:hAnsi="Times New Roman" w:cs="Times New Roman"/>
        </w:rPr>
        <w:t>FinCEN</w:t>
      </w:r>
      <w:r w:rsidR="008F327F">
        <w:rPr>
          <w:rFonts w:ascii="Times New Roman" w:hAnsi="Times New Roman" w:cs="Times New Roman"/>
        </w:rPr>
        <w:t xml:space="preserve"> provided context on </w:t>
      </w:r>
      <w:r w:rsidR="0031055E">
        <w:rPr>
          <w:rFonts w:ascii="Times New Roman" w:hAnsi="Times New Roman" w:cs="Times New Roman"/>
        </w:rPr>
        <w:t xml:space="preserve">how to identify </w:t>
      </w:r>
      <w:r w:rsidR="00863700">
        <w:rPr>
          <w:rFonts w:ascii="Times New Roman" w:hAnsi="Times New Roman" w:cs="Times New Roman"/>
        </w:rPr>
        <w:t>“</w:t>
      </w:r>
      <w:r w:rsidR="0031055E">
        <w:rPr>
          <w:rFonts w:ascii="Times New Roman" w:hAnsi="Times New Roman" w:cs="Times New Roman"/>
        </w:rPr>
        <w:t>distribution channel</w:t>
      </w:r>
      <w:r w:rsidR="00863700">
        <w:rPr>
          <w:rFonts w:ascii="Times New Roman" w:hAnsi="Times New Roman" w:cs="Times New Roman"/>
        </w:rPr>
        <w:t>s”</w:t>
      </w:r>
      <w:r w:rsidR="008F327F">
        <w:rPr>
          <w:rFonts w:ascii="Times New Roman" w:hAnsi="Times New Roman" w:cs="Times New Roman"/>
        </w:rPr>
        <w:t xml:space="preserve"> so </w:t>
      </w:r>
      <w:r w:rsidR="0031055E">
        <w:rPr>
          <w:rFonts w:ascii="Times New Roman" w:hAnsi="Times New Roman" w:cs="Times New Roman"/>
        </w:rPr>
        <w:t xml:space="preserve">that </w:t>
      </w:r>
      <w:r w:rsidR="000D2F6D">
        <w:rPr>
          <w:rFonts w:ascii="Times New Roman" w:hAnsi="Times New Roman" w:cs="Times New Roman"/>
        </w:rPr>
        <w:t>financial institutions</w:t>
      </w:r>
      <w:r w:rsidR="008F327F">
        <w:rPr>
          <w:rFonts w:ascii="Times New Roman" w:hAnsi="Times New Roman" w:cs="Times New Roman"/>
        </w:rPr>
        <w:t xml:space="preserve"> </w:t>
      </w:r>
      <w:r w:rsidR="00863700">
        <w:rPr>
          <w:rFonts w:ascii="Times New Roman" w:hAnsi="Times New Roman" w:cs="Times New Roman"/>
        </w:rPr>
        <w:t xml:space="preserve">could </w:t>
      </w:r>
      <w:r w:rsidR="008F327F">
        <w:rPr>
          <w:rFonts w:ascii="Times New Roman" w:hAnsi="Times New Roman" w:cs="Times New Roman"/>
        </w:rPr>
        <w:t xml:space="preserve">assess risk appropriately.  </w:t>
      </w:r>
      <w:r w:rsidR="00863700">
        <w:rPr>
          <w:rFonts w:ascii="Times New Roman" w:hAnsi="Times New Roman" w:cs="Times New Roman"/>
        </w:rPr>
        <w:t>Marquette Bank stated i</w:t>
      </w:r>
      <w:r w:rsidR="008F327F">
        <w:rPr>
          <w:rFonts w:ascii="Times New Roman" w:hAnsi="Times New Roman" w:cs="Times New Roman"/>
        </w:rPr>
        <w:t xml:space="preserve">t would also be helpful </w:t>
      </w:r>
      <w:r w:rsidR="00863700">
        <w:rPr>
          <w:rFonts w:ascii="Times New Roman" w:hAnsi="Times New Roman" w:cs="Times New Roman"/>
        </w:rPr>
        <w:t xml:space="preserve">for FinCEN </w:t>
      </w:r>
      <w:r w:rsidR="008F327F">
        <w:rPr>
          <w:rFonts w:ascii="Times New Roman" w:hAnsi="Times New Roman" w:cs="Times New Roman"/>
        </w:rPr>
        <w:t xml:space="preserve">to provide more context </w:t>
      </w:r>
      <w:r w:rsidR="00863700">
        <w:rPr>
          <w:rFonts w:ascii="Times New Roman" w:hAnsi="Times New Roman" w:cs="Times New Roman"/>
        </w:rPr>
        <w:t xml:space="preserve">about </w:t>
      </w:r>
      <w:r w:rsidR="008F327F">
        <w:rPr>
          <w:rFonts w:ascii="Times New Roman" w:hAnsi="Times New Roman" w:cs="Times New Roman"/>
        </w:rPr>
        <w:t xml:space="preserve">what </w:t>
      </w:r>
      <w:r w:rsidR="00863700">
        <w:rPr>
          <w:rFonts w:ascii="Times New Roman" w:hAnsi="Times New Roman" w:cs="Times New Roman"/>
        </w:rPr>
        <w:t>“</w:t>
      </w:r>
      <w:r w:rsidR="008F327F">
        <w:rPr>
          <w:rFonts w:ascii="Times New Roman" w:hAnsi="Times New Roman" w:cs="Times New Roman"/>
        </w:rPr>
        <w:t>intermediaries</w:t>
      </w:r>
      <w:r w:rsidR="00863700">
        <w:rPr>
          <w:rFonts w:ascii="Times New Roman" w:hAnsi="Times New Roman" w:cs="Times New Roman"/>
        </w:rPr>
        <w:t>” the proposed rule expected financial institutions to consider when assessing risk</w:t>
      </w:r>
      <w:r w:rsidR="008F327F">
        <w:rPr>
          <w:rFonts w:ascii="Times New Roman" w:hAnsi="Times New Roman" w:cs="Times New Roman"/>
        </w:rPr>
        <w:t xml:space="preserve">. </w:t>
      </w:r>
      <w:r w:rsidR="00FD7FA1">
        <w:rPr>
          <w:rFonts w:ascii="Times New Roman" w:hAnsi="Times New Roman" w:cs="Times New Roman"/>
        </w:rPr>
        <w:t xml:space="preserve"> KeyBank agreed that</w:t>
      </w:r>
      <w:r w:rsidR="00847A5F">
        <w:rPr>
          <w:rFonts w:ascii="Times New Roman" w:hAnsi="Times New Roman" w:cs="Times New Roman"/>
        </w:rPr>
        <w:t xml:space="preserve"> it would be helpful </w:t>
      </w:r>
      <w:r w:rsidR="005B79D1">
        <w:rPr>
          <w:rFonts w:ascii="Times New Roman" w:hAnsi="Times New Roman" w:cs="Times New Roman"/>
        </w:rPr>
        <w:t xml:space="preserve">for the NPRM </w:t>
      </w:r>
      <w:r w:rsidR="00847A5F">
        <w:rPr>
          <w:rFonts w:ascii="Times New Roman" w:hAnsi="Times New Roman" w:cs="Times New Roman"/>
        </w:rPr>
        <w:t>to</w:t>
      </w:r>
      <w:r w:rsidR="005B79D1">
        <w:rPr>
          <w:rFonts w:ascii="Times New Roman" w:hAnsi="Times New Roman" w:cs="Times New Roman"/>
        </w:rPr>
        <w:t xml:space="preserve"> include</w:t>
      </w:r>
      <w:r w:rsidR="00706FE9">
        <w:rPr>
          <w:rFonts w:ascii="Times New Roman" w:hAnsi="Times New Roman" w:cs="Times New Roman"/>
        </w:rPr>
        <w:t xml:space="preserve"> more</w:t>
      </w:r>
      <w:r w:rsidR="00FD7FA1">
        <w:rPr>
          <w:rFonts w:ascii="Times New Roman" w:hAnsi="Times New Roman" w:cs="Times New Roman"/>
        </w:rPr>
        <w:t xml:space="preserve"> examples of </w:t>
      </w:r>
      <w:r w:rsidR="00847A5F">
        <w:rPr>
          <w:rFonts w:ascii="Times New Roman" w:hAnsi="Times New Roman" w:cs="Times New Roman"/>
        </w:rPr>
        <w:t>distribution channels and intermediaries since they view investment advisors and Banking as a Service as intermediaries</w:t>
      </w:r>
      <w:r w:rsidR="00310F6F">
        <w:rPr>
          <w:rFonts w:ascii="Times New Roman" w:hAnsi="Times New Roman" w:cs="Times New Roman"/>
        </w:rPr>
        <w:t xml:space="preserve">.  </w:t>
      </w:r>
      <w:r w:rsidR="00FD7FA1">
        <w:rPr>
          <w:rFonts w:ascii="Times New Roman" w:hAnsi="Times New Roman" w:cs="Times New Roman"/>
        </w:rPr>
        <w:t>Marquette Bank also believes that it would be helpful for the National</w:t>
      </w:r>
      <w:r w:rsidR="001D5C6D">
        <w:rPr>
          <w:rFonts w:ascii="Times New Roman" w:hAnsi="Times New Roman" w:cs="Times New Roman"/>
        </w:rPr>
        <w:t xml:space="preserve"> AML/CFT</w:t>
      </w:r>
      <w:r w:rsidR="00FD7FA1">
        <w:rPr>
          <w:rFonts w:ascii="Times New Roman" w:hAnsi="Times New Roman" w:cs="Times New Roman"/>
        </w:rPr>
        <w:t xml:space="preserve"> Priorities</w:t>
      </w:r>
      <w:r w:rsidR="001D5C6D">
        <w:rPr>
          <w:rStyle w:val="FootnoteReference"/>
          <w:rFonts w:ascii="Times New Roman" w:hAnsi="Times New Roman" w:cs="Times New Roman"/>
        </w:rPr>
        <w:footnoteReference w:id="2"/>
      </w:r>
      <w:r w:rsidR="00FD7FA1">
        <w:rPr>
          <w:rFonts w:ascii="Times New Roman" w:hAnsi="Times New Roman" w:cs="Times New Roman"/>
        </w:rPr>
        <w:t xml:space="preserve"> to have definitions </w:t>
      </w:r>
      <w:r w:rsidR="00B757E3">
        <w:rPr>
          <w:rFonts w:ascii="Times New Roman" w:hAnsi="Times New Roman" w:cs="Times New Roman"/>
        </w:rPr>
        <w:t>because</w:t>
      </w:r>
      <w:r w:rsidR="00FD7FA1">
        <w:rPr>
          <w:rFonts w:ascii="Times New Roman" w:hAnsi="Times New Roman" w:cs="Times New Roman"/>
        </w:rPr>
        <w:t xml:space="preserve"> </w:t>
      </w:r>
      <w:r w:rsidR="00B757E3">
        <w:rPr>
          <w:rFonts w:ascii="Times New Roman" w:hAnsi="Times New Roman" w:cs="Times New Roman"/>
        </w:rPr>
        <w:t xml:space="preserve">terms like </w:t>
      </w:r>
      <w:r w:rsidR="00FD7FA1">
        <w:rPr>
          <w:rFonts w:ascii="Times New Roman" w:hAnsi="Times New Roman" w:cs="Times New Roman"/>
        </w:rPr>
        <w:t xml:space="preserve">“fraud” </w:t>
      </w:r>
      <w:r w:rsidR="00B757E3">
        <w:rPr>
          <w:rFonts w:ascii="Times New Roman" w:hAnsi="Times New Roman" w:cs="Times New Roman"/>
        </w:rPr>
        <w:t>are</w:t>
      </w:r>
      <w:r w:rsidR="00FD7FA1">
        <w:rPr>
          <w:rFonts w:ascii="Times New Roman" w:hAnsi="Times New Roman" w:cs="Times New Roman"/>
        </w:rPr>
        <w:t xml:space="preserve"> very broad.</w:t>
      </w:r>
    </w:p>
    <w:p w14:paraId="5795FE75" w14:textId="405F589F" w:rsidR="00FD7FA1" w:rsidRDefault="00E50D56">
      <w:pPr>
        <w:rPr>
          <w:rFonts w:ascii="Times New Roman" w:hAnsi="Times New Roman" w:cs="Times New Roman"/>
        </w:rPr>
      </w:pPr>
      <w:r>
        <w:rPr>
          <w:rFonts w:ascii="Times New Roman" w:hAnsi="Times New Roman" w:cs="Times New Roman"/>
        </w:rPr>
        <w:t xml:space="preserve">Fifth Third Bank </w:t>
      </w:r>
      <w:r w:rsidR="005B79D1">
        <w:rPr>
          <w:rFonts w:ascii="Times New Roman" w:hAnsi="Times New Roman" w:cs="Times New Roman"/>
        </w:rPr>
        <w:t>explained</w:t>
      </w:r>
      <w:r>
        <w:rPr>
          <w:rFonts w:ascii="Times New Roman" w:hAnsi="Times New Roman" w:cs="Times New Roman"/>
        </w:rPr>
        <w:t xml:space="preserve"> that</w:t>
      </w:r>
      <w:r w:rsidR="00055A38">
        <w:rPr>
          <w:rFonts w:ascii="Times New Roman" w:hAnsi="Times New Roman" w:cs="Times New Roman"/>
        </w:rPr>
        <w:t xml:space="preserve">, in </w:t>
      </w:r>
      <w:r w:rsidR="00F069C6">
        <w:rPr>
          <w:rFonts w:ascii="Times New Roman" w:hAnsi="Times New Roman" w:cs="Times New Roman"/>
        </w:rPr>
        <w:t>its</w:t>
      </w:r>
      <w:r w:rsidR="00055A38">
        <w:rPr>
          <w:rFonts w:ascii="Times New Roman" w:hAnsi="Times New Roman" w:cs="Times New Roman"/>
        </w:rPr>
        <w:t xml:space="preserve"> view,</w:t>
      </w:r>
      <w:r>
        <w:rPr>
          <w:rFonts w:ascii="Times New Roman" w:hAnsi="Times New Roman" w:cs="Times New Roman"/>
        </w:rPr>
        <w:t xml:space="preserve"> to date</w:t>
      </w:r>
      <w:r w:rsidR="00F069C6">
        <w:rPr>
          <w:rFonts w:ascii="Times New Roman" w:hAnsi="Times New Roman" w:cs="Times New Roman"/>
        </w:rPr>
        <w:t>,</w:t>
      </w:r>
      <w:r>
        <w:rPr>
          <w:rFonts w:ascii="Times New Roman" w:hAnsi="Times New Roman" w:cs="Times New Roman"/>
        </w:rPr>
        <w:t xml:space="preserve"> </w:t>
      </w:r>
      <w:r w:rsidR="000D2F6D">
        <w:rPr>
          <w:rFonts w:ascii="Times New Roman" w:hAnsi="Times New Roman" w:cs="Times New Roman"/>
        </w:rPr>
        <w:t>financial institutions</w:t>
      </w:r>
      <w:r>
        <w:rPr>
          <w:rFonts w:ascii="Times New Roman" w:hAnsi="Times New Roman" w:cs="Times New Roman"/>
        </w:rPr>
        <w:t xml:space="preserve"> have had flexibility in how they conduct </w:t>
      </w:r>
      <w:r w:rsidR="005B79D1">
        <w:rPr>
          <w:rFonts w:ascii="Times New Roman" w:hAnsi="Times New Roman" w:cs="Times New Roman"/>
        </w:rPr>
        <w:t>risk assessments</w:t>
      </w:r>
      <w:r>
        <w:rPr>
          <w:rFonts w:ascii="Times New Roman" w:hAnsi="Times New Roman" w:cs="Times New Roman"/>
        </w:rPr>
        <w:t xml:space="preserve"> and what kind of data they use</w:t>
      </w:r>
      <w:r w:rsidR="0021021E">
        <w:rPr>
          <w:rFonts w:ascii="Times New Roman" w:hAnsi="Times New Roman" w:cs="Times New Roman"/>
        </w:rPr>
        <w:t xml:space="preserve">. </w:t>
      </w:r>
      <w:r w:rsidR="00B27409">
        <w:rPr>
          <w:rFonts w:ascii="Times New Roman" w:hAnsi="Times New Roman" w:cs="Times New Roman"/>
        </w:rPr>
        <w:t xml:space="preserve"> Fifth Third Bank asked </w:t>
      </w:r>
      <w:r w:rsidR="00493DEB">
        <w:rPr>
          <w:rFonts w:ascii="Times New Roman" w:hAnsi="Times New Roman" w:cs="Times New Roman"/>
        </w:rPr>
        <w:t xml:space="preserve">if the Federal Banking Agencies plan to update the </w:t>
      </w:r>
      <w:r w:rsidR="00F403ED" w:rsidRPr="00F403ED">
        <w:rPr>
          <w:rFonts w:ascii="Times New Roman" w:hAnsi="Times New Roman" w:cs="Times New Roman"/>
        </w:rPr>
        <w:t>Federal Financial Institutions Examination Counci</w:t>
      </w:r>
      <w:r w:rsidR="00F403ED">
        <w:rPr>
          <w:rFonts w:ascii="Times New Roman" w:hAnsi="Times New Roman" w:cs="Times New Roman"/>
        </w:rPr>
        <w:t>l</w:t>
      </w:r>
      <w:r w:rsidR="00F403ED" w:rsidRPr="00F403ED">
        <w:rPr>
          <w:rFonts w:ascii="Times New Roman" w:hAnsi="Times New Roman" w:cs="Times New Roman"/>
        </w:rPr>
        <w:t xml:space="preserve"> </w:t>
      </w:r>
      <w:r w:rsidR="00F403ED">
        <w:rPr>
          <w:rFonts w:ascii="Times New Roman" w:hAnsi="Times New Roman" w:cs="Times New Roman"/>
        </w:rPr>
        <w:t>(</w:t>
      </w:r>
      <w:r w:rsidR="00493DEB">
        <w:rPr>
          <w:rFonts w:ascii="Times New Roman" w:hAnsi="Times New Roman" w:cs="Times New Roman"/>
        </w:rPr>
        <w:t>FFIEC</w:t>
      </w:r>
      <w:r w:rsidR="00F403ED">
        <w:rPr>
          <w:rFonts w:ascii="Times New Roman" w:hAnsi="Times New Roman" w:cs="Times New Roman"/>
        </w:rPr>
        <w:t>)</w:t>
      </w:r>
      <w:r w:rsidR="00493DEB">
        <w:rPr>
          <w:rFonts w:ascii="Times New Roman" w:hAnsi="Times New Roman" w:cs="Times New Roman"/>
        </w:rPr>
        <w:t xml:space="preserve"> manual and </w:t>
      </w:r>
      <w:r w:rsidR="005B79D1">
        <w:rPr>
          <w:rFonts w:ascii="Times New Roman" w:hAnsi="Times New Roman" w:cs="Times New Roman"/>
        </w:rPr>
        <w:t xml:space="preserve">whether there </w:t>
      </w:r>
      <w:r w:rsidR="00055A38">
        <w:rPr>
          <w:rFonts w:ascii="Times New Roman" w:hAnsi="Times New Roman" w:cs="Times New Roman"/>
        </w:rPr>
        <w:t xml:space="preserve">would </w:t>
      </w:r>
      <w:r w:rsidR="005B79D1">
        <w:rPr>
          <w:rFonts w:ascii="Times New Roman" w:hAnsi="Times New Roman" w:cs="Times New Roman"/>
        </w:rPr>
        <w:t xml:space="preserve">be more </w:t>
      </w:r>
      <w:r w:rsidR="005C2F03">
        <w:rPr>
          <w:rFonts w:ascii="Times New Roman" w:hAnsi="Times New Roman" w:cs="Times New Roman"/>
        </w:rPr>
        <w:t>prescriptive requirements around</w:t>
      </w:r>
      <w:r w:rsidR="005B79D1">
        <w:rPr>
          <w:rFonts w:ascii="Times New Roman" w:hAnsi="Times New Roman" w:cs="Times New Roman"/>
        </w:rPr>
        <w:t xml:space="preserve"> quantitative analysis </w:t>
      </w:r>
      <w:r w:rsidR="005C2F03">
        <w:rPr>
          <w:rFonts w:ascii="Times New Roman" w:hAnsi="Times New Roman" w:cs="Times New Roman"/>
        </w:rPr>
        <w:t>in the risk assessment.</w:t>
      </w:r>
      <w:r w:rsidR="00B62456">
        <w:rPr>
          <w:rFonts w:ascii="Times New Roman" w:hAnsi="Times New Roman" w:cs="Times New Roman"/>
        </w:rPr>
        <w:t xml:space="preserve"> </w:t>
      </w:r>
      <w:r w:rsidR="008C2161">
        <w:rPr>
          <w:rFonts w:ascii="Times New Roman" w:hAnsi="Times New Roman" w:cs="Times New Roman"/>
        </w:rPr>
        <w:t xml:space="preserve"> </w:t>
      </w:r>
      <w:r w:rsidR="00B62456">
        <w:rPr>
          <w:rFonts w:ascii="Times New Roman" w:hAnsi="Times New Roman" w:cs="Times New Roman"/>
        </w:rPr>
        <w:t>FinCEN did not respond to the question.</w:t>
      </w:r>
    </w:p>
    <w:p w14:paraId="2C11D801" w14:textId="26C91601" w:rsidR="00237ABA" w:rsidRDefault="005B79D1">
      <w:pPr>
        <w:rPr>
          <w:rFonts w:ascii="Times New Roman" w:hAnsi="Times New Roman" w:cs="Times New Roman"/>
        </w:rPr>
      </w:pPr>
      <w:r>
        <w:rPr>
          <w:rFonts w:ascii="Times New Roman" w:hAnsi="Times New Roman" w:cs="Times New Roman"/>
        </w:rPr>
        <w:t xml:space="preserve">KeyBank requested a more explicit statement in the final rule that banks </w:t>
      </w:r>
      <w:proofErr w:type="gramStart"/>
      <w:r>
        <w:rPr>
          <w:rFonts w:ascii="Times New Roman" w:hAnsi="Times New Roman" w:cs="Times New Roman"/>
        </w:rPr>
        <w:t>are able to</w:t>
      </w:r>
      <w:proofErr w:type="gramEnd"/>
      <w:r>
        <w:rPr>
          <w:rFonts w:ascii="Times New Roman" w:hAnsi="Times New Roman" w:cs="Times New Roman"/>
        </w:rPr>
        <w:t xml:space="preserve"> reallocate resources from lower value work to higher value work since the industry is concerned that the NPRM’s requirements </w:t>
      </w:r>
      <w:r w:rsidR="00B62456">
        <w:rPr>
          <w:rFonts w:ascii="Times New Roman" w:hAnsi="Times New Roman" w:cs="Times New Roman"/>
        </w:rPr>
        <w:t xml:space="preserve">would be </w:t>
      </w:r>
      <w:r>
        <w:rPr>
          <w:rFonts w:ascii="Times New Roman" w:hAnsi="Times New Roman" w:cs="Times New Roman"/>
        </w:rPr>
        <w:t>additive instead of allowing reallocation of resources.</w:t>
      </w:r>
      <w:r w:rsidR="00894DB6">
        <w:rPr>
          <w:rFonts w:ascii="Times New Roman" w:hAnsi="Times New Roman" w:cs="Times New Roman"/>
        </w:rPr>
        <w:t xml:space="preserve">  Ke</w:t>
      </w:r>
      <w:r w:rsidR="005F6061">
        <w:rPr>
          <w:rFonts w:ascii="Times New Roman" w:hAnsi="Times New Roman" w:cs="Times New Roman"/>
        </w:rPr>
        <w:t xml:space="preserve">yBank believes that </w:t>
      </w:r>
      <w:r w:rsidR="00B62456">
        <w:rPr>
          <w:rFonts w:ascii="Times New Roman" w:hAnsi="Times New Roman" w:cs="Times New Roman"/>
        </w:rPr>
        <w:t xml:space="preserve">currently </w:t>
      </w:r>
      <w:r w:rsidR="005F6061">
        <w:rPr>
          <w:rFonts w:ascii="Times New Roman" w:hAnsi="Times New Roman" w:cs="Times New Roman"/>
        </w:rPr>
        <w:t>there is too much</w:t>
      </w:r>
      <w:r w:rsidR="00B62456">
        <w:rPr>
          <w:rFonts w:ascii="Times New Roman" w:hAnsi="Times New Roman" w:cs="Times New Roman"/>
        </w:rPr>
        <w:t xml:space="preserve"> of a</w:t>
      </w:r>
      <w:r w:rsidR="005F6061">
        <w:rPr>
          <w:rFonts w:ascii="Times New Roman" w:hAnsi="Times New Roman" w:cs="Times New Roman"/>
        </w:rPr>
        <w:t xml:space="preserve"> focus on administrative tasks instead of high-risk activity, and it would be helpful for the rule to explicitly empower banks to make more decisions about use of resources.  Fifth Third Bank agreed with this concern and stated that the rule should </w:t>
      </w:r>
      <w:r w:rsidR="00706FE9">
        <w:rPr>
          <w:rFonts w:ascii="Times New Roman" w:hAnsi="Times New Roman" w:cs="Times New Roman"/>
        </w:rPr>
        <w:t>allow</w:t>
      </w:r>
      <w:r w:rsidR="005F6061">
        <w:rPr>
          <w:rFonts w:ascii="Times New Roman" w:hAnsi="Times New Roman" w:cs="Times New Roman"/>
        </w:rPr>
        <w:t xml:space="preserve"> </w:t>
      </w:r>
      <w:r w:rsidR="000D2F6D">
        <w:rPr>
          <w:rFonts w:ascii="Times New Roman" w:hAnsi="Times New Roman" w:cs="Times New Roman"/>
        </w:rPr>
        <w:t>financial institutions</w:t>
      </w:r>
      <w:r w:rsidR="005F6061">
        <w:rPr>
          <w:rFonts w:ascii="Times New Roman" w:hAnsi="Times New Roman" w:cs="Times New Roman"/>
        </w:rPr>
        <w:t xml:space="preserve"> to direct more attention on higher risk customers since today </w:t>
      </w:r>
      <w:r w:rsidR="000D2F6D">
        <w:rPr>
          <w:rFonts w:ascii="Times New Roman" w:hAnsi="Times New Roman" w:cs="Times New Roman"/>
        </w:rPr>
        <w:t>financial institutions</w:t>
      </w:r>
      <w:r w:rsidR="005F6061">
        <w:rPr>
          <w:rFonts w:ascii="Times New Roman" w:hAnsi="Times New Roman" w:cs="Times New Roman"/>
        </w:rPr>
        <w:t xml:space="preserve"> are not filing the bulk of their </w:t>
      </w:r>
      <w:r w:rsidR="00F403ED">
        <w:rPr>
          <w:rFonts w:ascii="Times New Roman" w:hAnsi="Times New Roman" w:cs="Times New Roman"/>
        </w:rPr>
        <w:t>suspicious activity reports (</w:t>
      </w:r>
      <w:r w:rsidR="005F6061">
        <w:rPr>
          <w:rFonts w:ascii="Times New Roman" w:hAnsi="Times New Roman" w:cs="Times New Roman"/>
        </w:rPr>
        <w:t>SARs</w:t>
      </w:r>
      <w:r w:rsidR="00F403ED">
        <w:rPr>
          <w:rFonts w:ascii="Times New Roman" w:hAnsi="Times New Roman" w:cs="Times New Roman"/>
        </w:rPr>
        <w:t>)</w:t>
      </w:r>
      <w:r w:rsidR="005F6061">
        <w:rPr>
          <w:rFonts w:ascii="Times New Roman" w:hAnsi="Times New Roman" w:cs="Times New Roman"/>
        </w:rPr>
        <w:t xml:space="preserve"> on these</w:t>
      </w:r>
      <w:r w:rsidR="00B62456">
        <w:rPr>
          <w:rFonts w:ascii="Times New Roman" w:hAnsi="Times New Roman" w:cs="Times New Roman"/>
        </w:rPr>
        <w:t xml:space="preserve"> kinds of</w:t>
      </w:r>
      <w:r w:rsidR="005F6061">
        <w:rPr>
          <w:rFonts w:ascii="Times New Roman" w:hAnsi="Times New Roman" w:cs="Times New Roman"/>
        </w:rPr>
        <w:t xml:space="preserve"> customers. </w:t>
      </w:r>
      <w:r w:rsidR="00237ABA">
        <w:rPr>
          <w:rFonts w:ascii="Times New Roman" w:hAnsi="Times New Roman" w:cs="Times New Roman"/>
        </w:rPr>
        <w:t xml:space="preserve"> </w:t>
      </w:r>
    </w:p>
    <w:p w14:paraId="328072E0" w14:textId="33F998A8" w:rsidR="005F6061" w:rsidRDefault="00237ABA">
      <w:pPr>
        <w:rPr>
          <w:rFonts w:ascii="Times New Roman" w:hAnsi="Times New Roman" w:cs="Times New Roman"/>
        </w:rPr>
      </w:pPr>
      <w:r>
        <w:rPr>
          <w:rFonts w:ascii="Times New Roman" w:hAnsi="Times New Roman" w:cs="Times New Roman"/>
        </w:rPr>
        <w:t>FinCEN asked if there are any reactions to the proposed purpose statement, and KeyBank responded that it would be helpful to have some of that language in the regulation text.</w:t>
      </w:r>
    </w:p>
    <w:p w14:paraId="24B6E481" w14:textId="5AECA1F3" w:rsidR="00B41301" w:rsidRDefault="00237ABA">
      <w:pPr>
        <w:rPr>
          <w:rFonts w:ascii="Times New Roman" w:hAnsi="Times New Roman" w:cs="Times New Roman"/>
        </w:rPr>
      </w:pPr>
      <w:r>
        <w:rPr>
          <w:rFonts w:ascii="Times New Roman" w:hAnsi="Times New Roman" w:cs="Times New Roman"/>
        </w:rPr>
        <w:t>Marquette Bank asked if there was any consideration for extending the timeframe for the effective date from six months</w:t>
      </w:r>
      <w:r w:rsidR="007B02CB">
        <w:rPr>
          <w:rFonts w:ascii="Times New Roman" w:hAnsi="Times New Roman" w:cs="Times New Roman"/>
        </w:rPr>
        <w:t xml:space="preserve">.  </w:t>
      </w:r>
      <w:r w:rsidR="00717DB4">
        <w:rPr>
          <w:rFonts w:ascii="Times New Roman" w:hAnsi="Times New Roman" w:cs="Times New Roman"/>
        </w:rPr>
        <w:t xml:space="preserve">Marquette Bank </w:t>
      </w:r>
      <w:r w:rsidR="007B02CB">
        <w:rPr>
          <w:rFonts w:ascii="Times New Roman" w:hAnsi="Times New Roman" w:cs="Times New Roman"/>
        </w:rPr>
        <w:t>explained that</w:t>
      </w:r>
      <w:r w:rsidR="00055A38">
        <w:rPr>
          <w:rFonts w:ascii="Times New Roman" w:hAnsi="Times New Roman" w:cs="Times New Roman"/>
        </w:rPr>
        <w:t>,</w:t>
      </w:r>
      <w:r>
        <w:rPr>
          <w:rFonts w:ascii="Times New Roman" w:hAnsi="Times New Roman" w:cs="Times New Roman"/>
        </w:rPr>
        <w:t xml:space="preserve"> although </w:t>
      </w:r>
      <w:r w:rsidR="00717DB4">
        <w:rPr>
          <w:rFonts w:ascii="Times New Roman" w:hAnsi="Times New Roman" w:cs="Times New Roman"/>
        </w:rPr>
        <w:t>it does much of</w:t>
      </w:r>
      <w:r>
        <w:rPr>
          <w:rFonts w:ascii="Times New Roman" w:hAnsi="Times New Roman" w:cs="Times New Roman"/>
        </w:rPr>
        <w:t xml:space="preserve"> what</w:t>
      </w:r>
      <w:r w:rsidR="00055A38">
        <w:rPr>
          <w:rFonts w:ascii="Times New Roman" w:hAnsi="Times New Roman" w:cs="Times New Roman"/>
        </w:rPr>
        <w:t xml:space="preserve"> i</w:t>
      </w:r>
      <w:r>
        <w:rPr>
          <w:rFonts w:ascii="Times New Roman" w:hAnsi="Times New Roman" w:cs="Times New Roman"/>
        </w:rPr>
        <w:t xml:space="preserve">s in the proposed rule already, six months </w:t>
      </w:r>
      <w:r w:rsidR="00022407">
        <w:rPr>
          <w:rFonts w:ascii="Times New Roman" w:hAnsi="Times New Roman" w:cs="Times New Roman"/>
        </w:rPr>
        <w:t xml:space="preserve">would be </w:t>
      </w:r>
      <w:r>
        <w:rPr>
          <w:rFonts w:ascii="Times New Roman" w:hAnsi="Times New Roman" w:cs="Times New Roman"/>
        </w:rPr>
        <w:t xml:space="preserve">a very short period </w:t>
      </w:r>
      <w:r w:rsidR="00022407">
        <w:rPr>
          <w:rFonts w:ascii="Times New Roman" w:hAnsi="Times New Roman" w:cs="Times New Roman"/>
        </w:rPr>
        <w:t xml:space="preserve">to comply with the proposed rule </w:t>
      </w:r>
      <w:r w:rsidR="005C2F03">
        <w:rPr>
          <w:rFonts w:ascii="Times New Roman" w:hAnsi="Times New Roman" w:cs="Times New Roman"/>
        </w:rPr>
        <w:t>across all</w:t>
      </w:r>
      <w:r>
        <w:rPr>
          <w:rFonts w:ascii="Times New Roman" w:hAnsi="Times New Roman" w:cs="Times New Roman"/>
        </w:rPr>
        <w:t xml:space="preserve"> institutions. </w:t>
      </w:r>
      <w:r w:rsidR="00CF19B6">
        <w:rPr>
          <w:rFonts w:ascii="Times New Roman" w:hAnsi="Times New Roman" w:cs="Times New Roman"/>
        </w:rPr>
        <w:t xml:space="preserve"> </w:t>
      </w:r>
    </w:p>
    <w:p w14:paraId="171039D6" w14:textId="0587C19A" w:rsidR="00237ABA" w:rsidRDefault="00CF19B6">
      <w:pPr>
        <w:rPr>
          <w:rFonts w:ascii="Times New Roman" w:hAnsi="Times New Roman" w:cs="Times New Roman"/>
        </w:rPr>
      </w:pPr>
      <w:r>
        <w:rPr>
          <w:rFonts w:ascii="Times New Roman" w:hAnsi="Times New Roman" w:cs="Times New Roman"/>
        </w:rPr>
        <w:t xml:space="preserve">America’s Credit Union agreed that a six-month period </w:t>
      </w:r>
      <w:r w:rsidR="00011970">
        <w:rPr>
          <w:rFonts w:ascii="Times New Roman" w:hAnsi="Times New Roman" w:cs="Times New Roman"/>
        </w:rPr>
        <w:t xml:space="preserve">seemed </w:t>
      </w:r>
      <w:r>
        <w:rPr>
          <w:rFonts w:ascii="Times New Roman" w:hAnsi="Times New Roman" w:cs="Times New Roman"/>
        </w:rPr>
        <w:t xml:space="preserve">too short for many </w:t>
      </w:r>
      <w:r w:rsidR="000D2F6D">
        <w:rPr>
          <w:rFonts w:ascii="Times New Roman" w:hAnsi="Times New Roman" w:cs="Times New Roman"/>
        </w:rPr>
        <w:t>financial institutions</w:t>
      </w:r>
      <w:r>
        <w:rPr>
          <w:rFonts w:ascii="Times New Roman" w:hAnsi="Times New Roman" w:cs="Times New Roman"/>
        </w:rPr>
        <w:t xml:space="preserve"> to comply</w:t>
      </w:r>
      <w:r w:rsidR="00011970">
        <w:rPr>
          <w:rFonts w:ascii="Times New Roman" w:hAnsi="Times New Roman" w:cs="Times New Roman"/>
        </w:rPr>
        <w:t xml:space="preserve"> with the proposed rule</w:t>
      </w:r>
      <w:r w:rsidR="00022407">
        <w:rPr>
          <w:rFonts w:ascii="Times New Roman" w:hAnsi="Times New Roman" w:cs="Times New Roman"/>
        </w:rPr>
        <w:t>,</w:t>
      </w:r>
      <w:r>
        <w:rPr>
          <w:rFonts w:ascii="Times New Roman" w:hAnsi="Times New Roman" w:cs="Times New Roman"/>
        </w:rPr>
        <w:t xml:space="preserve"> although most credit unions are already </w:t>
      </w:r>
      <w:r w:rsidR="00022407">
        <w:rPr>
          <w:rFonts w:ascii="Times New Roman" w:hAnsi="Times New Roman" w:cs="Times New Roman"/>
        </w:rPr>
        <w:t>fulfilling many of the</w:t>
      </w:r>
      <w:r>
        <w:rPr>
          <w:rFonts w:ascii="Times New Roman" w:hAnsi="Times New Roman" w:cs="Times New Roman"/>
        </w:rPr>
        <w:t xml:space="preserve"> NPRM</w:t>
      </w:r>
      <w:r w:rsidR="00022407">
        <w:rPr>
          <w:rFonts w:ascii="Times New Roman" w:hAnsi="Times New Roman" w:cs="Times New Roman"/>
        </w:rPr>
        <w:t>’s proposed requirements</w:t>
      </w:r>
      <w:r>
        <w:rPr>
          <w:rFonts w:ascii="Times New Roman" w:hAnsi="Times New Roman" w:cs="Times New Roman"/>
        </w:rPr>
        <w:t xml:space="preserve">.  America’s Credit Union </w:t>
      </w:r>
      <w:r w:rsidR="00B41301">
        <w:rPr>
          <w:rFonts w:ascii="Times New Roman" w:hAnsi="Times New Roman" w:cs="Times New Roman"/>
        </w:rPr>
        <w:t>also stated that credit unions have a unique board structure in that their boards are made up of volunteers, and it may be difficult for some credit unions to have an active and engaged board of directors.</w:t>
      </w:r>
    </w:p>
    <w:p w14:paraId="0FD0E118" w14:textId="58065D9A" w:rsidR="00E6360A" w:rsidRDefault="00E6360A">
      <w:pPr>
        <w:rPr>
          <w:rFonts w:ascii="Times New Roman" w:hAnsi="Times New Roman" w:cs="Times New Roman"/>
        </w:rPr>
      </w:pPr>
      <w:r>
        <w:rPr>
          <w:rFonts w:ascii="Times New Roman" w:hAnsi="Times New Roman" w:cs="Times New Roman"/>
        </w:rPr>
        <w:lastRenderedPageBreak/>
        <w:t xml:space="preserve">FinCEN welcomed comments </w:t>
      </w:r>
      <w:r w:rsidR="00A1535A">
        <w:rPr>
          <w:rFonts w:ascii="Times New Roman" w:hAnsi="Times New Roman" w:cs="Times New Roman"/>
        </w:rPr>
        <w:t xml:space="preserve">to the Federal Register </w:t>
      </w:r>
      <w:r>
        <w:rPr>
          <w:rFonts w:ascii="Times New Roman" w:hAnsi="Times New Roman" w:cs="Times New Roman"/>
        </w:rPr>
        <w:t xml:space="preserve">on </w:t>
      </w:r>
      <w:r w:rsidR="00A1535A">
        <w:rPr>
          <w:rFonts w:ascii="Times New Roman" w:hAnsi="Times New Roman" w:cs="Times New Roman"/>
        </w:rPr>
        <w:t xml:space="preserve">the </w:t>
      </w:r>
      <w:r>
        <w:rPr>
          <w:rFonts w:ascii="Times New Roman" w:hAnsi="Times New Roman" w:cs="Times New Roman"/>
        </w:rPr>
        <w:t>compliance date.</w:t>
      </w:r>
    </w:p>
    <w:p w14:paraId="6E61338B" w14:textId="441AF641" w:rsidR="007B02CB" w:rsidRDefault="00A1535A">
      <w:pPr>
        <w:rPr>
          <w:rFonts w:ascii="Times New Roman" w:hAnsi="Times New Roman" w:cs="Times New Roman"/>
        </w:rPr>
      </w:pPr>
      <w:r>
        <w:rPr>
          <w:rFonts w:ascii="Times New Roman" w:hAnsi="Times New Roman" w:cs="Times New Roman"/>
        </w:rPr>
        <w:t>KeyBank requested clarification and further guidance on the idea in the NPRM of incorporating SAR</w:t>
      </w:r>
      <w:r w:rsidR="00CE721C">
        <w:rPr>
          <w:rFonts w:ascii="Times New Roman" w:hAnsi="Times New Roman" w:cs="Times New Roman"/>
        </w:rPr>
        <w:t>s</w:t>
      </w:r>
      <w:r>
        <w:rPr>
          <w:rFonts w:ascii="Times New Roman" w:hAnsi="Times New Roman" w:cs="Times New Roman"/>
        </w:rPr>
        <w:t xml:space="preserve"> and </w:t>
      </w:r>
      <w:r w:rsidR="00F403ED">
        <w:rPr>
          <w:rFonts w:ascii="Times New Roman" w:hAnsi="Times New Roman" w:cs="Times New Roman"/>
        </w:rPr>
        <w:t>currency transaction reports (</w:t>
      </w:r>
      <w:r>
        <w:rPr>
          <w:rFonts w:ascii="Times New Roman" w:hAnsi="Times New Roman" w:cs="Times New Roman"/>
        </w:rPr>
        <w:t>CTR</w:t>
      </w:r>
      <w:r w:rsidR="00CE721C">
        <w:rPr>
          <w:rFonts w:ascii="Times New Roman" w:hAnsi="Times New Roman" w:cs="Times New Roman"/>
        </w:rPr>
        <w:t>s</w:t>
      </w:r>
      <w:r w:rsidR="00F403ED">
        <w:rPr>
          <w:rFonts w:ascii="Times New Roman" w:hAnsi="Times New Roman" w:cs="Times New Roman"/>
        </w:rPr>
        <w:t>)</w:t>
      </w:r>
      <w:r>
        <w:rPr>
          <w:rFonts w:ascii="Times New Roman" w:hAnsi="Times New Roman" w:cs="Times New Roman"/>
        </w:rPr>
        <w:t xml:space="preserve"> into the risk assessment since it is not clear what was intended, especially concerning CTRs.  </w:t>
      </w:r>
      <w:r w:rsidR="002A456C">
        <w:rPr>
          <w:rFonts w:ascii="Times New Roman" w:hAnsi="Times New Roman" w:cs="Times New Roman"/>
        </w:rPr>
        <w:t xml:space="preserve">KeyBank stated that an </w:t>
      </w:r>
      <w:r>
        <w:rPr>
          <w:rFonts w:ascii="Times New Roman" w:hAnsi="Times New Roman" w:cs="Times New Roman"/>
        </w:rPr>
        <w:t>example of how this is supposed to work would be helpful.</w:t>
      </w:r>
    </w:p>
    <w:p w14:paraId="478019EE" w14:textId="5965F620" w:rsidR="00A1535A" w:rsidRDefault="00A1535A">
      <w:pPr>
        <w:rPr>
          <w:rFonts w:ascii="Times New Roman" w:hAnsi="Times New Roman" w:cs="Times New Roman"/>
        </w:rPr>
      </w:pPr>
      <w:r>
        <w:rPr>
          <w:rFonts w:ascii="Times New Roman" w:hAnsi="Times New Roman" w:cs="Times New Roman"/>
        </w:rPr>
        <w:t>Marquette Bank</w:t>
      </w:r>
      <w:r w:rsidR="0023194B">
        <w:rPr>
          <w:rFonts w:ascii="Times New Roman" w:hAnsi="Times New Roman" w:cs="Times New Roman"/>
        </w:rPr>
        <w:t xml:space="preserve"> </w:t>
      </w:r>
      <w:r w:rsidR="0025683C">
        <w:rPr>
          <w:rFonts w:ascii="Times New Roman" w:hAnsi="Times New Roman" w:cs="Times New Roman"/>
        </w:rPr>
        <w:t xml:space="preserve">expressed </w:t>
      </w:r>
      <w:r>
        <w:rPr>
          <w:rFonts w:ascii="Times New Roman" w:hAnsi="Times New Roman" w:cs="Times New Roman"/>
        </w:rPr>
        <w:t xml:space="preserve">the need to work on fixing SAR reporting if SAR data is going to be a consideration for the risk assessment. </w:t>
      </w:r>
    </w:p>
    <w:p w14:paraId="55EDAB02" w14:textId="267AF0B9" w:rsidR="00A1535A" w:rsidRDefault="007A49D8">
      <w:pPr>
        <w:rPr>
          <w:rFonts w:ascii="Times New Roman" w:hAnsi="Times New Roman" w:cs="Times New Roman"/>
        </w:rPr>
      </w:pPr>
      <w:r>
        <w:rPr>
          <w:rFonts w:ascii="Times New Roman" w:hAnsi="Times New Roman" w:cs="Times New Roman"/>
        </w:rPr>
        <w:t xml:space="preserve">Fifth Third Bank </w:t>
      </w:r>
      <w:r w:rsidR="0025683C">
        <w:rPr>
          <w:rFonts w:ascii="Times New Roman" w:hAnsi="Times New Roman" w:cs="Times New Roman"/>
        </w:rPr>
        <w:t>views</w:t>
      </w:r>
      <w:r>
        <w:rPr>
          <w:rFonts w:ascii="Times New Roman" w:hAnsi="Times New Roman" w:cs="Times New Roman"/>
        </w:rPr>
        <w:t xml:space="preserve"> the NPRM as seeking to give </w:t>
      </w:r>
      <w:r w:rsidR="000D2F6D">
        <w:rPr>
          <w:rFonts w:ascii="Times New Roman" w:hAnsi="Times New Roman" w:cs="Times New Roman"/>
        </w:rPr>
        <w:t>financial institutions</w:t>
      </w:r>
      <w:r>
        <w:rPr>
          <w:rFonts w:ascii="Times New Roman" w:hAnsi="Times New Roman" w:cs="Times New Roman"/>
        </w:rPr>
        <w:t xml:space="preserve"> the flexibility to bank any </w:t>
      </w:r>
      <w:r w:rsidR="000B512B">
        <w:rPr>
          <w:rFonts w:ascii="Times New Roman" w:hAnsi="Times New Roman" w:cs="Times New Roman"/>
        </w:rPr>
        <w:t xml:space="preserve">legal </w:t>
      </w:r>
      <w:r>
        <w:rPr>
          <w:rFonts w:ascii="Times New Roman" w:hAnsi="Times New Roman" w:cs="Times New Roman"/>
        </w:rPr>
        <w:t>customer</w:t>
      </w:r>
      <w:r w:rsidR="0025683C">
        <w:rPr>
          <w:rFonts w:ascii="Times New Roman" w:hAnsi="Times New Roman" w:cs="Times New Roman"/>
        </w:rPr>
        <w:t xml:space="preserve"> where it is lawful to do so</w:t>
      </w:r>
      <w:r>
        <w:rPr>
          <w:rFonts w:ascii="Times New Roman" w:hAnsi="Times New Roman" w:cs="Times New Roman"/>
        </w:rPr>
        <w:t xml:space="preserve"> and</w:t>
      </w:r>
      <w:r w:rsidR="00C17D53">
        <w:rPr>
          <w:rFonts w:ascii="Times New Roman" w:hAnsi="Times New Roman" w:cs="Times New Roman"/>
        </w:rPr>
        <w:t xml:space="preserve"> </w:t>
      </w:r>
      <w:proofErr w:type="gramStart"/>
      <w:r w:rsidR="00C17D53">
        <w:rPr>
          <w:rFonts w:ascii="Times New Roman" w:hAnsi="Times New Roman" w:cs="Times New Roman"/>
        </w:rPr>
        <w:t>stated</w:t>
      </w:r>
      <w:proofErr w:type="gramEnd"/>
      <w:r>
        <w:rPr>
          <w:rFonts w:ascii="Times New Roman" w:hAnsi="Times New Roman" w:cs="Times New Roman"/>
        </w:rPr>
        <w:t xml:space="preserve"> </w:t>
      </w:r>
      <w:r w:rsidR="000B512B">
        <w:rPr>
          <w:rFonts w:ascii="Times New Roman" w:hAnsi="Times New Roman" w:cs="Times New Roman"/>
        </w:rPr>
        <w:t xml:space="preserve">that </w:t>
      </w:r>
      <w:r>
        <w:rPr>
          <w:rFonts w:ascii="Times New Roman" w:hAnsi="Times New Roman" w:cs="Times New Roman"/>
        </w:rPr>
        <w:t xml:space="preserve">there seemed to be a push not to de-risk any particular industry.  Fifth Third Bank believes the NPRM allows </w:t>
      </w:r>
      <w:r w:rsidR="000D2F6D">
        <w:rPr>
          <w:rFonts w:ascii="Times New Roman" w:hAnsi="Times New Roman" w:cs="Times New Roman"/>
        </w:rPr>
        <w:t>financial institutions</w:t>
      </w:r>
      <w:r>
        <w:rPr>
          <w:rFonts w:ascii="Times New Roman" w:hAnsi="Times New Roman" w:cs="Times New Roman"/>
        </w:rPr>
        <w:t xml:space="preserve"> to onboard customers and not deny them</w:t>
      </w:r>
      <w:r w:rsidR="00C17D53">
        <w:rPr>
          <w:rFonts w:ascii="Times New Roman" w:hAnsi="Times New Roman" w:cs="Times New Roman"/>
        </w:rPr>
        <w:t xml:space="preserve"> access</w:t>
      </w:r>
      <w:r>
        <w:rPr>
          <w:rFonts w:ascii="Times New Roman" w:hAnsi="Times New Roman" w:cs="Times New Roman"/>
        </w:rPr>
        <w:t xml:space="preserve"> because they are in a certain industry, but </w:t>
      </w:r>
      <w:r w:rsidR="000D2F6D">
        <w:rPr>
          <w:rFonts w:ascii="Times New Roman" w:hAnsi="Times New Roman" w:cs="Times New Roman"/>
        </w:rPr>
        <w:t>institutions</w:t>
      </w:r>
      <w:r>
        <w:rPr>
          <w:rFonts w:ascii="Times New Roman" w:hAnsi="Times New Roman" w:cs="Times New Roman"/>
        </w:rPr>
        <w:t xml:space="preserve"> would need to devote more resources to these types of customers</w:t>
      </w:r>
      <w:r w:rsidR="000D2F6D">
        <w:rPr>
          <w:rFonts w:ascii="Times New Roman" w:hAnsi="Times New Roman" w:cs="Times New Roman"/>
        </w:rPr>
        <w:t>.</w:t>
      </w:r>
      <w:r>
        <w:rPr>
          <w:rFonts w:ascii="Times New Roman" w:hAnsi="Times New Roman" w:cs="Times New Roman"/>
        </w:rPr>
        <w:t xml:space="preserve"> </w:t>
      </w:r>
      <w:r w:rsidR="000D2F6D">
        <w:rPr>
          <w:rFonts w:ascii="Times New Roman" w:hAnsi="Times New Roman" w:cs="Times New Roman"/>
        </w:rPr>
        <w:t xml:space="preserve"> The bank further </w:t>
      </w:r>
      <w:r w:rsidR="0025683C">
        <w:rPr>
          <w:rFonts w:ascii="Times New Roman" w:hAnsi="Times New Roman" w:cs="Times New Roman"/>
        </w:rPr>
        <w:t xml:space="preserve">stated </w:t>
      </w:r>
      <w:r w:rsidR="000D2F6D">
        <w:rPr>
          <w:rFonts w:ascii="Times New Roman" w:hAnsi="Times New Roman" w:cs="Times New Roman"/>
        </w:rPr>
        <w:t>that financial institutions</w:t>
      </w:r>
      <w:r>
        <w:rPr>
          <w:rFonts w:ascii="Times New Roman" w:hAnsi="Times New Roman" w:cs="Times New Roman"/>
        </w:rPr>
        <w:t xml:space="preserve"> do not want to be criticized if they choose not to bank a certain customer, which can be a business decision.  KeyBank agreed and added that </w:t>
      </w:r>
      <w:r w:rsidR="00776736">
        <w:rPr>
          <w:rFonts w:ascii="Times New Roman" w:hAnsi="Times New Roman" w:cs="Times New Roman"/>
        </w:rPr>
        <w:t xml:space="preserve">small credit unions would not have the infrastructure to support foreign correspondent banking and </w:t>
      </w:r>
      <w:r w:rsidR="000B512B">
        <w:rPr>
          <w:rFonts w:ascii="Times New Roman" w:hAnsi="Times New Roman" w:cs="Times New Roman"/>
        </w:rPr>
        <w:t xml:space="preserve">that </w:t>
      </w:r>
      <w:r w:rsidR="00776736">
        <w:rPr>
          <w:rFonts w:ascii="Times New Roman" w:hAnsi="Times New Roman" w:cs="Times New Roman"/>
        </w:rPr>
        <w:t xml:space="preserve">it would not be a good use of resources.  KeyBank believes that </w:t>
      </w:r>
      <w:r w:rsidR="000D2F6D">
        <w:rPr>
          <w:rFonts w:ascii="Times New Roman" w:hAnsi="Times New Roman" w:cs="Times New Roman"/>
        </w:rPr>
        <w:t>financial institutions</w:t>
      </w:r>
      <w:r w:rsidR="00776736">
        <w:rPr>
          <w:rFonts w:ascii="Times New Roman" w:hAnsi="Times New Roman" w:cs="Times New Roman"/>
        </w:rPr>
        <w:t xml:space="preserve"> should be able to make a risk-based decision on when they choose not to bank based on their size and the complexity involved. </w:t>
      </w:r>
    </w:p>
    <w:p w14:paraId="5BC5AB47" w14:textId="391EEE42" w:rsidR="00776736" w:rsidRPr="009D5CC3" w:rsidRDefault="002263C7">
      <w:pPr>
        <w:rPr>
          <w:rFonts w:ascii="Times New Roman" w:hAnsi="Times New Roman" w:cs="Times New Roman"/>
        </w:rPr>
      </w:pPr>
      <w:r>
        <w:rPr>
          <w:rFonts w:ascii="Times New Roman" w:hAnsi="Times New Roman" w:cs="Times New Roman"/>
        </w:rPr>
        <w:t>FinCEN provided a final opportunity for the participants to provide any further comment or reactions to the NPRM.  Since there were no additional comments, FinCEN concluded the listening session.</w:t>
      </w:r>
    </w:p>
    <w:sectPr w:rsidR="00776736" w:rsidRPr="009D5CC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FE414" w14:textId="77777777" w:rsidR="00662349" w:rsidRDefault="00662349" w:rsidP="00662349">
      <w:pPr>
        <w:spacing w:after="0" w:line="240" w:lineRule="auto"/>
      </w:pPr>
      <w:r>
        <w:separator/>
      </w:r>
    </w:p>
  </w:endnote>
  <w:endnote w:type="continuationSeparator" w:id="0">
    <w:p w14:paraId="569DEDF0" w14:textId="77777777" w:rsidR="00662349" w:rsidRDefault="00662349" w:rsidP="00662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0571721"/>
      <w:docPartObj>
        <w:docPartGallery w:val="Page Numbers (Bottom of Page)"/>
        <w:docPartUnique/>
      </w:docPartObj>
    </w:sdtPr>
    <w:sdtEndPr/>
    <w:sdtContent>
      <w:sdt>
        <w:sdtPr>
          <w:id w:val="1728636285"/>
          <w:docPartObj>
            <w:docPartGallery w:val="Page Numbers (Top of Page)"/>
            <w:docPartUnique/>
          </w:docPartObj>
        </w:sdtPr>
        <w:sdtEndPr/>
        <w:sdtContent>
          <w:p w14:paraId="030B16C6" w14:textId="0D01CA78" w:rsidR="00B57712" w:rsidRDefault="00B57712">
            <w:pPr>
              <w:pStyle w:val="Footer"/>
              <w:jc w:val="center"/>
            </w:pPr>
            <w:r w:rsidRPr="00B57712">
              <w:rPr>
                <w:rFonts w:ascii="Times New Roman" w:hAnsi="Times New Roman" w:cs="Times New Roman"/>
              </w:rPr>
              <w:t xml:space="preserve">Page </w:t>
            </w:r>
            <w:r w:rsidRPr="00B57712">
              <w:rPr>
                <w:rFonts w:ascii="Times New Roman" w:hAnsi="Times New Roman" w:cs="Times New Roman"/>
                <w:b/>
                <w:bCs/>
                <w:sz w:val="24"/>
                <w:szCs w:val="24"/>
              </w:rPr>
              <w:fldChar w:fldCharType="begin"/>
            </w:r>
            <w:r w:rsidRPr="00B57712">
              <w:rPr>
                <w:rFonts w:ascii="Times New Roman" w:hAnsi="Times New Roman" w:cs="Times New Roman"/>
                <w:b/>
                <w:bCs/>
              </w:rPr>
              <w:instrText xml:space="preserve"> PAGE </w:instrText>
            </w:r>
            <w:r w:rsidRPr="00B57712">
              <w:rPr>
                <w:rFonts w:ascii="Times New Roman" w:hAnsi="Times New Roman" w:cs="Times New Roman"/>
                <w:b/>
                <w:bCs/>
                <w:sz w:val="24"/>
                <w:szCs w:val="24"/>
              </w:rPr>
              <w:fldChar w:fldCharType="separate"/>
            </w:r>
            <w:r w:rsidRPr="00B57712">
              <w:rPr>
                <w:rFonts w:ascii="Times New Roman" w:hAnsi="Times New Roman" w:cs="Times New Roman"/>
                <w:b/>
                <w:bCs/>
                <w:noProof/>
              </w:rPr>
              <w:t>2</w:t>
            </w:r>
            <w:r w:rsidRPr="00B57712">
              <w:rPr>
                <w:rFonts w:ascii="Times New Roman" w:hAnsi="Times New Roman" w:cs="Times New Roman"/>
                <w:b/>
                <w:bCs/>
                <w:sz w:val="24"/>
                <w:szCs w:val="24"/>
              </w:rPr>
              <w:fldChar w:fldCharType="end"/>
            </w:r>
            <w:r w:rsidRPr="00B57712">
              <w:rPr>
                <w:rFonts w:ascii="Times New Roman" w:hAnsi="Times New Roman" w:cs="Times New Roman"/>
              </w:rPr>
              <w:t xml:space="preserve"> of </w:t>
            </w:r>
            <w:r w:rsidRPr="00B57712">
              <w:rPr>
                <w:rFonts w:ascii="Times New Roman" w:hAnsi="Times New Roman" w:cs="Times New Roman"/>
                <w:b/>
                <w:bCs/>
                <w:sz w:val="24"/>
                <w:szCs w:val="24"/>
              </w:rPr>
              <w:fldChar w:fldCharType="begin"/>
            </w:r>
            <w:r w:rsidRPr="00B57712">
              <w:rPr>
                <w:rFonts w:ascii="Times New Roman" w:hAnsi="Times New Roman" w:cs="Times New Roman"/>
                <w:b/>
                <w:bCs/>
              </w:rPr>
              <w:instrText xml:space="preserve"> NUMPAGES  </w:instrText>
            </w:r>
            <w:r w:rsidRPr="00B57712">
              <w:rPr>
                <w:rFonts w:ascii="Times New Roman" w:hAnsi="Times New Roman" w:cs="Times New Roman"/>
                <w:b/>
                <w:bCs/>
                <w:sz w:val="24"/>
                <w:szCs w:val="24"/>
              </w:rPr>
              <w:fldChar w:fldCharType="separate"/>
            </w:r>
            <w:r w:rsidRPr="00B57712">
              <w:rPr>
                <w:rFonts w:ascii="Times New Roman" w:hAnsi="Times New Roman" w:cs="Times New Roman"/>
                <w:b/>
                <w:bCs/>
                <w:noProof/>
              </w:rPr>
              <w:t>2</w:t>
            </w:r>
            <w:r w:rsidRPr="00B57712">
              <w:rPr>
                <w:rFonts w:ascii="Times New Roman" w:hAnsi="Times New Roman" w:cs="Times New Roman"/>
                <w:b/>
                <w:bCs/>
                <w:sz w:val="24"/>
                <w:szCs w:val="24"/>
              </w:rPr>
              <w:fldChar w:fldCharType="end"/>
            </w:r>
          </w:p>
        </w:sdtContent>
      </w:sdt>
    </w:sdtContent>
  </w:sdt>
  <w:p w14:paraId="3F2B802C" w14:textId="77777777" w:rsidR="00B57712" w:rsidRDefault="00B577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1678F" w14:textId="77777777" w:rsidR="00662349" w:rsidRDefault="00662349" w:rsidP="00662349">
      <w:pPr>
        <w:spacing w:after="0" w:line="240" w:lineRule="auto"/>
      </w:pPr>
      <w:r>
        <w:separator/>
      </w:r>
    </w:p>
  </w:footnote>
  <w:footnote w:type="continuationSeparator" w:id="0">
    <w:p w14:paraId="40194417" w14:textId="77777777" w:rsidR="00662349" w:rsidRDefault="00662349" w:rsidP="00662349">
      <w:pPr>
        <w:spacing w:after="0" w:line="240" w:lineRule="auto"/>
      </w:pPr>
      <w:r>
        <w:continuationSeparator/>
      </w:r>
    </w:p>
  </w:footnote>
  <w:footnote w:id="1">
    <w:p w14:paraId="2B51577B" w14:textId="522EDF89" w:rsidR="00662349" w:rsidRPr="007E6EDD" w:rsidRDefault="00662349" w:rsidP="00662349">
      <w:pPr>
        <w:pStyle w:val="FootnoteText"/>
        <w:rPr>
          <w:rFonts w:ascii="Times New Roman" w:hAnsi="Times New Roman" w:cs="Times New Roman"/>
        </w:rPr>
      </w:pPr>
      <w:r w:rsidRPr="007E6EDD">
        <w:rPr>
          <w:rStyle w:val="FootnoteReference"/>
          <w:rFonts w:ascii="Times New Roman" w:hAnsi="Times New Roman" w:cs="Times New Roman"/>
        </w:rPr>
        <w:footnoteRef/>
      </w:r>
      <w:r w:rsidRPr="007E6EDD">
        <w:rPr>
          <w:rFonts w:ascii="Times New Roman" w:hAnsi="Times New Roman" w:cs="Times New Roman"/>
        </w:rPr>
        <w:t xml:space="preserve"> </w:t>
      </w:r>
      <w:r w:rsidR="00BD3FAB">
        <w:rPr>
          <w:rFonts w:ascii="Times New Roman" w:hAnsi="Times New Roman" w:cs="Times New Roman"/>
        </w:rPr>
        <w:t>Individual names b</w:t>
      </w:r>
      <w:r w:rsidRPr="007E6EDD">
        <w:rPr>
          <w:rFonts w:ascii="Times New Roman" w:hAnsi="Times New Roman" w:cs="Times New Roman"/>
        </w:rPr>
        <w:t>ased on virtual presence.</w:t>
      </w:r>
    </w:p>
  </w:footnote>
  <w:footnote w:id="2">
    <w:p w14:paraId="22FDE7D3" w14:textId="78F0F6A3" w:rsidR="001D5C6D" w:rsidRPr="00457683" w:rsidRDefault="001D5C6D">
      <w:pPr>
        <w:pStyle w:val="FootnoteText"/>
        <w:rPr>
          <w:rFonts w:ascii="Times New Roman" w:hAnsi="Times New Roman" w:cs="Times New Roman"/>
        </w:rPr>
      </w:pPr>
      <w:r w:rsidRPr="00457683">
        <w:rPr>
          <w:rStyle w:val="FootnoteReference"/>
          <w:rFonts w:ascii="Times New Roman" w:hAnsi="Times New Roman" w:cs="Times New Roman"/>
        </w:rPr>
        <w:footnoteRef/>
      </w:r>
      <w:r w:rsidRPr="00457683">
        <w:rPr>
          <w:rFonts w:ascii="Times New Roman" w:hAnsi="Times New Roman" w:cs="Times New Roman"/>
        </w:rPr>
        <w:t xml:space="preserve"> </w:t>
      </w:r>
      <w:r w:rsidRPr="00457683">
        <w:rPr>
          <w:rFonts w:ascii="Times New Roman" w:hAnsi="Times New Roman" w:cs="Times New Roman"/>
          <w:i/>
          <w:iCs/>
        </w:rPr>
        <w:t>See</w:t>
      </w:r>
      <w:r w:rsidRPr="00457683">
        <w:rPr>
          <w:rFonts w:ascii="Times New Roman" w:hAnsi="Times New Roman" w:cs="Times New Roman"/>
        </w:rPr>
        <w:t xml:space="preserve"> AML/CFT Priorities (June 30, 2021), available at </w:t>
      </w:r>
      <w:hyperlink r:id="rId1" w:tgtFrame="_blank" w:history="1">
        <w:r w:rsidRPr="00457683">
          <w:rPr>
            <w:rStyle w:val="Hyperlink"/>
            <w:rFonts w:ascii="Times New Roman" w:hAnsi="Times New Roman" w:cs="Times New Roman"/>
            <w:i/>
            <w:iCs/>
          </w:rPr>
          <w:t>https://www.fincen.gov/​news/​news-releases/​fincen-issues-first-national-amlcft-priorities-and-accompanying-statements</w:t>
        </w:r>
      </w:hyperlink>
      <w:r w:rsidRPr="00457683">
        <w:rPr>
          <w:rFonts w:ascii="Times New Roman" w:hAnsi="Times New Roman" w:cs="Times New Roman"/>
          <w:i/>
          <w:iC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B289C"/>
    <w:multiLevelType w:val="hybridMultilevel"/>
    <w:tmpl w:val="4FE8F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5F1796"/>
    <w:multiLevelType w:val="hybridMultilevel"/>
    <w:tmpl w:val="09903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9136063">
    <w:abstractNumId w:val="1"/>
  </w:num>
  <w:num w:numId="2" w16cid:durableId="298809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B0"/>
    <w:rsid w:val="00011970"/>
    <w:rsid w:val="00022407"/>
    <w:rsid w:val="00055A38"/>
    <w:rsid w:val="000A0D67"/>
    <w:rsid w:val="000B512B"/>
    <w:rsid w:val="000C736B"/>
    <w:rsid w:val="000D2F6D"/>
    <w:rsid w:val="000D3B94"/>
    <w:rsid w:val="001B3E21"/>
    <w:rsid w:val="001D5C6D"/>
    <w:rsid w:val="00201E45"/>
    <w:rsid w:val="0021021E"/>
    <w:rsid w:val="002263C7"/>
    <w:rsid w:val="0023194B"/>
    <w:rsid w:val="00237ABA"/>
    <w:rsid w:val="0025683C"/>
    <w:rsid w:val="00262AA2"/>
    <w:rsid w:val="002A456C"/>
    <w:rsid w:val="002E6406"/>
    <w:rsid w:val="0031055E"/>
    <w:rsid w:val="00310F6F"/>
    <w:rsid w:val="00333969"/>
    <w:rsid w:val="00457683"/>
    <w:rsid w:val="00493DEB"/>
    <w:rsid w:val="004970BC"/>
    <w:rsid w:val="0054313A"/>
    <w:rsid w:val="00581C3B"/>
    <w:rsid w:val="005A0DC0"/>
    <w:rsid w:val="005B79D1"/>
    <w:rsid w:val="005C2F03"/>
    <w:rsid w:val="005F1A95"/>
    <w:rsid w:val="005F6061"/>
    <w:rsid w:val="00662349"/>
    <w:rsid w:val="006A7EA2"/>
    <w:rsid w:val="006F12B2"/>
    <w:rsid w:val="00706FE9"/>
    <w:rsid w:val="00717DB4"/>
    <w:rsid w:val="00724DAD"/>
    <w:rsid w:val="007650FA"/>
    <w:rsid w:val="00776736"/>
    <w:rsid w:val="007A346C"/>
    <w:rsid w:val="007A49D8"/>
    <w:rsid w:val="007B02CB"/>
    <w:rsid w:val="007C08B0"/>
    <w:rsid w:val="00847A5F"/>
    <w:rsid w:val="00863700"/>
    <w:rsid w:val="00894AAF"/>
    <w:rsid w:val="00894DB6"/>
    <w:rsid w:val="008C2161"/>
    <w:rsid w:val="008F327F"/>
    <w:rsid w:val="009638C7"/>
    <w:rsid w:val="009A4BF1"/>
    <w:rsid w:val="009B3A83"/>
    <w:rsid w:val="009D41D2"/>
    <w:rsid w:val="009D5CC3"/>
    <w:rsid w:val="009D630A"/>
    <w:rsid w:val="00A1535A"/>
    <w:rsid w:val="00AC37CA"/>
    <w:rsid w:val="00B27409"/>
    <w:rsid w:val="00B41301"/>
    <w:rsid w:val="00B57712"/>
    <w:rsid w:val="00B62456"/>
    <w:rsid w:val="00B757E3"/>
    <w:rsid w:val="00BA1A49"/>
    <w:rsid w:val="00BD3FAB"/>
    <w:rsid w:val="00C17D53"/>
    <w:rsid w:val="00CE721C"/>
    <w:rsid w:val="00CF19B6"/>
    <w:rsid w:val="00D63FC8"/>
    <w:rsid w:val="00DD2EE8"/>
    <w:rsid w:val="00E1474E"/>
    <w:rsid w:val="00E50D56"/>
    <w:rsid w:val="00E6360A"/>
    <w:rsid w:val="00F069C6"/>
    <w:rsid w:val="00F403ED"/>
    <w:rsid w:val="00F46006"/>
    <w:rsid w:val="00FD7FA1"/>
    <w:rsid w:val="00FE1515"/>
    <w:rsid w:val="00FF3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0CB1"/>
  <w15:chartTrackingRefBased/>
  <w15:docId w15:val="{BBC9047D-A1B8-4F65-8DD8-E69F8A891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8B0"/>
  </w:style>
  <w:style w:type="paragraph" w:styleId="Heading1">
    <w:name w:val="heading 1"/>
    <w:basedOn w:val="Normal"/>
    <w:next w:val="Normal"/>
    <w:link w:val="Heading1Char"/>
    <w:uiPriority w:val="9"/>
    <w:qFormat/>
    <w:rsid w:val="007C08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08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08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08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08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08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08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08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08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8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08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08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08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08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08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08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08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08B0"/>
    <w:rPr>
      <w:rFonts w:eastAsiaTheme="majorEastAsia" w:cstheme="majorBidi"/>
      <w:color w:val="272727" w:themeColor="text1" w:themeTint="D8"/>
    </w:rPr>
  </w:style>
  <w:style w:type="paragraph" w:styleId="Title">
    <w:name w:val="Title"/>
    <w:basedOn w:val="Normal"/>
    <w:next w:val="Normal"/>
    <w:link w:val="TitleChar"/>
    <w:uiPriority w:val="10"/>
    <w:qFormat/>
    <w:rsid w:val="007C08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8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08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08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08B0"/>
    <w:pPr>
      <w:spacing w:before="160"/>
      <w:jc w:val="center"/>
    </w:pPr>
    <w:rPr>
      <w:i/>
      <w:iCs/>
      <w:color w:val="404040" w:themeColor="text1" w:themeTint="BF"/>
    </w:rPr>
  </w:style>
  <w:style w:type="character" w:customStyle="1" w:styleId="QuoteChar">
    <w:name w:val="Quote Char"/>
    <w:basedOn w:val="DefaultParagraphFont"/>
    <w:link w:val="Quote"/>
    <w:uiPriority w:val="29"/>
    <w:rsid w:val="007C08B0"/>
    <w:rPr>
      <w:i/>
      <w:iCs/>
      <w:color w:val="404040" w:themeColor="text1" w:themeTint="BF"/>
    </w:rPr>
  </w:style>
  <w:style w:type="paragraph" w:styleId="ListParagraph">
    <w:name w:val="List Paragraph"/>
    <w:basedOn w:val="Normal"/>
    <w:uiPriority w:val="34"/>
    <w:qFormat/>
    <w:rsid w:val="007C08B0"/>
    <w:pPr>
      <w:ind w:left="720"/>
      <w:contextualSpacing/>
    </w:pPr>
  </w:style>
  <w:style w:type="character" w:styleId="IntenseEmphasis">
    <w:name w:val="Intense Emphasis"/>
    <w:basedOn w:val="DefaultParagraphFont"/>
    <w:uiPriority w:val="21"/>
    <w:qFormat/>
    <w:rsid w:val="007C08B0"/>
    <w:rPr>
      <w:i/>
      <w:iCs/>
      <w:color w:val="0F4761" w:themeColor="accent1" w:themeShade="BF"/>
    </w:rPr>
  </w:style>
  <w:style w:type="paragraph" w:styleId="IntenseQuote">
    <w:name w:val="Intense Quote"/>
    <w:basedOn w:val="Normal"/>
    <w:next w:val="Normal"/>
    <w:link w:val="IntenseQuoteChar"/>
    <w:uiPriority w:val="30"/>
    <w:qFormat/>
    <w:rsid w:val="007C08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08B0"/>
    <w:rPr>
      <w:i/>
      <w:iCs/>
      <w:color w:val="0F4761" w:themeColor="accent1" w:themeShade="BF"/>
    </w:rPr>
  </w:style>
  <w:style w:type="character" w:styleId="IntenseReference">
    <w:name w:val="Intense Reference"/>
    <w:basedOn w:val="DefaultParagraphFont"/>
    <w:uiPriority w:val="32"/>
    <w:qFormat/>
    <w:rsid w:val="007C08B0"/>
    <w:rPr>
      <w:b/>
      <w:bCs/>
      <w:smallCaps/>
      <w:color w:val="0F4761" w:themeColor="accent1" w:themeShade="BF"/>
      <w:spacing w:val="5"/>
    </w:rPr>
  </w:style>
  <w:style w:type="paragraph" w:styleId="FootnoteText">
    <w:name w:val="footnote text"/>
    <w:basedOn w:val="Normal"/>
    <w:link w:val="FootnoteTextChar"/>
    <w:uiPriority w:val="99"/>
    <w:semiHidden/>
    <w:unhideWhenUsed/>
    <w:rsid w:val="006623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2349"/>
    <w:rPr>
      <w:sz w:val="20"/>
      <w:szCs w:val="20"/>
    </w:rPr>
  </w:style>
  <w:style w:type="character" w:styleId="FootnoteReference">
    <w:name w:val="footnote reference"/>
    <w:basedOn w:val="DefaultParagraphFont"/>
    <w:uiPriority w:val="99"/>
    <w:semiHidden/>
    <w:unhideWhenUsed/>
    <w:rsid w:val="00662349"/>
    <w:rPr>
      <w:vertAlign w:val="superscript"/>
    </w:rPr>
  </w:style>
  <w:style w:type="paragraph" w:styleId="Header">
    <w:name w:val="header"/>
    <w:basedOn w:val="Normal"/>
    <w:link w:val="HeaderChar"/>
    <w:uiPriority w:val="99"/>
    <w:unhideWhenUsed/>
    <w:rsid w:val="00B57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712"/>
  </w:style>
  <w:style w:type="paragraph" w:styleId="Footer">
    <w:name w:val="footer"/>
    <w:basedOn w:val="Normal"/>
    <w:link w:val="FooterChar"/>
    <w:uiPriority w:val="99"/>
    <w:unhideWhenUsed/>
    <w:rsid w:val="00B57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712"/>
  </w:style>
  <w:style w:type="paragraph" w:styleId="Revision">
    <w:name w:val="Revision"/>
    <w:hidden/>
    <w:uiPriority w:val="99"/>
    <w:semiHidden/>
    <w:rsid w:val="0031055E"/>
    <w:pPr>
      <w:spacing w:after="0" w:line="240" w:lineRule="auto"/>
    </w:pPr>
  </w:style>
  <w:style w:type="character" w:styleId="CommentReference">
    <w:name w:val="annotation reference"/>
    <w:basedOn w:val="DefaultParagraphFont"/>
    <w:uiPriority w:val="99"/>
    <w:semiHidden/>
    <w:unhideWhenUsed/>
    <w:rsid w:val="0031055E"/>
    <w:rPr>
      <w:sz w:val="16"/>
      <w:szCs w:val="16"/>
    </w:rPr>
  </w:style>
  <w:style w:type="paragraph" w:styleId="CommentText">
    <w:name w:val="annotation text"/>
    <w:basedOn w:val="Normal"/>
    <w:link w:val="CommentTextChar"/>
    <w:uiPriority w:val="99"/>
    <w:unhideWhenUsed/>
    <w:rsid w:val="0031055E"/>
    <w:pPr>
      <w:spacing w:line="240" w:lineRule="auto"/>
    </w:pPr>
    <w:rPr>
      <w:sz w:val="20"/>
      <w:szCs w:val="20"/>
    </w:rPr>
  </w:style>
  <w:style w:type="character" w:customStyle="1" w:styleId="CommentTextChar">
    <w:name w:val="Comment Text Char"/>
    <w:basedOn w:val="DefaultParagraphFont"/>
    <w:link w:val="CommentText"/>
    <w:uiPriority w:val="99"/>
    <w:rsid w:val="0031055E"/>
    <w:rPr>
      <w:sz w:val="20"/>
      <w:szCs w:val="20"/>
    </w:rPr>
  </w:style>
  <w:style w:type="paragraph" w:styleId="CommentSubject">
    <w:name w:val="annotation subject"/>
    <w:basedOn w:val="CommentText"/>
    <w:next w:val="CommentText"/>
    <w:link w:val="CommentSubjectChar"/>
    <w:uiPriority w:val="99"/>
    <w:semiHidden/>
    <w:unhideWhenUsed/>
    <w:rsid w:val="0031055E"/>
    <w:rPr>
      <w:b/>
      <w:bCs/>
    </w:rPr>
  </w:style>
  <w:style w:type="character" w:customStyle="1" w:styleId="CommentSubjectChar">
    <w:name w:val="Comment Subject Char"/>
    <w:basedOn w:val="CommentTextChar"/>
    <w:link w:val="CommentSubject"/>
    <w:uiPriority w:val="99"/>
    <w:semiHidden/>
    <w:rsid w:val="0031055E"/>
    <w:rPr>
      <w:b/>
      <w:bCs/>
      <w:sz w:val="20"/>
      <w:szCs w:val="20"/>
    </w:rPr>
  </w:style>
  <w:style w:type="character" w:styleId="Hyperlink">
    <w:name w:val="Hyperlink"/>
    <w:basedOn w:val="DefaultParagraphFont"/>
    <w:uiPriority w:val="99"/>
    <w:unhideWhenUsed/>
    <w:rsid w:val="001D5C6D"/>
    <w:rPr>
      <w:color w:val="467886" w:themeColor="hyperlink"/>
      <w:u w:val="single"/>
    </w:rPr>
  </w:style>
  <w:style w:type="character" w:styleId="UnresolvedMention">
    <w:name w:val="Unresolved Mention"/>
    <w:basedOn w:val="DefaultParagraphFont"/>
    <w:uiPriority w:val="99"/>
    <w:semiHidden/>
    <w:unhideWhenUsed/>
    <w:rsid w:val="001D5C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fincen.gov/news/news-releases/fincen-issues-first-national-amlcft-priorities-and-accompanying-stat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aseID xmlns="cc749c2f-a0f1-4c3a-9751-7fcbdbd676da">20249-TFI-9706</CaseID>
    <DocID xmlns="cc749c2f-a0f1-4c3a-9751-7fcbdbd676da">7500a628-6cb6-4a45-9dc6-1100dcaaa648</DocID>
    <Category xmlns="cc749c2f-a0f1-4c3a-9751-7fcbdbd676da">Final</Category>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C9278EEEF1A7643A49D6A4D244F87C0" ma:contentTypeVersion="4" ma:contentTypeDescription="Create a new document." ma:contentTypeScope="" ma:versionID="ef77de249b3ba7f57498e9d1674a2a6e">
  <xsd:schema xmlns:xsd="http://www.w3.org/2001/XMLSchema" xmlns:xs="http://www.w3.org/2001/XMLSchema" xmlns:p="http://schemas.microsoft.com/office/2006/metadata/properties" xmlns:ns2="cc749c2f-a0f1-4c3a-9751-7fcbdbd676da" xmlns:ns3="91882c98-ad7c-457b-bb99-16138be0c2aa" targetNamespace="http://schemas.microsoft.com/office/2006/metadata/properties" ma:root="true" ma:fieldsID="f16aee6a8bf9e96f5fc400f7c3dcf3a7" ns2:_="" ns3:_="">
    <xsd:import namespace="cc749c2f-a0f1-4c3a-9751-7fcbdbd676da"/>
    <xsd:import namespace="91882c98-ad7c-457b-bb99-16138be0c2aa"/>
    <xsd:element name="properties">
      <xsd:complexType>
        <xsd:sequence>
          <xsd:element name="documentManagement">
            <xsd:complexType>
              <xsd:all>
                <xsd:element ref="ns2:Category" minOccurs="0"/>
                <xsd:element ref="ns2:DocID" minOccurs="0"/>
                <xsd:element ref="ns2:Case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749c2f-a0f1-4c3a-9751-7fcbdbd676da" elementFormDefault="qualified">
    <xsd:import namespace="http://schemas.microsoft.com/office/2006/documentManagement/types"/>
    <xsd:import namespace="http://schemas.microsoft.com/office/infopath/2007/PartnerControls"/>
    <xsd:element name="Category" ma:index="8" nillable="true" ma:displayName="Category" ma:internalName="Category">
      <xsd:simpleType>
        <xsd:restriction base="dms:Choice">
          <xsd:enumeration value="Final"/>
          <xsd:enumeration value="Draft"/>
          <xsd:enumeration value="IC"/>
        </xsd:restriction>
      </xsd:simpleType>
    </xsd:element>
    <xsd:element name="DocID" ma:index="9" nillable="true" ma:displayName="DocID" ma:internalName="DocID">
      <xsd:simpleType>
        <xsd:restriction base="dms:Text"/>
      </xsd:simpleType>
    </xsd:element>
    <xsd:element name="CaseID" ma:index="10" nillable="true" ma:displayName="CaseID" ma:internalName="Case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882c98-ad7c-457b-bb99-16138be0c2a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ED517B-D78E-4751-A435-EC297503B728}">
  <ds:schemaRefs>
    <ds:schemaRef ds:uri="http://schemas.openxmlformats.org/package/2006/metadata/core-properties"/>
    <ds:schemaRef ds:uri="http://schemas.microsoft.com/office/2006/documentManagement/types"/>
    <ds:schemaRef ds:uri="http://purl.org/dc/terms/"/>
    <ds:schemaRef ds:uri="http://www.w3.org/XML/1998/namespace"/>
    <ds:schemaRef ds:uri="http://schemas.microsoft.com/office/2006/metadata/properties"/>
    <ds:schemaRef ds:uri="http://schemas.microsoft.com/office/infopath/2007/PartnerControls"/>
    <ds:schemaRef ds:uri="91882c98-ad7c-457b-bb99-16138be0c2aa"/>
    <ds:schemaRef ds:uri="cc749c2f-a0f1-4c3a-9751-7fcbdbd676da"/>
    <ds:schemaRef ds:uri="http://purl.org/dc/dcmitype/"/>
    <ds:schemaRef ds:uri="http://purl.org/dc/elements/1.1/"/>
  </ds:schemaRefs>
</ds:datastoreItem>
</file>

<file path=customXml/itemProps2.xml><?xml version="1.0" encoding="utf-8"?>
<ds:datastoreItem xmlns:ds="http://schemas.openxmlformats.org/officeDocument/2006/customXml" ds:itemID="{230849B4-E5B3-43A2-9200-207D81A71027}">
  <ds:schemaRefs>
    <ds:schemaRef ds:uri="http://schemas.openxmlformats.org/officeDocument/2006/bibliography"/>
  </ds:schemaRefs>
</ds:datastoreItem>
</file>

<file path=customXml/itemProps3.xml><?xml version="1.0" encoding="utf-8"?>
<ds:datastoreItem xmlns:ds="http://schemas.openxmlformats.org/officeDocument/2006/customXml" ds:itemID="{C82AFC41-9A1D-4A19-B1CB-B1799B10C7F3}">
  <ds:schemaRefs>
    <ds:schemaRef ds:uri="http://schemas.microsoft.com/sharepoint/v3/contenttype/forms"/>
  </ds:schemaRefs>
</ds:datastoreItem>
</file>

<file path=customXml/itemProps4.xml><?xml version="1.0" encoding="utf-8"?>
<ds:datastoreItem xmlns:ds="http://schemas.openxmlformats.org/officeDocument/2006/customXml" ds:itemID="{70505835-EAA8-4987-8D53-234A403124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749c2f-a0f1-4c3a-9751-7fcbdbd676da"/>
    <ds:schemaRef ds:uri="91882c98-ad7c-457b-bb99-16138be0c2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1130</Words>
  <Characters>6446</Characters>
  <Application>Microsoft Office Word</Application>
  <DocSecurity>4</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FinCEN</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Elosta, Jared</dc:creator>
  <cp:keywords/>
  <dc:description/>
  <cp:lastModifiedBy>Bradley, Beth</cp:lastModifiedBy>
  <cp:revision>2</cp:revision>
  <dcterms:created xsi:type="dcterms:W3CDTF">2024-11-20T12:41:00Z</dcterms:created>
  <dcterms:modified xsi:type="dcterms:W3CDTF">2024-11-20T12:41:00Z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0x0101000C9278EEEF1A7643A49D6A4D244F87C0</vt:lpwstr>
  </property>
</Properties>
</file>