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B0082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COFFEE SALES — STAKEHOLDER ANALYSIS</w:t>
      </w:r>
    </w:p>
    <w:p>
      <w:pPr>
        <w:shd w:fill="4B0082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D1C4E9"/>
          <w:sz w:val="20"/>
          <w:szCs w:val="20"/>
        </w:rPr>
        <w:t xml:space="preserve">2019 – 2022  |  Decision-Making Summary</w:t>
      </w:r>
    </w:p>
    <w:p>
      <w:pPr>
        <w:pBdr>
          <w:bottom w:val="single" w:color="4B0082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1. Geographic Market Performance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$9,654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73.2%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Defend — loyalty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Ireland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$2,663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Grow — increase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$863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Review — go/no-go decision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 dominates revenue but over-reliance is a risk — build loyalty programme to protect 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Ireland is the highest-ROI growth opportunity; increase ad spend and local partnerships.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UK needs a formal 12-month KPI gate before further investment is committed.</w:t>
      </w:r>
    </w:p>
    <w:p>
      <w:pPr>
        <w:spacing w:after="40" w:before="40"/>
      </w:pPr>
      <w:r>
        <w:t xml:space="preserve"/>
      </w:r>
    </w:p>
    <w:p>
      <w:pPr>
        <w:pBdr>
          <w:bottom w:val="single" w:color="4B0082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2. Product Performance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Arabica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Maintain stock — planning anchor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Seasonal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Targeted Q4 promotions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Liberica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Volatile spikes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Buffer stock pre-Q4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Robusta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Declining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Reprice as value product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Liberica and Robusta spikes require inventory buffer builds 6–8 weeks before Q4.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Arabica is the most predictable variety — use as the baseline for revenue forecasting.</w:t>
      </w:r>
    </w:p>
    <w:p>
      <w:pPr>
        <w:spacing w:after="40" w:before="40"/>
      </w:pPr>
      <w:r>
        <w:t xml:space="preserve"/>
      </w:r>
    </w:p>
    <w:p>
      <w:pPr>
        <w:pBdr>
          <w:bottom w:val="single" w:color="4B0082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 Top Customer Insights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44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Francesco Dressel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VIP loyalty tier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Brice Romera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VIP loyalty tier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Tallie Felip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VIP loyalty tier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Petey Kingsbury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VIP loyalty tier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Terri Farra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$168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Retention offer — churn risk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Top 4 customers share identical spend ($179) — prime candidates for a structured VIP programme.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Terri Farra is spending below peer average; deploy a personalised retention discount immediately.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Convert non-loyalty card holders with first-purchase incentives to lift lifetime value.</w:t>
      </w:r>
    </w:p>
    <w:p>
      <w:pPr>
        <w:spacing w:after="40" w:before="40"/>
      </w:pPr>
      <w:r>
        <w:t xml:space="preserve"/>
      </w:r>
    </w:p>
    <w:p>
      <w:pPr>
        <w:pBdr>
          <w:bottom w:val="single" w:color="4B0082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4. Priority Recommendations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US Loyalty Programme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Protect $9,654 base; convert non-card holders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Ireland Growth Push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Highest ROI market; increase local investment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UK Go/No-Go 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$863 revenue — commit or reallocate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Q4 Inventory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Pre-build stock 6–8 weeks ahead of seasonal spikes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Robusta Repricing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Declining trend — reposition as value tier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Subscription Model (1 kg)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High-frequency buyers; stabilise monthly revenue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Terri Farra Retention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At-risk customer — personalised offer needed now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B0082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5. Conclusion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Strong US base with high growth potential in Ireland. Immediate priorities: launch loyalty programme, resolve UK market ambiguity, and implement Q4 inventory planning. Align stakeholders on UK go/no-go and subscription model feasibility within 60 days.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0082" w:sz="3" w:space="1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Coffee Sales Stakeholder Report  |  Confidential  |  Page </w:t>
    </w:r>
    <w:r>
      <w:rPr>
        <w:rFonts w:ascii="Arial" w:cs="Arial" w:eastAsia="Arial" w:hAnsi="Arial"/>
        <w:color w:val="4B0082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2026-05-16T19:39:29.463Z</dcterms:created>
  <dcterms:modified xsi:type="dcterms:W3CDTF">2026-05-16T19:39:29.464Z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