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6212D"/>
          <w:sz w:val="52"/>
          <w:szCs w:val="52"/>
        </w:rPr>
        <w:t xml:space="preserve">NBA Matchmaker</w:t>
      </w:r>
    </w:p>
    <w:p>
      <w:pPr>
        <w:pBdr>
          <w:bottom w:val="single" w:color="C8501C" w:sz="12" w:space="6"/>
        </w:pBdr>
        <w:spacing w:after="240"/>
      </w:pPr>
      <w:r>
        <w:rPr>
          <w:color w:val="5B6878"/>
          <w:sz w:val="28"/>
          <w:szCs w:val="28"/>
        </w:rPr>
        <w:t xml:space="preserve">How it works</w:t>
      </w:r>
    </w:p>
    <w:p>
      <w:pPr>
        <w:pStyle w:val="Heading1"/>
        <w:spacing w:after="120" w:before="320"/>
      </w:pPr>
      <w:r>
        <w:t xml:space="preserve">What the tool does</w:t>
      </w:r>
    </w:p>
    <w:p>
      <w:pPr>
        <w:spacing w:after="120" w:line="300"/>
      </w:pPr>
      <w:r>
        <w:t xml:space="preserve">The NBA Matchmaker pairs teams with players they can afford and measures how much each player would change the team's offensive and defensive rating. It has two modes, picked from the buttons at the top of the page:</w:t>
      </w:r>
    </w:p>
    <w:p>
      <w:pPr>
        <w:pStyle w:val="ListParagraph"/>
        <w:numPr>
          <w:ilvl w:val="0"/>
          <w:numId w:val="2"/>
        </w:numPr>
        <w:spacing w:after="60" w:line="290"/>
      </w:pPr>
      <w:r>
        <w:rPr>
          <w:b/>
          <w:bCs/>
        </w:rPr>
        <w:t xml:space="preserve">Find players for a team.</w:t>
      </w:r>
      <w:r>
        <w:t xml:space="preserve"> Pick a team from the dropdown. The page lists every player on another team whose salary fits in that team's budget, ranked by how much he would improve the team.</w:t>
      </w:r>
    </w:p>
    <w:p>
      <w:pPr>
        <w:pStyle w:val="ListParagraph"/>
        <w:numPr>
          <w:ilvl w:val="0"/>
          <w:numId w:val="2"/>
        </w:numPr>
        <w:spacing w:after="60" w:line="290"/>
      </w:pPr>
      <w:r>
        <w:rPr>
          <w:b/>
          <w:bCs/>
        </w:rPr>
        <w:t xml:space="preserve">Find teams for a player.</w:t>
      </w:r>
      <w:r>
        <w:t xml:space="preserve"> Pick a player from the dropdown. The page ranks the other 29 teams by how much he would improve each one, with the teams that can afford him listed first.</w:t>
      </w:r>
    </w:p>
    <w:p>
      <w:pPr>
        <w:pStyle w:val="ListParagraph"/>
        <w:numPr>
          <w:ilvl w:val="0"/>
          <w:numId w:val="2"/>
        </w:numPr>
        <w:spacing w:after="60" w:line="290"/>
      </w:pPr>
      <w:r>
        <w:rPr>
          <w:b/>
          <w:bCs/>
        </w:rPr>
        <w:t xml:space="preserve">Trade machine.</w:t>
      </w:r>
      <w:r>
        <w:t xml:space="preserve"> Pick your team and the player you want, then choose which of your players and draft picks to send. The page checks whether both payrolls work, how both teams' ratings change, and whether the other team gets fair value back.</w:t>
      </w:r>
    </w:p>
    <w:p>
      <w:pPr>
        <w:spacing w:after="120" w:line="300"/>
      </w:pPr>
      <w:r>
        <w:t xml:space="preserve">It covers all 30 teams and the 522 players under contract for the 2026-27 season.</w:t>
      </w:r>
    </w:p>
    <w:p>
      <w:pPr>
        <w:pStyle w:val="Heading1"/>
        <w:spacing w:after="120" w:before="320"/>
      </w:pPr>
      <w:r>
        <w:t xml:space="preserve">Step 1: The budget</w:t>
      </w:r>
    </w:p>
    <w:p>
      <w:pPr>
        <w:spacing w:after="120" w:line="300"/>
      </w:pPr>
      <w:r>
        <w:t xml:space="preserve">Every team has a payroll: the total of its players' 2026-27 salaries, plus any dead money (salary still owed to players it has waived). Salaries are held flat, so a player is assumed to earn the same amount next year as he does this year. That takes projected raises out of the comparison.</w:t>
      </w:r>
    </w:p>
    <w:p>
      <w:pPr>
        <w:spacing w:after="120" w:line="300"/>
      </w:pPr>
      <w:r>
        <w:t xml:space="preserve">The budget is the room between the payroll and a spending line you choose. The default is the luxury tax line, since crossing it is the point where spending gets expensive for an owner. The four lines come from the NBA's official 2026-27 figures: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5DBE2" w:sz="4"/>
              <w:left w:val="single" w:color="D5DBE2" w:sz="4"/>
              <w:bottom w:val="single" w:color="D5DBE2" w:sz="4"/>
              <w:right w:val="single" w:color="D5DBE2" w:sz="4"/>
            </w:tcBorders>
            <w:shd w:fill="16212D" w:color="auto" w:val="clear"/>
            <w:tcMar>
              <w:top w:type="dxa" w:w="70"/>
              <w:left w:type="dxa" w:w="110"/>
              <w:bottom w:type="dxa" w:w="70"/>
              <w:right w:type="dxa" w:w="110"/>
            </w:tcMar>
          </w:tcPr>
          <w:p>
            <w:pPr>
              <w:jc w:val="left"/>
            </w:pPr>
            <w:r>
              <w:rPr>
                <w:b/>
                <w:bCs/>
                <w:color w:val="FFFFFF"/>
                <w:sz w:val="20"/>
                <w:szCs w:val="20"/>
              </w:rPr>
              <w:t xml:space="preserve">Line</w:t>
            </w:r>
          </w:p>
        </w:tc>
        <w:tc>
          <w:tcPr>
            <w:tcW w:type="dxa" w:w="4680"/>
            <w:tcBorders>
              <w:top w:val="single" w:color="D5DBE2" w:sz="4"/>
              <w:left w:val="single" w:color="D5DBE2" w:sz="4"/>
              <w:bottom w:val="single" w:color="D5DBE2" w:sz="4"/>
              <w:right w:val="single" w:color="D5DBE2" w:sz="4"/>
            </w:tcBorders>
            <w:shd w:fill="16212D" w:color="auto" w:val="clear"/>
            <w:tcMar>
              <w:top w:type="dxa" w:w="70"/>
              <w:left w:type="dxa" w:w="110"/>
              <w:bottom w:type="dxa" w:w="70"/>
              <w:right w:type="dxa" w:w="110"/>
            </w:tcMar>
          </w:tcPr>
          <w:p>
            <w:pPr>
              <w:jc w:val="left"/>
            </w:pPr>
            <w:r>
              <w:rPr>
                <w:b/>
                <w:bCs/>
                <w:color w:val="FFFFFF"/>
                <w:sz w:val="20"/>
                <w:szCs w:val="20"/>
              </w:rPr>
              <w:t xml:space="preserve">2026-27 amount</w:t>
            </w:r>
          </w:p>
        </w:tc>
      </w:tr>
      <w:tr>
        <w:tc>
          <w:tcPr>
            <w:tcW w:type="dxa" w:w="4680"/>
            <w:tcBorders>
              <w:top w:val="single" w:color="D5DBE2" w:sz="4"/>
              <w:left w:val="single" w:color="D5DBE2" w:sz="4"/>
              <w:bottom w:val="single" w:color="D5DBE2" w:sz="4"/>
              <w:right w:val="single" w:color="D5DBE2" w:sz="4"/>
            </w:tcBorders>
            <w:tcMar>
              <w:top w:type="dxa" w:w="70"/>
              <w:left w:type="dxa" w:w="110"/>
              <w:bottom w:type="dxa" w:w="70"/>
              <w:right w:type="dxa" w:w="110"/>
            </w:tcMar>
          </w:tcPr>
          <w:p>
            <w:pPr>
              <w:jc w:val="left"/>
            </w:pPr>
            <w:r>
              <w:rPr>
                <w:b w:val="false"/>
                <w:bCs w:val="false"/>
                <w:color w:val="16212D"/>
                <w:sz w:val="20"/>
                <w:szCs w:val="20"/>
              </w:rPr>
              <w:t xml:space="preserve">Salary cap</w:t>
            </w:r>
          </w:p>
        </w:tc>
        <w:tc>
          <w:tcPr>
            <w:tcW w:type="dxa" w:w="4680"/>
            <w:tcBorders>
              <w:top w:val="single" w:color="D5DBE2" w:sz="4"/>
              <w:left w:val="single" w:color="D5DBE2" w:sz="4"/>
              <w:bottom w:val="single" w:color="D5DBE2" w:sz="4"/>
              <w:right w:val="single" w:color="D5DBE2" w:sz="4"/>
            </w:tcBorders>
            <w:tcMar>
              <w:top w:type="dxa" w:w="70"/>
              <w:left w:type="dxa" w:w="110"/>
              <w:bottom w:type="dxa" w:w="70"/>
              <w:right w:type="dxa" w:w="110"/>
            </w:tcMar>
          </w:tcPr>
          <w:p>
            <w:pPr>
              <w:jc w:val="left"/>
            </w:pPr>
            <w:r>
              <w:rPr>
                <w:b w:val="false"/>
                <w:bCs w:val="false"/>
                <w:color w:val="16212D"/>
                <w:sz w:val="20"/>
                <w:szCs w:val="20"/>
              </w:rPr>
              <w:t xml:space="preserve">$164.961M</w:t>
            </w:r>
          </w:p>
        </w:tc>
      </w:tr>
      <w:tr>
        <w:tc>
          <w:tcPr>
            <w:tcW w:type="dxa" w:w="4680"/>
            <w:tcBorders>
              <w:top w:val="single" w:color="D5DBE2" w:sz="4"/>
              <w:left w:val="single" w:color="D5DBE2" w:sz="4"/>
              <w:bottom w:val="single" w:color="D5DBE2" w:sz="4"/>
              <w:right w:val="single" w:color="D5DBE2" w:sz="4"/>
            </w:tcBorders>
            <w:tcMar>
              <w:top w:type="dxa" w:w="70"/>
              <w:left w:type="dxa" w:w="110"/>
              <w:bottom w:type="dxa" w:w="70"/>
              <w:right w:type="dxa" w:w="110"/>
            </w:tcMar>
          </w:tcPr>
          <w:p>
            <w:pPr>
              <w:jc w:val="left"/>
            </w:pPr>
            <w:r>
              <w:rPr>
                <w:b w:val="false"/>
                <w:bCs w:val="false"/>
                <w:color w:val="16212D"/>
                <w:sz w:val="20"/>
                <w:szCs w:val="20"/>
              </w:rPr>
              <w:t xml:space="preserve">Luxury tax (default)</w:t>
            </w:r>
          </w:p>
        </w:tc>
        <w:tc>
          <w:tcPr>
            <w:tcW w:type="dxa" w:w="4680"/>
            <w:tcBorders>
              <w:top w:val="single" w:color="D5DBE2" w:sz="4"/>
              <w:left w:val="single" w:color="D5DBE2" w:sz="4"/>
              <w:bottom w:val="single" w:color="D5DBE2" w:sz="4"/>
              <w:right w:val="single" w:color="D5DBE2" w:sz="4"/>
            </w:tcBorders>
            <w:tcMar>
              <w:top w:type="dxa" w:w="70"/>
              <w:left w:type="dxa" w:w="110"/>
              <w:bottom w:type="dxa" w:w="70"/>
              <w:right w:type="dxa" w:w="110"/>
            </w:tcMar>
          </w:tcPr>
          <w:p>
            <w:pPr>
              <w:jc w:val="left"/>
            </w:pPr>
            <w:r>
              <w:rPr>
                <w:b w:val="false"/>
                <w:bCs w:val="false"/>
                <w:color w:val="16212D"/>
                <w:sz w:val="20"/>
                <w:szCs w:val="20"/>
              </w:rPr>
              <w:t xml:space="preserve">$200.428M</w:t>
            </w:r>
          </w:p>
        </w:tc>
      </w:tr>
      <w:tr>
        <w:tc>
          <w:tcPr>
            <w:tcW w:type="dxa" w:w="4680"/>
            <w:tcBorders>
              <w:top w:val="single" w:color="D5DBE2" w:sz="4"/>
              <w:left w:val="single" w:color="D5DBE2" w:sz="4"/>
              <w:bottom w:val="single" w:color="D5DBE2" w:sz="4"/>
              <w:right w:val="single" w:color="D5DBE2" w:sz="4"/>
            </w:tcBorders>
            <w:tcMar>
              <w:top w:type="dxa" w:w="70"/>
              <w:left w:type="dxa" w:w="110"/>
              <w:bottom w:type="dxa" w:w="70"/>
              <w:right w:type="dxa" w:w="110"/>
            </w:tcMar>
          </w:tcPr>
          <w:p>
            <w:pPr>
              <w:jc w:val="left"/>
            </w:pPr>
            <w:r>
              <w:rPr>
                <w:b w:val="false"/>
                <w:bCs w:val="false"/>
                <w:color w:val="16212D"/>
                <w:sz w:val="20"/>
                <w:szCs w:val="20"/>
              </w:rPr>
              <w:t xml:space="preserve">First apron</w:t>
            </w:r>
          </w:p>
        </w:tc>
        <w:tc>
          <w:tcPr>
            <w:tcW w:type="dxa" w:w="4680"/>
            <w:tcBorders>
              <w:top w:val="single" w:color="D5DBE2" w:sz="4"/>
              <w:left w:val="single" w:color="D5DBE2" w:sz="4"/>
              <w:bottom w:val="single" w:color="D5DBE2" w:sz="4"/>
              <w:right w:val="single" w:color="D5DBE2" w:sz="4"/>
            </w:tcBorders>
            <w:tcMar>
              <w:top w:type="dxa" w:w="70"/>
              <w:left w:type="dxa" w:w="110"/>
              <w:bottom w:type="dxa" w:w="70"/>
              <w:right w:type="dxa" w:w="110"/>
            </w:tcMar>
          </w:tcPr>
          <w:p>
            <w:pPr>
              <w:jc w:val="left"/>
            </w:pPr>
            <w:r>
              <w:rPr>
                <w:b w:val="false"/>
                <w:bCs w:val="false"/>
                <w:color w:val="16212D"/>
                <w:sz w:val="20"/>
                <w:szCs w:val="20"/>
              </w:rPr>
              <w:t xml:space="preserve">$209.015M</w:t>
            </w:r>
          </w:p>
        </w:tc>
      </w:tr>
      <w:tr>
        <w:tc>
          <w:tcPr>
            <w:tcW w:type="dxa" w:w="4680"/>
            <w:tcBorders>
              <w:top w:val="single" w:color="D5DBE2" w:sz="4"/>
              <w:left w:val="single" w:color="D5DBE2" w:sz="4"/>
              <w:bottom w:val="single" w:color="D5DBE2" w:sz="4"/>
              <w:right w:val="single" w:color="D5DBE2" w:sz="4"/>
            </w:tcBorders>
            <w:tcMar>
              <w:top w:type="dxa" w:w="70"/>
              <w:left w:type="dxa" w:w="110"/>
              <w:bottom w:type="dxa" w:w="70"/>
              <w:right w:type="dxa" w:w="110"/>
            </w:tcMar>
          </w:tcPr>
          <w:p>
            <w:pPr>
              <w:jc w:val="left"/>
            </w:pPr>
            <w:r>
              <w:rPr>
                <w:b w:val="false"/>
                <w:bCs w:val="false"/>
                <w:color w:val="16212D"/>
                <w:sz w:val="20"/>
                <w:szCs w:val="20"/>
              </w:rPr>
              <w:t xml:space="preserve">Second apron</w:t>
            </w:r>
          </w:p>
        </w:tc>
        <w:tc>
          <w:tcPr>
            <w:tcW w:type="dxa" w:w="4680"/>
            <w:tcBorders>
              <w:top w:val="single" w:color="D5DBE2" w:sz="4"/>
              <w:left w:val="single" w:color="D5DBE2" w:sz="4"/>
              <w:bottom w:val="single" w:color="D5DBE2" w:sz="4"/>
              <w:right w:val="single" w:color="D5DBE2" w:sz="4"/>
            </w:tcBorders>
            <w:tcMar>
              <w:top w:type="dxa" w:w="70"/>
              <w:left w:type="dxa" w:w="110"/>
              <w:bottom w:type="dxa" w:w="70"/>
              <w:right w:type="dxa" w:w="110"/>
            </w:tcMar>
          </w:tcPr>
          <w:p>
            <w:pPr>
              <w:jc w:val="left"/>
            </w:pPr>
            <w:r>
              <w:rPr>
                <w:b w:val="false"/>
                <w:bCs w:val="false"/>
                <w:color w:val="16212D"/>
                <w:sz w:val="20"/>
                <w:szCs w:val="20"/>
              </w:rPr>
              <w:t xml:space="preserve">$221.686M</w:t>
            </w:r>
          </w:p>
        </w:tc>
      </w:tr>
    </w:tbl>
    <w:p>
      <w:pPr>
        <w:spacing w:after="120"/>
      </w:pPr>
    </w:p>
    <w:p>
      <w:pPr>
        <w:pBdr>
          <w:left w:val="single" w:color="C8501C" w:sz="18" w:space="8"/>
        </w:pBdr>
        <w:shd w:fill="EEF1F4" w:color="auto" w:val="clear"/>
        <w:spacing w:after="160" w:before="80"/>
        <w:ind w:left="360"/>
      </w:pPr>
      <w:r>
        <w:rPr>
          <w:rFonts w:ascii="Consolas" w:cs="Consolas" w:eastAsia="Consolas" w:hAnsi="Consolas"/>
          <w:sz w:val="20"/>
          <w:szCs w:val="20"/>
        </w:rPr>
        <w:t xml:space="preserve">Room = chosen line − team payroll</w:t>
      </w:r>
    </w:p>
    <w:p>
      <w:pPr>
        <w:spacing w:after="120" w:line="300"/>
      </w:pPr>
      <w:r>
        <w:t xml:space="preserve">A player is a candidate only if his salary is less than or equal to the room. A team already over the line has no room, so nobody fits. To make room, tick players on the roster to move them out. Their salary is added back to the budget and their minutes are handed to the rest of the roster.</w:t>
      </w:r>
    </w:p>
    <w:p>
      <w:pPr>
        <w:spacing w:after="120" w:line="300"/>
      </w:pPr>
      <w:r>
        <w:t xml:space="preserve">Players on two-way or non-guaranteed deals have no cap figure for 2026-27, so they are left out of the candidate lists.</w:t>
      </w:r>
    </w:p>
    <w:p>
      <w:pPr>
        <w:pStyle w:val="Heading1"/>
        <w:spacing w:after="120" w:before="320"/>
      </w:pPr>
      <w:r>
        <w:t xml:space="preserve">Step 2: Each player's impact</w:t>
      </w:r>
    </w:p>
    <w:p>
      <w:pPr>
        <w:spacing w:after="120" w:line="300"/>
      </w:pPr>
      <w:r>
        <w:t xml:space="preserve">Every player has two impact numbers, both measured in points per 100 possessions:</w:t>
      </w:r>
    </w:p>
    <w:p>
      <w:pPr>
        <w:pStyle w:val="ListParagraph"/>
        <w:numPr>
          <w:ilvl w:val="0"/>
          <w:numId w:val="2"/>
        </w:numPr>
        <w:spacing w:after="60" w:line="290"/>
      </w:pPr>
      <w:r>
        <w:rPr>
          <w:b/>
          <w:bCs/>
        </w:rPr>
        <w:t xml:space="preserve">Offensive impact:</w:t>
      </w:r>
      <w:r>
        <w:t xml:space="preserve"> how many points per 100 possessions his team scores above average while he is on the floor, after accounting for his teammates and opponents.</w:t>
      </w:r>
    </w:p>
    <w:p>
      <w:pPr>
        <w:pStyle w:val="ListParagraph"/>
        <w:numPr>
          <w:ilvl w:val="0"/>
          <w:numId w:val="2"/>
        </w:numPr>
        <w:spacing w:after="60" w:line="290"/>
      </w:pPr>
      <w:r>
        <w:rPr>
          <w:b/>
          <w:bCs/>
        </w:rPr>
        <w:t xml:space="preserve">Defensive impact:</w:t>
      </w:r>
      <w:r>
        <w:t xml:space="preserve"> how many points per 100 possessions he keeps the opponent below average. Positive means good defense.</w:t>
      </w:r>
    </w:p>
    <w:p>
      <w:pPr>
        <w:spacing w:after="120" w:line="300"/>
      </w:pPr>
      <w:r>
        <w:t xml:space="preserve">The numbers come from last season (2025-26). Three cases are handled differently:</w:t>
      </w:r>
    </w:p>
    <w:p>
      <w:pPr>
        <w:pStyle w:val="ListParagraph"/>
        <w:numPr>
          <w:ilvl w:val="0"/>
          <w:numId w:val="2"/>
        </w:numPr>
        <w:spacing w:after="60" w:line="290"/>
      </w:pPr>
      <w:r>
        <w:rPr>
          <w:b/>
          <w:bCs/>
        </w:rPr>
        <w:t xml:space="preserve">Injured or barely played.</w:t>
      </w:r>
      <w:r>
        <w:t xml:space="preserve"> If a player logged under 300 minutes last season, the tool uses his most recent season with 300 or more minutes from the last three years. Tyrese Haliburton, for example, is rated on 2024-25.</w:t>
      </w:r>
    </w:p>
    <w:p>
      <w:pPr>
        <w:pStyle w:val="ListParagraph"/>
        <w:numPr>
          <w:ilvl w:val="0"/>
          <w:numId w:val="2"/>
        </w:numPr>
        <w:spacing w:after="60" w:line="290"/>
      </w:pPr>
      <w:r>
        <w:rPr>
          <w:b/>
          <w:bCs/>
        </w:rPr>
        <w:t xml:space="preserve">No NBA minutes yet.</w:t>
      </w:r>
      <w:r>
        <w:t xml:space="preserve"> Rookies and players returning from overseas get the average impact of last season's first-year players (about −1.1 on offense and −0.3 on defense). The page marks them "No NBA data" and hides them from the candidate list unless you tick "Include players with no NBA minutes."</w:t>
      </w:r>
    </w:p>
    <w:p>
      <w:pPr>
        <w:pStyle w:val="ListParagraph"/>
        <w:numPr>
          <w:ilvl w:val="0"/>
          <w:numId w:val="2"/>
        </w:numPr>
        <w:spacing w:after="60" w:line="290"/>
      </w:pPr>
      <w:r>
        <w:rPr>
          <w:b/>
          <w:bCs/>
        </w:rPr>
        <w:t xml:space="preserve">Projected minutes.</w:t>
      </w:r>
      <w:r>
        <w:t xml:space="preserve"> Each player is projected to play his minutes per game from that same season, capped at 36.</w:t>
      </w:r>
    </w:p>
    <w:p>
      <w:pPr>
        <w:pStyle w:val="Heading1"/>
        <w:spacing w:after="120" w:before="320"/>
      </w:pPr>
      <w:r>
        <w:t xml:space="preserve">Step 3: Weighting by minutes</w:t>
      </w:r>
    </w:p>
    <w:p>
      <w:pPr>
        <w:spacing w:after="120" w:line="300"/>
      </w:pPr>
      <w:r>
        <w:t xml:space="preserve">A player can only change a team's rating while he is on the floor. A game has 48 minutes, so a player who plays 24 minutes has half the effect of a player who plays all 48. The tool multiplies each impact by the share of the game he plays:</w:t>
      </w:r>
    </w:p>
    <w:p>
      <w:pPr>
        <w:pBdr>
          <w:left w:val="single" w:color="C8501C" w:sz="18" w:space="8"/>
        </w:pBdr>
        <w:shd w:fill="EEF1F4" w:color="auto" w:val="clear"/>
        <w:spacing w:after="160" w:before="80"/>
        <w:ind w:left="360"/>
      </w:pPr>
      <w:r>
        <w:rPr>
          <w:rFonts w:ascii="Consolas" w:cs="Consolas" w:eastAsia="Consolas" w:hAnsi="Consolas"/>
          <w:sz w:val="20"/>
          <w:szCs w:val="20"/>
        </w:rPr>
        <w:t xml:space="preserve">Effect on team rating = impact × minutes ÷ 48</w:t>
      </w:r>
    </w:p>
    <w:p>
      <w:pPr>
        <w:spacing w:after="120" w:line="300"/>
      </w:pPr>
      <w:r>
        <w:t xml:space="preserve">This works in both directions. A strong player who plays more moves the rating up by more, and a weak player who plays more drags it down by more.</w:t>
      </w:r>
    </w:p>
    <w:p>
      <w:pPr>
        <w:pStyle w:val="Heading1"/>
        <w:spacing w:after="120" w:before="320"/>
      </w:pPr>
      <w:r>
        <w:t xml:space="preserve">Step 4: Whose minutes he takes</w:t>
      </w:r>
    </w:p>
    <w:p>
      <w:pPr>
        <w:spacing w:after="120" w:line="300"/>
      </w:pPr>
      <w:r>
        <w:t xml:space="preserve">A team only has 240 player-minutes per game (5 players × 48 minutes). Adding someone means someone else plays less, so the tool compares the new player against the players he replaces, not against nothing.</w:t>
      </w:r>
    </w:p>
    <w:p>
      <w:pPr>
        <w:pStyle w:val="ListParagraph"/>
        <w:numPr>
          <w:ilvl w:val="0"/>
          <w:numId w:val="3"/>
        </w:numPr>
        <w:spacing w:after="60" w:line="290"/>
      </w:pPr>
      <w:r>
        <w:rPr>
          <w:b/>
          <w:bCs/>
        </w:rPr>
        <w:t xml:space="preserve">Current rotation.</w:t>
      </w:r>
      <w:r>
        <w:t xml:space="preserve"> The roster's minutes are filled up to 240 using each player's minutes per game, starting with the players who played the most. Players further down the bench get whatever is left, often zero.</w:t>
      </w:r>
    </w:p>
    <w:p>
      <w:pPr>
        <w:pStyle w:val="ListParagraph"/>
        <w:numPr>
          <w:ilvl w:val="0"/>
          <w:numId w:val="3"/>
        </w:numPr>
        <w:spacing w:after="60" w:line="290"/>
      </w:pPr>
      <w:r>
        <w:rPr>
          <w:b/>
          <w:bCs/>
        </w:rPr>
        <w:t xml:space="preserve">Same position first.</w:t>
      </w:r>
      <w:r>
        <w:t xml:space="preserve"> The new player's minutes come out of players in his position group (guard, forward or center), starting with the lowest-impact player.</w:t>
      </w:r>
    </w:p>
    <w:p>
      <w:pPr>
        <w:pStyle w:val="ListParagraph"/>
        <w:numPr>
          <w:ilvl w:val="0"/>
          <w:numId w:val="3"/>
        </w:numPr>
        <w:spacing w:after="60" w:line="290"/>
      </w:pPr>
      <w:r>
        <w:rPr>
          <w:b/>
          <w:bCs/>
        </w:rPr>
        <w:t xml:space="preserve">Then the rest of the rotation.</w:t>
      </w:r>
      <w:r>
        <w:t xml:space="preserve"> If his position group doesn't have enough minutes to give up, the remainder comes from the lowest-impact players elsewhere on the roster.</w:t>
      </w:r>
    </w:p>
    <w:p>
      <w:pPr>
        <w:spacing w:after="120" w:line="300"/>
      </w:pPr>
      <w:r>
        <w:t xml:space="preserve">The change in each rating is then:</w:t>
      </w:r>
    </w:p>
    <w:p>
      <w:pPr>
        <w:pBdr>
          <w:left w:val="single" w:color="C8501C" w:sz="18" w:space="8"/>
        </w:pBdr>
        <w:shd w:fill="EEF1F4" w:color="auto" w:val="clear"/>
        <w:spacing w:after="160" w:before="80"/>
        <w:ind w:left="360"/>
      </w:pPr>
      <w:r>
        <w:rPr>
          <w:rFonts w:ascii="Consolas" w:cs="Consolas" w:eastAsia="Consolas" w:hAnsi="Consolas"/>
          <w:sz w:val="20"/>
          <w:szCs w:val="20"/>
        </w:rPr>
        <w:t xml:space="preserve">ORtg change = (his offense × his minutes − Σ replaced offense × minutes lost) ÷ 48</w:t>
      </w:r>
    </w:p>
    <w:p>
      <w:pPr>
        <w:pBdr>
          <w:left w:val="single" w:color="C8501C" w:sz="18" w:space="8"/>
        </w:pBdr>
        <w:shd w:fill="EEF1F4" w:color="auto" w:val="clear"/>
        <w:spacing w:after="160" w:before="80"/>
        <w:ind w:left="360"/>
      </w:pPr>
      <w:r>
        <w:rPr>
          <w:rFonts w:ascii="Consolas" w:cs="Consolas" w:eastAsia="Consolas" w:hAnsi="Consolas"/>
          <w:sz w:val="20"/>
          <w:szCs w:val="20"/>
        </w:rPr>
        <w:t xml:space="preserve">DRtg change = −(his defense × his minutes − Σ replaced defense × minutes lost) ÷ 48</w:t>
      </w:r>
    </w:p>
    <w:p>
      <w:pPr>
        <w:pBdr>
          <w:left w:val="single" w:color="C8501C" w:sz="18" w:space="8"/>
        </w:pBdr>
        <w:shd w:fill="EEF1F4" w:color="auto" w:val="clear"/>
        <w:spacing w:after="160" w:before="80"/>
        <w:ind w:left="360"/>
      </w:pPr>
      <w:r>
        <w:rPr>
          <w:rFonts w:ascii="Consolas" w:cs="Consolas" w:eastAsia="Consolas" w:hAnsi="Consolas"/>
          <w:sz w:val="20"/>
          <w:szCs w:val="20"/>
        </w:rPr>
        <w:t xml:space="preserve">Net change = ORtg change − DRtg change</w:t>
      </w:r>
    </w:p>
    <w:p>
      <w:pPr>
        <w:spacing w:after="120" w:line="300"/>
      </w:pPr>
      <w:r>
        <w:t xml:space="preserve">Defensive rating is points allowed, so lower is better. A negative DRtg change is an improvement, and the page shows it in green.</w:t>
      </w:r>
    </w:p>
    <w:p>
      <w:pPr>
        <w:pStyle w:val="Heading2"/>
        <w:spacing w:after="80" w:before="200"/>
      </w:pPr>
      <w:r>
        <w:t xml:space="preserve">Worked example: Victor Wembanyama to Detroit</w:t>
      </w:r>
    </w:p>
    <w:p>
      <w:pPr>
        <w:spacing w:after="120" w:line="300"/>
      </w:pPr>
      <w:r>
        <w:t xml:space="preserve">Detroit's payroll is $154.3M, leaving $46.1M under the tax line. Wembanyama earns $16.9M, so he fits. He is projected at 30.1 minutes, with an offensive impact of +3.66 and a defensive impact of +3.99.</w:t>
      </w:r>
    </w:p>
    <w:p>
      <w:pPr>
        <w:spacing w:after="120" w:line="300"/>
      </w:pPr>
      <w:r>
        <w:t xml:space="preserve">Detroit's centers are all on the bench in the current rotation, so his 30.1 minutes come from the lowest-impact players in the rotation: 23.5 minutes from Taurean Prince (offense −1.65, defense −0.78) and 6.6 minutes from Elijah Harkless (offense −0.72, defense −0.02).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230"/>
        <w:gridCol w:w="3230"/>
      </w:tblGrid>
      <w:tr>
        <w:trPr>
          <w:tblHeader/>
        </w:trPr>
        <w:tc>
          <w:tcPr>
            <w:tcW w:type="dxa" w:w="2900"/>
            <w:tcBorders>
              <w:top w:val="single" w:color="D5DBE2" w:sz="4"/>
              <w:left w:val="single" w:color="D5DBE2" w:sz="4"/>
              <w:bottom w:val="single" w:color="D5DBE2" w:sz="4"/>
              <w:right w:val="single" w:color="D5DBE2" w:sz="4"/>
            </w:tcBorders>
            <w:shd w:fill="16212D" w:color="auto" w:val="clear"/>
            <w:tcMar>
              <w:top w:type="dxa" w:w="70"/>
              <w:left w:type="dxa" w:w="110"/>
              <w:bottom w:type="dxa" w:w="70"/>
              <w:right w:type="dxa" w:w="110"/>
            </w:tcMar>
          </w:tcPr>
          <w:p>
            <w:pPr>
              <w:jc w:val="left"/>
            </w:pPr>
            <w:r>
              <w:rPr>
                <w:b/>
                <w:bCs/>
                <w:color w:val="FFFFFF"/>
                <w:sz w:val="20"/>
                <w:szCs w:val="20"/>
              </w:rPr>
              <w:t xml:space="preserve"/>
            </w:r>
          </w:p>
        </w:tc>
        <w:tc>
          <w:tcPr>
            <w:tcW w:type="dxa" w:w="3230"/>
            <w:tcBorders>
              <w:top w:val="single" w:color="D5DBE2" w:sz="4"/>
              <w:left w:val="single" w:color="D5DBE2" w:sz="4"/>
              <w:bottom w:val="single" w:color="D5DBE2" w:sz="4"/>
              <w:right w:val="single" w:color="D5DBE2" w:sz="4"/>
            </w:tcBorders>
            <w:shd w:fill="16212D" w:color="auto" w:val="clear"/>
            <w:tcMar>
              <w:top w:type="dxa" w:w="70"/>
              <w:left w:type="dxa" w:w="110"/>
              <w:bottom w:type="dxa" w:w="70"/>
              <w:right w:type="dxa" w:w="110"/>
            </w:tcMar>
          </w:tcPr>
          <w:p>
            <w:pPr>
              <w:jc w:val="left"/>
            </w:pPr>
            <w:r>
              <w:rPr>
                <w:b/>
                <w:bCs/>
                <w:color w:val="FFFFFF"/>
                <w:sz w:val="20"/>
                <w:szCs w:val="20"/>
              </w:rPr>
              <w:t xml:space="preserve">Offense</w:t>
            </w:r>
          </w:p>
        </w:tc>
        <w:tc>
          <w:tcPr>
            <w:tcW w:type="dxa" w:w="3230"/>
            <w:tcBorders>
              <w:top w:val="single" w:color="D5DBE2" w:sz="4"/>
              <w:left w:val="single" w:color="D5DBE2" w:sz="4"/>
              <w:bottom w:val="single" w:color="D5DBE2" w:sz="4"/>
              <w:right w:val="single" w:color="D5DBE2" w:sz="4"/>
            </w:tcBorders>
            <w:shd w:fill="16212D" w:color="auto" w:val="clear"/>
            <w:tcMar>
              <w:top w:type="dxa" w:w="70"/>
              <w:left w:type="dxa" w:w="110"/>
              <w:bottom w:type="dxa" w:w="70"/>
              <w:right w:type="dxa" w:w="110"/>
            </w:tcMar>
          </w:tcPr>
          <w:p>
            <w:pPr>
              <w:jc w:val="left"/>
            </w:pPr>
            <w:r>
              <w:rPr>
                <w:b/>
                <w:bCs/>
                <w:color w:val="FFFFFF"/>
                <w:sz w:val="20"/>
                <w:szCs w:val="20"/>
              </w:rPr>
              <w:t xml:space="preserve">Defense</w:t>
            </w:r>
          </w:p>
        </w:tc>
      </w:tr>
      <w:tr>
        <w:tc>
          <w:tcPr>
            <w:tcW w:type="dxa" w:w="2900"/>
            <w:tcBorders>
              <w:top w:val="single" w:color="D5DBE2" w:sz="4"/>
              <w:left w:val="single" w:color="D5DBE2" w:sz="4"/>
              <w:bottom w:val="single" w:color="D5DBE2" w:sz="4"/>
              <w:right w:val="single" w:color="D5DBE2" w:sz="4"/>
            </w:tcBorders>
            <w:tcMar>
              <w:top w:type="dxa" w:w="70"/>
              <w:left w:type="dxa" w:w="110"/>
              <w:bottom w:type="dxa" w:w="70"/>
              <w:right w:type="dxa" w:w="110"/>
            </w:tcMar>
          </w:tcPr>
          <w:p>
            <w:pPr>
              <w:jc w:val="left"/>
            </w:pPr>
            <w:r>
              <w:rPr>
                <w:b w:val="false"/>
                <w:bCs w:val="false"/>
                <w:color w:val="16212D"/>
                <w:sz w:val="20"/>
                <w:szCs w:val="20"/>
              </w:rPr>
              <w:t xml:space="preserve">Wembanyama adds</w:t>
            </w:r>
          </w:p>
        </w:tc>
        <w:tc>
          <w:tcPr>
            <w:tcW w:type="dxa" w:w="3230"/>
            <w:tcBorders>
              <w:top w:val="single" w:color="D5DBE2" w:sz="4"/>
              <w:left w:val="single" w:color="D5DBE2" w:sz="4"/>
              <w:bottom w:val="single" w:color="D5DBE2" w:sz="4"/>
              <w:right w:val="single" w:color="D5DBE2" w:sz="4"/>
            </w:tcBorders>
            <w:tcMar>
              <w:top w:type="dxa" w:w="70"/>
              <w:left w:type="dxa" w:w="110"/>
              <w:bottom w:type="dxa" w:w="70"/>
              <w:right w:type="dxa" w:w="110"/>
            </w:tcMar>
          </w:tcPr>
          <w:p>
            <w:pPr>
              <w:jc w:val="left"/>
            </w:pPr>
            <w:r>
              <w:rPr>
                <w:b w:val="false"/>
                <w:bCs w:val="false"/>
                <w:color w:val="16212D"/>
                <w:sz w:val="20"/>
                <w:szCs w:val="20"/>
              </w:rPr>
              <w:t xml:space="preserve">3.66 × 30.1 = 110.2</w:t>
            </w:r>
          </w:p>
        </w:tc>
        <w:tc>
          <w:tcPr>
            <w:tcW w:type="dxa" w:w="3230"/>
            <w:tcBorders>
              <w:top w:val="single" w:color="D5DBE2" w:sz="4"/>
              <w:left w:val="single" w:color="D5DBE2" w:sz="4"/>
              <w:bottom w:val="single" w:color="D5DBE2" w:sz="4"/>
              <w:right w:val="single" w:color="D5DBE2" w:sz="4"/>
            </w:tcBorders>
            <w:tcMar>
              <w:top w:type="dxa" w:w="70"/>
              <w:left w:type="dxa" w:w="110"/>
              <w:bottom w:type="dxa" w:w="70"/>
              <w:right w:type="dxa" w:w="110"/>
            </w:tcMar>
          </w:tcPr>
          <w:p>
            <w:pPr>
              <w:jc w:val="left"/>
            </w:pPr>
            <w:r>
              <w:rPr>
                <w:b w:val="false"/>
                <w:bCs w:val="false"/>
                <w:color w:val="16212D"/>
                <w:sz w:val="20"/>
                <w:szCs w:val="20"/>
              </w:rPr>
              <w:t xml:space="preserve">3.99 × 30.1 = 120.1</w:t>
            </w:r>
          </w:p>
        </w:tc>
      </w:tr>
      <w:tr>
        <w:tc>
          <w:tcPr>
            <w:tcW w:type="dxa" w:w="2900"/>
            <w:tcBorders>
              <w:top w:val="single" w:color="D5DBE2" w:sz="4"/>
              <w:left w:val="single" w:color="D5DBE2" w:sz="4"/>
              <w:bottom w:val="single" w:color="D5DBE2" w:sz="4"/>
              <w:right w:val="single" w:color="D5DBE2" w:sz="4"/>
            </w:tcBorders>
            <w:tcMar>
              <w:top w:type="dxa" w:w="70"/>
              <w:left w:type="dxa" w:w="110"/>
              <w:bottom w:type="dxa" w:w="70"/>
              <w:right w:type="dxa" w:w="110"/>
            </w:tcMar>
          </w:tcPr>
          <w:p>
            <w:pPr>
              <w:jc w:val="left"/>
            </w:pPr>
            <w:r>
              <w:rPr>
                <w:b w:val="false"/>
                <w:bCs w:val="false"/>
                <w:color w:val="16212D"/>
                <w:sz w:val="20"/>
                <w:szCs w:val="20"/>
              </w:rPr>
              <w:t xml:space="preserve">Prince loses</w:t>
            </w:r>
          </w:p>
        </w:tc>
        <w:tc>
          <w:tcPr>
            <w:tcW w:type="dxa" w:w="3230"/>
            <w:tcBorders>
              <w:top w:val="single" w:color="D5DBE2" w:sz="4"/>
              <w:left w:val="single" w:color="D5DBE2" w:sz="4"/>
              <w:bottom w:val="single" w:color="D5DBE2" w:sz="4"/>
              <w:right w:val="single" w:color="D5DBE2" w:sz="4"/>
            </w:tcBorders>
            <w:tcMar>
              <w:top w:type="dxa" w:w="70"/>
              <w:left w:type="dxa" w:w="110"/>
              <w:bottom w:type="dxa" w:w="70"/>
              <w:right w:type="dxa" w:w="110"/>
            </w:tcMar>
          </w:tcPr>
          <w:p>
            <w:pPr>
              <w:jc w:val="left"/>
            </w:pPr>
            <w:r>
              <w:rPr>
                <w:b w:val="false"/>
                <w:bCs w:val="false"/>
                <w:color w:val="16212D"/>
                <w:sz w:val="20"/>
                <w:szCs w:val="20"/>
              </w:rPr>
              <w:t xml:space="preserve">−1.65 × 23.5 = −38.8</w:t>
            </w:r>
          </w:p>
        </w:tc>
        <w:tc>
          <w:tcPr>
            <w:tcW w:type="dxa" w:w="3230"/>
            <w:tcBorders>
              <w:top w:val="single" w:color="D5DBE2" w:sz="4"/>
              <w:left w:val="single" w:color="D5DBE2" w:sz="4"/>
              <w:bottom w:val="single" w:color="D5DBE2" w:sz="4"/>
              <w:right w:val="single" w:color="D5DBE2" w:sz="4"/>
            </w:tcBorders>
            <w:tcMar>
              <w:top w:type="dxa" w:w="70"/>
              <w:left w:type="dxa" w:w="110"/>
              <w:bottom w:type="dxa" w:w="70"/>
              <w:right w:type="dxa" w:w="110"/>
            </w:tcMar>
          </w:tcPr>
          <w:p>
            <w:pPr>
              <w:jc w:val="left"/>
            </w:pPr>
            <w:r>
              <w:rPr>
                <w:b w:val="false"/>
                <w:bCs w:val="false"/>
                <w:color w:val="16212D"/>
                <w:sz w:val="20"/>
                <w:szCs w:val="20"/>
              </w:rPr>
              <w:t xml:space="preserve">−0.78 × 23.5 = −18.3</w:t>
            </w:r>
          </w:p>
        </w:tc>
      </w:tr>
      <w:tr>
        <w:tc>
          <w:tcPr>
            <w:tcW w:type="dxa" w:w="2900"/>
            <w:tcBorders>
              <w:top w:val="single" w:color="D5DBE2" w:sz="4"/>
              <w:left w:val="single" w:color="D5DBE2" w:sz="4"/>
              <w:bottom w:val="single" w:color="D5DBE2" w:sz="4"/>
              <w:right w:val="single" w:color="D5DBE2" w:sz="4"/>
            </w:tcBorders>
            <w:tcMar>
              <w:top w:type="dxa" w:w="70"/>
              <w:left w:type="dxa" w:w="110"/>
              <w:bottom w:type="dxa" w:w="70"/>
              <w:right w:type="dxa" w:w="110"/>
            </w:tcMar>
          </w:tcPr>
          <w:p>
            <w:pPr>
              <w:jc w:val="left"/>
            </w:pPr>
            <w:r>
              <w:rPr>
                <w:b w:val="false"/>
                <w:bCs w:val="false"/>
                <w:color w:val="16212D"/>
                <w:sz w:val="20"/>
                <w:szCs w:val="20"/>
              </w:rPr>
              <w:t xml:space="preserve">Harkless loses</w:t>
            </w:r>
          </w:p>
        </w:tc>
        <w:tc>
          <w:tcPr>
            <w:tcW w:type="dxa" w:w="3230"/>
            <w:tcBorders>
              <w:top w:val="single" w:color="D5DBE2" w:sz="4"/>
              <w:left w:val="single" w:color="D5DBE2" w:sz="4"/>
              <w:bottom w:val="single" w:color="D5DBE2" w:sz="4"/>
              <w:right w:val="single" w:color="D5DBE2" w:sz="4"/>
            </w:tcBorders>
            <w:tcMar>
              <w:top w:type="dxa" w:w="70"/>
              <w:left w:type="dxa" w:w="110"/>
              <w:bottom w:type="dxa" w:w="70"/>
              <w:right w:type="dxa" w:w="110"/>
            </w:tcMar>
          </w:tcPr>
          <w:p>
            <w:pPr>
              <w:jc w:val="left"/>
            </w:pPr>
            <w:r>
              <w:rPr>
                <w:b w:val="false"/>
                <w:bCs w:val="false"/>
                <w:color w:val="16212D"/>
                <w:sz w:val="20"/>
                <w:szCs w:val="20"/>
              </w:rPr>
              <w:t xml:space="preserve">−0.72 × 6.6 = −4.8</w:t>
            </w:r>
          </w:p>
        </w:tc>
        <w:tc>
          <w:tcPr>
            <w:tcW w:type="dxa" w:w="3230"/>
            <w:tcBorders>
              <w:top w:val="single" w:color="D5DBE2" w:sz="4"/>
              <w:left w:val="single" w:color="D5DBE2" w:sz="4"/>
              <w:bottom w:val="single" w:color="D5DBE2" w:sz="4"/>
              <w:right w:val="single" w:color="D5DBE2" w:sz="4"/>
            </w:tcBorders>
            <w:tcMar>
              <w:top w:type="dxa" w:w="70"/>
              <w:left w:type="dxa" w:w="110"/>
              <w:bottom w:type="dxa" w:w="70"/>
              <w:right w:type="dxa" w:w="110"/>
            </w:tcMar>
          </w:tcPr>
          <w:p>
            <w:pPr>
              <w:jc w:val="left"/>
            </w:pPr>
            <w:r>
              <w:rPr>
                <w:b w:val="false"/>
                <w:bCs w:val="false"/>
                <w:color w:val="16212D"/>
                <w:sz w:val="20"/>
                <w:szCs w:val="20"/>
              </w:rPr>
              <w:t xml:space="preserve">−0.02 × 6.6 = −0.1</w:t>
            </w:r>
          </w:p>
        </w:tc>
      </w:tr>
      <w:tr>
        <w:tc>
          <w:tcPr>
            <w:tcW w:type="dxa" w:w="2900"/>
            <w:tcBorders>
              <w:top w:val="single" w:color="D5DBE2" w:sz="4"/>
              <w:left w:val="single" w:color="D5DBE2" w:sz="4"/>
              <w:bottom w:val="single" w:color="D5DBE2" w:sz="4"/>
              <w:right w:val="single" w:color="D5DBE2" w:sz="4"/>
            </w:tcBorders>
            <w:tcMar>
              <w:top w:type="dxa" w:w="70"/>
              <w:left w:type="dxa" w:w="110"/>
              <w:bottom w:type="dxa" w:w="70"/>
              <w:right w:type="dxa" w:w="110"/>
            </w:tcMar>
          </w:tcPr>
          <w:p>
            <w:pPr>
              <w:jc w:val="left"/>
            </w:pPr>
            <w:r>
              <w:rPr>
                <w:b w:val="false"/>
                <w:bCs w:val="false"/>
                <w:color w:val="16212D"/>
                <w:sz w:val="20"/>
                <w:szCs w:val="20"/>
              </w:rPr>
              <w:t xml:space="preserve">Change ÷ 48</w:t>
            </w:r>
          </w:p>
        </w:tc>
        <w:tc>
          <w:tcPr>
            <w:tcW w:type="dxa" w:w="3230"/>
            <w:tcBorders>
              <w:top w:val="single" w:color="D5DBE2" w:sz="4"/>
              <w:left w:val="single" w:color="D5DBE2" w:sz="4"/>
              <w:bottom w:val="single" w:color="D5DBE2" w:sz="4"/>
              <w:right w:val="single" w:color="D5DBE2" w:sz="4"/>
            </w:tcBorders>
            <w:tcMar>
              <w:top w:type="dxa" w:w="70"/>
              <w:left w:type="dxa" w:w="110"/>
              <w:bottom w:type="dxa" w:w="70"/>
              <w:right w:type="dxa" w:w="110"/>
            </w:tcMar>
          </w:tcPr>
          <w:p>
            <w:pPr>
              <w:jc w:val="left"/>
            </w:pPr>
            <w:r>
              <w:rPr>
                <w:b w:val="false"/>
                <w:bCs w:val="false"/>
                <w:color w:val="16212D"/>
                <w:sz w:val="20"/>
                <w:szCs w:val="20"/>
              </w:rPr>
              <w:t xml:space="preserve">(110.2 + 38.8 + 4.8) ÷ 48 = +3.2</w:t>
            </w:r>
          </w:p>
        </w:tc>
        <w:tc>
          <w:tcPr>
            <w:tcW w:type="dxa" w:w="3230"/>
            <w:tcBorders>
              <w:top w:val="single" w:color="D5DBE2" w:sz="4"/>
              <w:left w:val="single" w:color="D5DBE2" w:sz="4"/>
              <w:bottom w:val="single" w:color="D5DBE2" w:sz="4"/>
              <w:right w:val="single" w:color="D5DBE2" w:sz="4"/>
            </w:tcBorders>
            <w:tcMar>
              <w:top w:type="dxa" w:w="70"/>
              <w:left w:type="dxa" w:w="110"/>
              <w:bottom w:type="dxa" w:w="70"/>
              <w:right w:type="dxa" w:w="110"/>
            </w:tcMar>
          </w:tcPr>
          <w:p>
            <w:pPr>
              <w:jc w:val="left"/>
            </w:pPr>
            <w:r>
              <w:rPr>
                <w:b w:val="false"/>
                <w:bCs w:val="false"/>
                <w:color w:val="16212D"/>
                <w:sz w:val="20"/>
                <w:szCs w:val="20"/>
              </w:rPr>
              <w:t xml:space="preserve">(120.1 + 18.3 + 0.1) ÷ 48 = +2.9</w:t>
            </w:r>
          </w:p>
        </w:tc>
      </w:tr>
    </w:tbl>
    <w:p>
      <w:pPr>
        <w:spacing w:after="120"/>
      </w:pPr>
    </w:p>
    <w:p>
      <w:pPr>
        <w:spacing w:after="120" w:line="300"/>
      </w:pPr>
      <w:r>
        <w:t xml:space="preserve">Detroit's offensive rating rises by 3.2 (118.0 to 121.2) and its defensive rating falls by 2.9 (113.1 to 110.2). The net change is +6.1 points per 100 possessions, the best of any player Detroit can afford.</w:t>
      </w:r>
    </w:p>
    <w:p>
      <w:pPr>
        <w:pStyle w:val="Heading1"/>
        <w:spacing w:after="120" w:before="320"/>
      </w:pPr>
      <w:r>
        <w:t xml:space="preserve">Step 5: Team ratings</w:t>
      </w:r>
    </w:p>
    <w:p>
      <w:pPr>
        <w:spacing w:after="120" w:line="300"/>
      </w:pPr>
      <w:r>
        <w:t xml:space="preserve">The ratings shown for each team are projections built from the same numbers. Each team starts at last season's league-average offensive rating, 115.7, and adds up its players' minute-weighted impacts:</w:t>
      </w:r>
    </w:p>
    <w:p>
      <w:pPr>
        <w:pBdr>
          <w:left w:val="single" w:color="C8501C" w:sz="18" w:space="8"/>
        </w:pBdr>
        <w:shd w:fill="EEF1F4" w:color="auto" w:val="clear"/>
        <w:spacing w:after="160" w:before="80"/>
        <w:ind w:left="360"/>
      </w:pPr>
      <w:r>
        <w:rPr>
          <w:rFonts w:ascii="Consolas" w:cs="Consolas" w:eastAsia="Consolas" w:hAnsi="Consolas"/>
          <w:sz w:val="20"/>
          <w:szCs w:val="20"/>
        </w:rPr>
        <w:t xml:space="preserve">Team ORtg = 115.7 + Σ (offense × minutes) ÷ 48</w:t>
      </w:r>
    </w:p>
    <w:p>
      <w:pPr>
        <w:pBdr>
          <w:left w:val="single" w:color="C8501C" w:sz="18" w:space="8"/>
        </w:pBdr>
        <w:shd w:fill="EEF1F4" w:color="auto" w:val="clear"/>
        <w:spacing w:after="160" w:before="80"/>
        <w:ind w:left="360"/>
      </w:pPr>
      <w:r>
        <w:rPr>
          <w:rFonts w:ascii="Consolas" w:cs="Consolas" w:eastAsia="Consolas" w:hAnsi="Consolas"/>
          <w:sz w:val="20"/>
          <w:szCs w:val="20"/>
        </w:rPr>
        <w:t xml:space="preserve">Team DRtg = 115.7 − Σ (defense × minutes) ÷ 48</w:t>
      </w:r>
    </w:p>
    <w:p>
      <w:pPr>
        <w:spacing w:after="120" w:line="300"/>
      </w:pPr>
      <w:r>
        <w:t xml:space="preserve">When you click a candidate, the tiles at the top switch to the team's projected ratings with him added, and the small number beside each tile shows the change.</w:t>
      </w:r>
    </w:p>
    <w:p>
      <w:pPr>
        <w:pStyle w:val="Heading1"/>
        <w:spacing w:after="120" w:before="320"/>
      </w:pPr>
      <w:r>
        <w:t xml:space="preserve">Reading the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5DBE2" w:sz="4"/>
              <w:left w:val="single" w:color="D5DBE2" w:sz="4"/>
              <w:bottom w:val="single" w:color="D5DBE2" w:sz="4"/>
              <w:right w:val="single" w:color="D5DBE2" w:sz="4"/>
            </w:tcBorders>
            <w:shd w:fill="16212D" w:color="auto" w:val="clear"/>
            <w:tcMar>
              <w:top w:type="dxa" w:w="70"/>
              <w:left w:type="dxa" w:w="110"/>
              <w:bottom w:type="dxa" w:w="70"/>
              <w:right w:type="dxa" w:w="110"/>
            </w:tcMar>
          </w:tcPr>
          <w:p>
            <w:pPr>
              <w:jc w:val="left"/>
            </w:pPr>
            <w:r>
              <w:rPr>
                <w:b/>
                <w:bCs/>
                <w:color w:val="FFFFFF"/>
                <w:sz w:val="20"/>
                <w:szCs w:val="20"/>
              </w:rPr>
              <w:t xml:space="preserve">Column</w:t>
            </w:r>
          </w:p>
        </w:tc>
        <w:tc>
          <w:tcPr>
            <w:tcW w:type="dxa" w:w="7160"/>
            <w:tcBorders>
              <w:top w:val="single" w:color="D5DBE2" w:sz="4"/>
              <w:left w:val="single" w:color="D5DBE2" w:sz="4"/>
              <w:bottom w:val="single" w:color="D5DBE2" w:sz="4"/>
              <w:right w:val="single" w:color="D5DBE2" w:sz="4"/>
            </w:tcBorders>
            <w:shd w:fill="16212D" w:color="auto" w:val="clear"/>
            <w:tcMar>
              <w:top w:type="dxa" w:w="70"/>
              <w:left w:type="dxa" w:w="110"/>
              <w:bottom w:type="dxa" w:w="70"/>
              <w:right w:type="dxa" w:w="110"/>
            </w:tcMar>
          </w:tcPr>
          <w:p>
            <w:pPr>
              <w:jc w:val="left"/>
            </w:pPr>
            <w:r>
              <w:rPr>
                <w:b/>
                <w:bCs/>
                <w:color w:val="FFFFFF"/>
                <w:sz w:val="20"/>
                <w:szCs w:val="20"/>
              </w:rPr>
              <w:t xml:space="preserve">Meaning</w:t>
            </w:r>
          </w:p>
        </w:tc>
      </w:tr>
      <w:tr>
        <w:tc>
          <w:tcPr>
            <w:tcW w:type="dxa" w:w="2200"/>
            <w:tcBorders>
              <w:top w:val="single" w:color="D5DBE2" w:sz="4"/>
              <w:left w:val="single" w:color="D5DBE2" w:sz="4"/>
              <w:bottom w:val="single" w:color="D5DBE2" w:sz="4"/>
              <w:right w:val="single" w:color="D5DBE2" w:sz="4"/>
            </w:tcBorders>
            <w:tcMar>
              <w:top w:type="dxa" w:w="70"/>
              <w:left w:type="dxa" w:w="110"/>
              <w:bottom w:type="dxa" w:w="70"/>
              <w:right w:type="dxa" w:w="110"/>
            </w:tcMar>
          </w:tcPr>
          <w:p>
            <w:pPr>
              <w:jc w:val="left"/>
            </w:pPr>
            <w:r>
              <w:rPr>
                <w:b w:val="false"/>
                <w:bCs w:val="false"/>
                <w:color w:val="16212D"/>
                <w:sz w:val="20"/>
                <w:szCs w:val="20"/>
              </w:rPr>
              <w:t xml:space="preserve">Salary</w:t>
            </w:r>
          </w:p>
        </w:tc>
        <w:tc>
          <w:tcPr>
            <w:tcW w:type="dxa" w:w="7160"/>
            <w:tcBorders>
              <w:top w:val="single" w:color="D5DBE2" w:sz="4"/>
              <w:left w:val="single" w:color="D5DBE2" w:sz="4"/>
              <w:bottom w:val="single" w:color="D5DBE2" w:sz="4"/>
              <w:right w:val="single" w:color="D5DBE2" w:sz="4"/>
            </w:tcBorders>
            <w:tcMar>
              <w:top w:type="dxa" w:w="70"/>
              <w:left w:type="dxa" w:w="110"/>
              <w:bottom w:type="dxa" w:w="70"/>
              <w:right w:type="dxa" w:w="110"/>
            </w:tcMar>
          </w:tcPr>
          <w:p>
            <w:pPr>
              <w:jc w:val="left"/>
            </w:pPr>
            <w:r>
              <w:rPr>
                <w:b w:val="false"/>
                <w:bCs w:val="false"/>
                <w:color w:val="16212D"/>
                <w:sz w:val="20"/>
                <w:szCs w:val="20"/>
              </w:rPr>
              <w:t xml:space="preserve">His 2026-27 salary, held flat for next year</w:t>
            </w:r>
          </w:p>
        </w:tc>
      </w:tr>
      <w:tr>
        <w:tc>
          <w:tcPr>
            <w:tcW w:type="dxa" w:w="2200"/>
            <w:tcBorders>
              <w:top w:val="single" w:color="D5DBE2" w:sz="4"/>
              <w:left w:val="single" w:color="D5DBE2" w:sz="4"/>
              <w:bottom w:val="single" w:color="D5DBE2" w:sz="4"/>
              <w:right w:val="single" w:color="D5DBE2" w:sz="4"/>
            </w:tcBorders>
            <w:tcMar>
              <w:top w:type="dxa" w:w="70"/>
              <w:left w:type="dxa" w:w="110"/>
              <w:bottom w:type="dxa" w:w="70"/>
              <w:right w:type="dxa" w:w="110"/>
            </w:tcMar>
          </w:tcPr>
          <w:p>
            <w:pPr>
              <w:jc w:val="left"/>
            </w:pPr>
            <w:r>
              <w:rPr>
                <w:b w:val="false"/>
                <w:bCs w:val="false"/>
                <w:color w:val="16212D"/>
                <w:sz w:val="20"/>
                <w:szCs w:val="20"/>
              </w:rPr>
              <w:t xml:space="preserve">Min</w:t>
            </w:r>
          </w:p>
        </w:tc>
        <w:tc>
          <w:tcPr>
            <w:tcW w:type="dxa" w:w="7160"/>
            <w:tcBorders>
              <w:top w:val="single" w:color="D5DBE2" w:sz="4"/>
              <w:left w:val="single" w:color="D5DBE2" w:sz="4"/>
              <w:bottom w:val="single" w:color="D5DBE2" w:sz="4"/>
              <w:right w:val="single" w:color="D5DBE2" w:sz="4"/>
            </w:tcBorders>
            <w:tcMar>
              <w:top w:type="dxa" w:w="70"/>
              <w:left w:type="dxa" w:w="110"/>
              <w:bottom w:type="dxa" w:w="70"/>
              <w:right w:type="dxa" w:w="110"/>
            </w:tcMar>
          </w:tcPr>
          <w:p>
            <w:pPr>
              <w:jc w:val="left"/>
            </w:pPr>
            <w:r>
              <w:rPr>
                <w:b w:val="false"/>
                <w:bCs w:val="false"/>
                <w:color w:val="16212D"/>
                <w:sz w:val="20"/>
                <w:szCs w:val="20"/>
              </w:rPr>
              <w:t xml:space="preserve">Minutes per game he is projected to play for the new team</w:t>
            </w:r>
          </w:p>
        </w:tc>
      </w:tr>
      <w:tr>
        <w:tc>
          <w:tcPr>
            <w:tcW w:type="dxa" w:w="2200"/>
            <w:tcBorders>
              <w:top w:val="single" w:color="D5DBE2" w:sz="4"/>
              <w:left w:val="single" w:color="D5DBE2" w:sz="4"/>
              <w:bottom w:val="single" w:color="D5DBE2" w:sz="4"/>
              <w:right w:val="single" w:color="D5DBE2" w:sz="4"/>
            </w:tcBorders>
            <w:tcMar>
              <w:top w:type="dxa" w:w="70"/>
              <w:left w:type="dxa" w:w="110"/>
              <w:bottom w:type="dxa" w:w="70"/>
              <w:right w:type="dxa" w:w="110"/>
            </w:tcMar>
          </w:tcPr>
          <w:p>
            <w:pPr>
              <w:jc w:val="left"/>
            </w:pPr>
            <w:r>
              <w:rPr>
                <w:b w:val="false"/>
                <w:bCs w:val="false"/>
                <w:color w:val="16212D"/>
                <w:sz w:val="20"/>
                <w:szCs w:val="20"/>
              </w:rPr>
              <w:t xml:space="preserve">ORtg</w:t>
            </w:r>
          </w:p>
        </w:tc>
        <w:tc>
          <w:tcPr>
            <w:tcW w:type="dxa" w:w="7160"/>
            <w:tcBorders>
              <w:top w:val="single" w:color="D5DBE2" w:sz="4"/>
              <w:left w:val="single" w:color="D5DBE2" w:sz="4"/>
              <w:bottom w:val="single" w:color="D5DBE2" w:sz="4"/>
              <w:right w:val="single" w:color="D5DBE2" w:sz="4"/>
            </w:tcBorders>
            <w:tcMar>
              <w:top w:type="dxa" w:w="70"/>
              <w:left w:type="dxa" w:w="110"/>
              <w:bottom w:type="dxa" w:w="70"/>
              <w:right w:type="dxa" w:w="110"/>
            </w:tcMar>
          </w:tcPr>
          <w:p>
            <w:pPr>
              <w:jc w:val="left"/>
            </w:pPr>
            <w:r>
              <w:rPr>
                <w:b w:val="false"/>
                <w:bCs w:val="false"/>
                <w:color w:val="16212D"/>
                <w:sz w:val="20"/>
                <w:szCs w:val="20"/>
              </w:rPr>
              <w:t xml:space="preserve">Change in the team's offensive rating. Positive is better</w:t>
            </w:r>
          </w:p>
        </w:tc>
      </w:tr>
      <w:tr>
        <w:tc>
          <w:tcPr>
            <w:tcW w:type="dxa" w:w="2200"/>
            <w:tcBorders>
              <w:top w:val="single" w:color="D5DBE2" w:sz="4"/>
              <w:left w:val="single" w:color="D5DBE2" w:sz="4"/>
              <w:bottom w:val="single" w:color="D5DBE2" w:sz="4"/>
              <w:right w:val="single" w:color="D5DBE2" w:sz="4"/>
            </w:tcBorders>
            <w:tcMar>
              <w:top w:type="dxa" w:w="70"/>
              <w:left w:type="dxa" w:w="110"/>
              <w:bottom w:type="dxa" w:w="70"/>
              <w:right w:type="dxa" w:w="110"/>
            </w:tcMar>
          </w:tcPr>
          <w:p>
            <w:pPr>
              <w:jc w:val="left"/>
            </w:pPr>
            <w:r>
              <w:rPr>
                <w:b w:val="false"/>
                <w:bCs w:val="false"/>
                <w:color w:val="16212D"/>
                <w:sz w:val="20"/>
                <w:szCs w:val="20"/>
              </w:rPr>
              <w:t xml:space="preserve">DRtg</w:t>
            </w:r>
          </w:p>
        </w:tc>
        <w:tc>
          <w:tcPr>
            <w:tcW w:type="dxa" w:w="7160"/>
            <w:tcBorders>
              <w:top w:val="single" w:color="D5DBE2" w:sz="4"/>
              <w:left w:val="single" w:color="D5DBE2" w:sz="4"/>
              <w:bottom w:val="single" w:color="D5DBE2" w:sz="4"/>
              <w:right w:val="single" w:color="D5DBE2" w:sz="4"/>
            </w:tcBorders>
            <w:tcMar>
              <w:top w:type="dxa" w:w="70"/>
              <w:left w:type="dxa" w:w="110"/>
              <w:bottom w:type="dxa" w:w="70"/>
              <w:right w:type="dxa" w:w="110"/>
            </w:tcMar>
          </w:tcPr>
          <w:p>
            <w:pPr>
              <w:jc w:val="left"/>
            </w:pPr>
            <w:r>
              <w:rPr>
                <w:b w:val="false"/>
                <w:bCs w:val="false"/>
                <w:color w:val="16212D"/>
                <w:sz w:val="20"/>
                <w:szCs w:val="20"/>
              </w:rPr>
              <w:t xml:space="preserve">Change in the team's defensive rating. Negative is better</w:t>
            </w:r>
          </w:p>
        </w:tc>
      </w:tr>
      <w:tr>
        <w:tc>
          <w:tcPr>
            <w:tcW w:type="dxa" w:w="2200"/>
            <w:tcBorders>
              <w:top w:val="single" w:color="D5DBE2" w:sz="4"/>
              <w:left w:val="single" w:color="D5DBE2" w:sz="4"/>
              <w:bottom w:val="single" w:color="D5DBE2" w:sz="4"/>
              <w:right w:val="single" w:color="D5DBE2" w:sz="4"/>
            </w:tcBorders>
            <w:tcMar>
              <w:top w:type="dxa" w:w="70"/>
              <w:left w:type="dxa" w:w="110"/>
              <w:bottom w:type="dxa" w:w="70"/>
              <w:right w:type="dxa" w:w="110"/>
            </w:tcMar>
          </w:tcPr>
          <w:p>
            <w:pPr>
              <w:jc w:val="left"/>
            </w:pPr>
            <w:r>
              <w:rPr>
                <w:b w:val="false"/>
                <w:bCs w:val="false"/>
                <w:color w:val="16212D"/>
                <w:sz w:val="20"/>
                <w:szCs w:val="20"/>
              </w:rPr>
              <w:t xml:space="preserve">Net</w:t>
            </w:r>
          </w:p>
        </w:tc>
        <w:tc>
          <w:tcPr>
            <w:tcW w:type="dxa" w:w="7160"/>
            <w:tcBorders>
              <w:top w:val="single" w:color="D5DBE2" w:sz="4"/>
              <w:left w:val="single" w:color="D5DBE2" w:sz="4"/>
              <w:bottom w:val="single" w:color="D5DBE2" w:sz="4"/>
              <w:right w:val="single" w:color="D5DBE2" w:sz="4"/>
            </w:tcBorders>
            <w:tcMar>
              <w:top w:type="dxa" w:w="70"/>
              <w:left w:type="dxa" w:w="110"/>
              <w:bottom w:type="dxa" w:w="70"/>
              <w:right w:type="dxa" w:w="110"/>
            </w:tcMar>
          </w:tcPr>
          <w:p>
            <w:pPr>
              <w:jc w:val="left"/>
            </w:pPr>
            <w:r>
              <w:rPr>
                <w:b w:val="false"/>
                <w:bCs w:val="false"/>
                <w:color w:val="16212D"/>
                <w:sz w:val="20"/>
                <w:szCs w:val="20"/>
              </w:rPr>
              <w:t xml:space="preserve">Total improvement: ORtg change minus DRtg change</w:t>
            </w:r>
          </w:p>
        </w:tc>
      </w:tr>
    </w:tbl>
    <w:p>
      <w:pPr>
        <w:spacing w:after="120"/>
      </w:pPr>
    </w:p>
    <w:p>
      <w:pPr>
        <w:pStyle w:val="ListParagraph"/>
        <w:numPr>
          <w:ilvl w:val="0"/>
          <w:numId w:val="2"/>
        </w:numPr>
        <w:spacing w:after="60" w:line="290"/>
      </w:pPr>
      <w:r>
        <w:rPr>
          <w:b/>
          <w:bCs/>
        </w:rPr>
        <w:t xml:space="preserve">Rank by</w:t>
      </w:r>
      <w:r>
        <w:t xml:space="preserve"> sorts the list by net change, offense only, defense only, or net change per $10M of salary (best value).</w:t>
      </w:r>
    </w:p>
    <w:p>
      <w:pPr>
        <w:pStyle w:val="ListParagraph"/>
        <w:numPr>
          <w:ilvl w:val="0"/>
          <w:numId w:val="2"/>
        </w:numPr>
        <w:spacing w:after="60" w:line="290"/>
      </w:pPr>
      <w:r>
        <w:rPr>
          <w:b/>
          <w:bCs/>
        </w:rPr>
        <w:t xml:space="preserve">Position</w:t>
      </w:r>
      <w:r>
        <w:t xml:space="preserve"> narrows the list to guards, forwards or centers.</w:t>
      </w:r>
    </w:p>
    <w:p>
      <w:pPr>
        <w:pStyle w:val="ListParagraph"/>
        <w:numPr>
          <w:ilvl w:val="0"/>
          <w:numId w:val="2"/>
        </w:numPr>
        <w:spacing w:after="60" w:line="290"/>
      </w:pPr>
      <w:r>
        <w:rPr>
          <w:b/>
          <w:bCs/>
        </w:rPr>
        <w:t xml:space="preserve">Clicking a row</w:t>
      </w:r>
      <w:r>
        <w:t xml:space="preserve"> opens the detail: a slider to change his minutes, the team's ratings before and after, and exactly whose minutes he takes.</w:t>
      </w:r>
    </w:p>
    <w:p>
      <w:pPr>
        <w:pStyle w:val="ListParagraph"/>
        <w:numPr>
          <w:ilvl w:val="0"/>
          <w:numId w:val="2"/>
        </w:numPr>
        <w:spacing w:after="60" w:line="290"/>
      </w:pPr>
      <w:r>
        <w:rPr>
          <w:b/>
          <w:bCs/>
        </w:rPr>
        <w:t xml:space="preserve">Ticking a roster player</w:t>
      </w:r>
      <w:r>
        <w:t xml:space="preserve"> moves him out, which frees his salary and minutes and reruns every ranking.</w:t>
      </w:r>
    </w:p>
    <w:p>
      <w:pPr>
        <w:pStyle w:val="Heading1"/>
        <w:spacing w:after="120" w:before="320"/>
      </w:pPr>
      <w:r>
        <w:t xml:space="preserve">Trade machine</w:t>
      </w:r>
    </w:p>
    <w:p>
      <w:pPr>
        <w:spacing w:after="120" w:line="300"/>
      </w:pPr>
      <w:r>
        <w:t xml:space="preserve">The trade machine uses the same budget and rating math as the rest of the tool, and adds two things: a check that the money works for both teams, and a trade value for every player and pick so you can judge whether the other team would say yes.</w:t>
      </w:r>
    </w:p>
    <w:p>
      <w:pPr>
        <w:pStyle w:val="Heading2"/>
        <w:spacing w:after="80" w:before="200"/>
      </w:pPr>
      <w:r>
        <w:t xml:space="preserve">1. Does the money work?</w:t>
      </w:r>
    </w:p>
    <w:p>
      <w:pPr>
        <w:spacing w:after="120" w:line="300"/>
      </w:pPr>
      <w:r>
        <w:t xml:space="preserve">Each team's payroll after the trade is its payroll before, minus the salary it sends out, plus the salary it takes back. A team passes if it ends at or under your chosen line. A team that ends over the line still passes if it takes back no more than 110% of the salary it sends out, which mirrors the NBA's matching rule for teams above the apron.</w:t>
      </w:r>
    </w:p>
    <w:p>
      <w:pPr>
        <w:pBdr>
          <w:left w:val="single" w:color="C8501C" w:sz="18" w:space="8"/>
        </w:pBdr>
        <w:shd w:fill="EEF1F4" w:color="auto" w:val="clear"/>
        <w:spacing w:after="160" w:before="80"/>
        <w:ind w:left="360"/>
      </w:pPr>
      <w:r>
        <w:rPr>
          <w:rFonts w:ascii="Consolas" w:cs="Consolas" w:eastAsia="Consolas" w:hAnsi="Consolas"/>
          <w:sz w:val="20"/>
          <w:szCs w:val="20"/>
        </w:rPr>
        <w:t xml:space="preserve">Payroll after = payroll before − salary sent + salary received</w:t>
      </w:r>
    </w:p>
    <w:p>
      <w:pPr>
        <w:pStyle w:val="Heading2"/>
        <w:spacing w:after="80" w:before="200"/>
      </w:pPr>
      <w:r>
        <w:t xml:space="preserve">2. How do the ratings change?</w:t>
      </w:r>
    </w:p>
    <w:p>
      <w:pPr>
        <w:spacing w:after="120" w:line="300"/>
      </w:pPr>
      <w:r>
        <w:t xml:space="preserve">Each team's outgoing players are removed and their minutes are spread over the rest of the roster. The incoming players are then added one at a time, biggest-minutes player first, taking minutes from the lowest-impact players at their position just as in Step 4. The page shows your team's projected ORtg, DRtg and net rating after the trade, and the net change for the other team.</w:t>
      </w:r>
    </w:p>
    <w:p>
      <w:pPr>
        <w:pStyle w:val="Heading2"/>
        <w:spacing w:after="80" w:before="200"/>
      </w:pPr>
      <w:r>
        <w:t xml:space="preserve">3. Is it fair value?</w:t>
      </w:r>
    </w:p>
    <w:p>
      <w:pPr>
        <w:spacing w:after="120" w:line="300"/>
      </w:pPr>
      <w:r>
        <w:t xml:space="preserve">Every player and pick gets a trade value in today's dollars: the wins he is expected to produce, priced at what wins cost on the open market, minus what his team will pay him. The other team is likely to accept when the value you send is at least the value you get back.</w:t>
      </w:r>
    </w:p>
    <w:p>
      <w:pPr>
        <w:pStyle w:val="Heading2"/>
        <w:spacing w:after="80" w:before="200"/>
      </w:pPr>
      <w:r>
        <w:t xml:space="preserve">Player value</w:t>
      </w:r>
    </w:p>
    <w:p>
      <w:pPr>
        <w:spacing w:after="120" w:line="300"/>
      </w:pPr>
      <w:r>
        <w:t xml:space="preserve">For each remaining year of his contract (up to four), the tool projects his wins, prices them and subtracts his salary for that year:</w:t>
      </w:r>
    </w:p>
    <w:p>
      <w:pPr>
        <w:pBdr>
          <w:left w:val="single" w:color="C8501C" w:sz="18" w:space="8"/>
        </w:pBdr>
        <w:shd w:fill="EEF1F4" w:color="auto" w:val="clear"/>
        <w:spacing w:after="160" w:before="80"/>
        <w:ind w:left="360"/>
      </w:pPr>
      <w:r>
        <w:rPr>
          <w:rFonts w:ascii="Consolas" w:cs="Consolas" w:eastAsia="Consolas" w:hAnsi="Consolas"/>
          <w:sz w:val="20"/>
          <w:szCs w:val="20"/>
        </w:rPr>
        <w:t xml:space="preserve">Wins = 0.000614 × minutes × 70 games × (impact + 2.51)</w:t>
      </w:r>
    </w:p>
    <w:p>
      <w:pPr>
        <w:pBdr>
          <w:left w:val="single" w:color="C8501C" w:sz="18" w:space="8"/>
        </w:pBdr>
        <w:shd w:fill="EEF1F4" w:color="auto" w:val="clear"/>
        <w:spacing w:after="160" w:before="80"/>
        <w:ind w:left="360"/>
      </w:pPr>
      <w:r>
        <w:rPr>
          <w:rFonts w:ascii="Consolas" w:cs="Consolas" w:eastAsia="Consolas" w:hAnsi="Consolas"/>
          <w:sz w:val="20"/>
          <w:szCs w:val="20"/>
        </w:rPr>
        <w:t xml:space="preserve">Year value = 0.95^t × (wins × $6.67M × premium − (salary ÷ 1.07^t − $1.36M))</w:t>
      </w:r>
    </w:p>
    <w:p>
      <w:pPr>
        <w:pBdr>
          <w:left w:val="single" w:color="C8501C" w:sz="18" w:space="8"/>
        </w:pBdr>
        <w:shd w:fill="EEF1F4" w:color="auto" w:val="clear"/>
        <w:spacing w:after="160" w:before="80"/>
        <w:ind w:left="360"/>
      </w:pPr>
      <w:r>
        <w:rPr>
          <w:rFonts w:ascii="Consolas" w:cs="Consolas" w:eastAsia="Consolas" w:hAnsi="Consolas"/>
          <w:sz w:val="20"/>
          <w:szCs w:val="20"/>
        </w:rPr>
        <w:t xml:space="preserve">Trade value = sum of year values over the contract (max 4 years)</w:t>
      </w:r>
    </w:p>
    <w:p>
      <w:pPr>
        <w:pStyle w:val="ListParagraph"/>
        <w:numPr>
          <w:ilvl w:val="0"/>
          <w:numId w:val="2"/>
        </w:numPr>
        <w:spacing w:after="60" w:line="290"/>
      </w:pPr>
      <w:r>
        <w:rPr>
          <w:b/>
          <w:bCs/>
        </w:rPr>
        <w:t xml:space="preserve">Wins.</w:t>
      </w:r>
      <w:r>
        <w:t xml:space="preserve"> The formula reproduces last season's wins above replacement almost exactly. Each future year, his impact moves along the league's aging curve, measured from 16 seasons of players who logged 500+ minutes in back-to-back years. A 21-year-old typically gains about +0.5 a year, a 25-year-old holds steady, and a 33-year-old loses about −0.3.</w:t>
      </w:r>
    </w:p>
    <w:p>
      <w:pPr>
        <w:pStyle w:val="ListParagraph"/>
        <w:numPr>
          <w:ilvl w:val="0"/>
          <w:numId w:val="2"/>
        </w:numPr>
        <w:spacing w:after="60" w:line="290"/>
      </w:pPr>
      <w:r>
        <w:rPr>
          <w:b/>
          <w:bCs/>
        </w:rPr>
        <w:t xml:space="preserve">Price of a win: $6.67M.</w:t>
      </w:r>
      <w:r>
        <w:t xml:space="preserve"> This is what teams paid per win last season to veterans past their rookie deals (salary above the minimum divided by wins), scaled up to this year's cap. Rookie contracts are left out because their pay is fixed by draft slot, not set by the market.</w:t>
      </w:r>
    </w:p>
    <w:p>
      <w:pPr>
        <w:pStyle w:val="ListParagraph"/>
        <w:numPr>
          <w:ilvl w:val="0"/>
          <w:numId w:val="2"/>
        </w:numPr>
        <w:spacing w:after="60" w:line="290"/>
      </w:pPr>
      <w:r>
        <w:rPr>
          <w:b/>
          <w:bCs/>
        </w:rPr>
        <w:t xml:space="preserve">Salary.</w:t>
      </w:r>
      <w:r>
        <w:t xml:space="preserve"> His real contract amount for each year, divided by 1.07 per year because the cap grows about 7% a year, which makes the same salary cheaper later. $1.36M, the minimum, is subtracted because a team pays that much even for a replacement-level player.</w:t>
      </w:r>
    </w:p>
    <w:p>
      <w:pPr>
        <w:pStyle w:val="ListParagraph"/>
        <w:numPr>
          <w:ilvl w:val="0"/>
          <w:numId w:val="2"/>
        </w:numPr>
        <w:spacing w:after="60" w:line="290"/>
      </w:pPr>
      <w:r>
        <w:rPr>
          <w:b/>
          <w:bCs/>
        </w:rPr>
        <w:t xml:space="preserve">Discount.</w:t>
      </w:r>
      <w:r>
        <w:t xml:space="preserve"> Each year out counts 5% less than the year before.</w:t>
      </w:r>
    </w:p>
    <w:p>
      <w:pPr>
        <w:pStyle w:val="Heading2"/>
        <w:spacing w:after="80" w:before="200"/>
      </w:pPr>
      <w:r>
        <w:t xml:space="preserve">Star premium and track record</w:t>
      </w:r>
    </w:p>
    <w:p>
      <w:pPr>
        <w:spacing w:after="120" w:line="300"/>
      </w:pPr>
      <w:r>
        <w:t xml:space="preserve">Every player is put in one tier. The tier decides whether his wins carry a premium and how many contract years 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900"/>
        <w:gridCol w:w="1500"/>
        <w:gridCol w:w="2260"/>
      </w:tblGrid>
      <w:tr>
        <w:trPr>
          <w:tblHeader/>
        </w:trPr>
        <w:tc>
          <w:tcPr>
            <w:tcW w:type="dxa" w:w="1700"/>
            <w:tcBorders>
              <w:top w:val="single" w:color="D5DBE2" w:sz="4"/>
              <w:left w:val="single" w:color="D5DBE2" w:sz="4"/>
              <w:bottom w:val="single" w:color="D5DBE2" w:sz="4"/>
              <w:right w:val="single" w:color="D5DBE2" w:sz="4"/>
            </w:tcBorders>
            <w:shd w:fill="16212D" w:color="auto" w:val="clear"/>
            <w:tcMar>
              <w:top w:type="dxa" w:w="70"/>
              <w:left w:type="dxa" w:w="110"/>
              <w:bottom w:type="dxa" w:w="70"/>
              <w:right w:type="dxa" w:w="110"/>
            </w:tcMar>
          </w:tcPr>
          <w:p>
            <w:pPr>
              <w:jc w:val="left"/>
            </w:pPr>
            <w:r>
              <w:rPr>
                <w:b/>
                <w:bCs/>
                <w:color w:val="FFFFFF"/>
                <w:sz w:val="20"/>
                <w:szCs w:val="20"/>
              </w:rPr>
              <w:t xml:space="preserve">Tier</w:t>
            </w:r>
          </w:p>
        </w:tc>
        <w:tc>
          <w:tcPr>
            <w:tcW w:type="dxa" w:w="3900"/>
            <w:tcBorders>
              <w:top w:val="single" w:color="D5DBE2" w:sz="4"/>
              <w:left w:val="single" w:color="D5DBE2" w:sz="4"/>
              <w:bottom w:val="single" w:color="D5DBE2" w:sz="4"/>
              <w:right w:val="single" w:color="D5DBE2" w:sz="4"/>
            </w:tcBorders>
            <w:shd w:fill="16212D" w:color="auto" w:val="clear"/>
            <w:tcMar>
              <w:top w:type="dxa" w:w="70"/>
              <w:left w:type="dxa" w:w="110"/>
              <w:bottom w:type="dxa" w:w="70"/>
              <w:right w:type="dxa" w:w="110"/>
            </w:tcMar>
          </w:tcPr>
          <w:p>
            <w:pPr>
              <w:jc w:val="left"/>
            </w:pPr>
            <w:r>
              <w:rPr>
                <w:b/>
                <w:bCs/>
                <w:color w:val="FFFFFF"/>
                <w:sz w:val="20"/>
                <w:szCs w:val="20"/>
              </w:rPr>
              <w:t xml:space="preserve">Who</w:t>
            </w:r>
          </w:p>
        </w:tc>
        <w:tc>
          <w:tcPr>
            <w:tcW w:type="dxa" w:w="1500"/>
            <w:tcBorders>
              <w:top w:val="single" w:color="D5DBE2" w:sz="4"/>
              <w:left w:val="single" w:color="D5DBE2" w:sz="4"/>
              <w:bottom w:val="single" w:color="D5DBE2" w:sz="4"/>
              <w:right w:val="single" w:color="D5DBE2" w:sz="4"/>
            </w:tcBorders>
            <w:shd w:fill="16212D" w:color="auto" w:val="clear"/>
            <w:tcMar>
              <w:top w:type="dxa" w:w="70"/>
              <w:left w:type="dxa" w:w="110"/>
              <w:bottom w:type="dxa" w:w="70"/>
              <w:right w:type="dxa" w:w="110"/>
            </w:tcMar>
          </w:tcPr>
          <w:p>
            <w:pPr>
              <w:jc w:val="left"/>
            </w:pPr>
            <w:r>
              <w:rPr>
                <w:b/>
                <w:bCs/>
                <w:color w:val="FFFFFF"/>
                <w:sz w:val="20"/>
                <w:szCs w:val="20"/>
              </w:rPr>
              <w:t xml:space="preserve">Premium</w:t>
            </w:r>
          </w:p>
        </w:tc>
        <w:tc>
          <w:tcPr>
            <w:tcW w:type="dxa" w:w="2260"/>
            <w:tcBorders>
              <w:top w:val="single" w:color="D5DBE2" w:sz="4"/>
              <w:left w:val="single" w:color="D5DBE2" w:sz="4"/>
              <w:bottom w:val="single" w:color="D5DBE2" w:sz="4"/>
              <w:right w:val="single" w:color="D5DBE2" w:sz="4"/>
            </w:tcBorders>
            <w:shd w:fill="16212D" w:color="auto" w:val="clear"/>
            <w:tcMar>
              <w:top w:type="dxa" w:w="70"/>
              <w:left w:type="dxa" w:w="110"/>
              <w:bottom w:type="dxa" w:w="70"/>
              <w:right w:type="dxa" w:w="110"/>
            </w:tcMar>
          </w:tcPr>
          <w:p>
            <w:pPr>
              <w:jc w:val="left"/>
            </w:pPr>
            <w:r>
              <w:rPr>
                <w:b/>
                <w:bCs/>
                <w:color w:val="FFFFFF"/>
                <w:sz w:val="20"/>
                <w:szCs w:val="20"/>
              </w:rPr>
              <w:t xml:space="preserve">Contract years that count</w:t>
            </w:r>
          </w:p>
        </w:tc>
      </w:tr>
      <w:tr>
        <w:tc>
          <w:tcPr>
            <w:tcW w:type="dxa" w:w="1700"/>
            <w:tcBorders>
              <w:top w:val="single" w:color="D5DBE2" w:sz="4"/>
              <w:left w:val="single" w:color="D5DBE2" w:sz="4"/>
              <w:bottom w:val="single" w:color="D5DBE2" w:sz="4"/>
              <w:right w:val="single" w:color="D5DBE2" w:sz="4"/>
            </w:tcBorders>
            <w:tcMar>
              <w:top w:type="dxa" w:w="70"/>
              <w:left w:type="dxa" w:w="110"/>
              <w:bottom w:type="dxa" w:w="70"/>
              <w:right w:type="dxa" w:w="110"/>
            </w:tcMar>
          </w:tcPr>
          <w:p>
            <w:pPr>
              <w:jc w:val="left"/>
            </w:pPr>
            <w:r>
              <w:rPr>
                <w:b w:val="false"/>
                <w:bCs w:val="false"/>
                <w:color w:val="16212D"/>
                <w:sz w:val="20"/>
                <w:szCs w:val="20"/>
              </w:rPr>
              <w:t xml:space="preserve">Superstar</w:t>
            </w:r>
          </w:p>
        </w:tc>
        <w:tc>
          <w:tcPr>
            <w:tcW w:type="dxa" w:w="3900"/>
            <w:tcBorders>
              <w:top w:val="single" w:color="D5DBE2" w:sz="4"/>
              <w:left w:val="single" w:color="D5DBE2" w:sz="4"/>
              <w:bottom w:val="single" w:color="D5DBE2" w:sz="4"/>
              <w:right w:val="single" w:color="D5DBE2" w:sz="4"/>
            </w:tcBorders>
            <w:tcMar>
              <w:top w:type="dxa" w:w="70"/>
              <w:left w:type="dxa" w:w="110"/>
              <w:bottom w:type="dxa" w:w="70"/>
              <w:right w:type="dxa" w:w="110"/>
            </w:tcMar>
          </w:tcPr>
          <w:p>
            <w:pPr>
              <w:jc w:val="left"/>
            </w:pPr>
            <w:r>
              <w:rPr>
                <w:b w:val="false"/>
                <w:bCs w:val="false"/>
                <w:color w:val="16212D"/>
                <w:sz w:val="20"/>
                <w:szCs w:val="20"/>
              </w:rPr>
              <w:t xml:space="preserve">6 or more All-Star selections in the last seven seasons (2020 to 2026)</w:t>
            </w:r>
          </w:p>
        </w:tc>
        <w:tc>
          <w:tcPr>
            <w:tcW w:type="dxa" w:w="1500"/>
            <w:tcBorders>
              <w:top w:val="single" w:color="D5DBE2" w:sz="4"/>
              <w:left w:val="single" w:color="D5DBE2" w:sz="4"/>
              <w:bottom w:val="single" w:color="D5DBE2" w:sz="4"/>
              <w:right w:val="single" w:color="D5DBE2" w:sz="4"/>
            </w:tcBorders>
            <w:tcMar>
              <w:top w:type="dxa" w:w="70"/>
              <w:left w:type="dxa" w:w="110"/>
              <w:bottom w:type="dxa" w:w="70"/>
              <w:right w:type="dxa" w:w="110"/>
            </w:tcMar>
          </w:tcPr>
          <w:p>
            <w:pPr>
              <w:jc w:val="left"/>
            </w:pPr>
            <w:r>
              <w:rPr>
                <w:b w:val="false"/>
                <w:bCs w:val="false"/>
                <w:color w:val="16212D"/>
                <w:sz w:val="20"/>
                <w:szCs w:val="20"/>
              </w:rPr>
              <w:t xml:space="preserve">+50%</w:t>
            </w:r>
          </w:p>
        </w:tc>
        <w:tc>
          <w:tcPr>
            <w:tcW w:type="dxa" w:w="2260"/>
            <w:tcBorders>
              <w:top w:val="single" w:color="D5DBE2" w:sz="4"/>
              <w:left w:val="single" w:color="D5DBE2" w:sz="4"/>
              <w:bottom w:val="single" w:color="D5DBE2" w:sz="4"/>
              <w:right w:val="single" w:color="D5DBE2" w:sz="4"/>
            </w:tcBorders>
            <w:tcMar>
              <w:top w:type="dxa" w:w="70"/>
              <w:left w:type="dxa" w:w="110"/>
              <w:bottom w:type="dxa" w:w="70"/>
              <w:right w:type="dxa" w:w="110"/>
            </w:tcMar>
          </w:tcPr>
          <w:p>
            <w:pPr>
              <w:jc w:val="left"/>
            </w:pPr>
            <w:r>
              <w:rPr>
                <w:b w:val="false"/>
                <w:bCs w:val="false"/>
                <w:color w:val="16212D"/>
                <w:sz w:val="20"/>
                <w:szCs w:val="20"/>
              </w:rPr>
              <w:t xml:space="preserve">All</w:t>
            </w:r>
          </w:p>
        </w:tc>
      </w:tr>
      <w:tr>
        <w:tc>
          <w:tcPr>
            <w:tcW w:type="dxa" w:w="1700"/>
            <w:tcBorders>
              <w:top w:val="single" w:color="D5DBE2" w:sz="4"/>
              <w:left w:val="single" w:color="D5DBE2" w:sz="4"/>
              <w:bottom w:val="single" w:color="D5DBE2" w:sz="4"/>
              <w:right w:val="single" w:color="D5DBE2" w:sz="4"/>
            </w:tcBorders>
            <w:tcMar>
              <w:top w:type="dxa" w:w="70"/>
              <w:left w:type="dxa" w:w="110"/>
              <w:bottom w:type="dxa" w:w="70"/>
              <w:right w:type="dxa" w:w="110"/>
            </w:tcMar>
          </w:tcPr>
          <w:p>
            <w:pPr>
              <w:jc w:val="left"/>
            </w:pPr>
            <w:r>
              <w:rPr>
                <w:b w:val="false"/>
                <w:bCs w:val="false"/>
                <w:color w:val="16212D"/>
                <w:sz w:val="20"/>
                <w:szCs w:val="20"/>
              </w:rPr>
              <w:t xml:space="preserve">Star</w:t>
            </w:r>
          </w:p>
        </w:tc>
        <w:tc>
          <w:tcPr>
            <w:tcW w:type="dxa" w:w="3900"/>
            <w:tcBorders>
              <w:top w:val="single" w:color="D5DBE2" w:sz="4"/>
              <w:left w:val="single" w:color="D5DBE2" w:sz="4"/>
              <w:bottom w:val="single" w:color="D5DBE2" w:sz="4"/>
              <w:right w:val="single" w:color="D5DBE2" w:sz="4"/>
            </w:tcBorders>
            <w:tcMar>
              <w:top w:type="dxa" w:w="70"/>
              <w:left w:type="dxa" w:w="110"/>
              <w:bottom w:type="dxa" w:w="70"/>
              <w:right w:type="dxa" w:w="110"/>
            </w:tcMar>
          </w:tcPr>
          <w:p>
            <w:pPr>
              <w:jc w:val="left"/>
            </w:pPr>
            <w:r>
              <w:rPr>
                <w:b w:val="false"/>
                <w:bCs w:val="false"/>
                <w:color w:val="16212D"/>
                <w:sz w:val="20"/>
                <w:szCs w:val="20"/>
              </w:rPr>
              <w:t xml:space="preserve">3 to 5 All-Star selections in the last seven seasons</w:t>
            </w:r>
          </w:p>
        </w:tc>
        <w:tc>
          <w:tcPr>
            <w:tcW w:type="dxa" w:w="1500"/>
            <w:tcBorders>
              <w:top w:val="single" w:color="D5DBE2" w:sz="4"/>
              <w:left w:val="single" w:color="D5DBE2" w:sz="4"/>
              <w:bottom w:val="single" w:color="D5DBE2" w:sz="4"/>
              <w:right w:val="single" w:color="D5DBE2" w:sz="4"/>
            </w:tcBorders>
            <w:tcMar>
              <w:top w:type="dxa" w:w="70"/>
              <w:left w:type="dxa" w:w="110"/>
              <w:bottom w:type="dxa" w:w="70"/>
              <w:right w:type="dxa" w:w="110"/>
            </w:tcMar>
          </w:tcPr>
          <w:p>
            <w:pPr>
              <w:jc w:val="left"/>
            </w:pPr>
            <w:r>
              <w:rPr>
                <w:b w:val="false"/>
                <w:bCs w:val="false"/>
                <w:color w:val="16212D"/>
                <w:sz w:val="20"/>
                <w:szCs w:val="20"/>
              </w:rPr>
              <w:t xml:space="preserve">+25%</w:t>
            </w:r>
          </w:p>
        </w:tc>
        <w:tc>
          <w:tcPr>
            <w:tcW w:type="dxa" w:w="2260"/>
            <w:tcBorders>
              <w:top w:val="single" w:color="D5DBE2" w:sz="4"/>
              <w:left w:val="single" w:color="D5DBE2" w:sz="4"/>
              <w:bottom w:val="single" w:color="D5DBE2" w:sz="4"/>
              <w:right w:val="single" w:color="D5DBE2" w:sz="4"/>
            </w:tcBorders>
            <w:tcMar>
              <w:top w:type="dxa" w:w="70"/>
              <w:left w:type="dxa" w:w="110"/>
              <w:bottom w:type="dxa" w:w="70"/>
              <w:right w:type="dxa" w:w="110"/>
            </w:tcMar>
          </w:tcPr>
          <w:p>
            <w:pPr>
              <w:jc w:val="left"/>
            </w:pPr>
            <w:r>
              <w:rPr>
                <w:b w:val="false"/>
                <w:bCs w:val="false"/>
                <w:color w:val="16212D"/>
                <w:sz w:val="20"/>
                <w:szCs w:val="20"/>
              </w:rPr>
              <w:t xml:space="preserve">All</w:t>
            </w:r>
          </w:p>
        </w:tc>
      </w:tr>
      <w:tr>
        <w:tc>
          <w:tcPr>
            <w:tcW w:type="dxa" w:w="1700"/>
            <w:tcBorders>
              <w:top w:val="single" w:color="D5DBE2" w:sz="4"/>
              <w:left w:val="single" w:color="D5DBE2" w:sz="4"/>
              <w:bottom w:val="single" w:color="D5DBE2" w:sz="4"/>
              <w:right w:val="single" w:color="D5DBE2" w:sz="4"/>
            </w:tcBorders>
            <w:tcMar>
              <w:top w:type="dxa" w:w="70"/>
              <w:left w:type="dxa" w:w="110"/>
              <w:bottom w:type="dxa" w:w="70"/>
              <w:right w:type="dxa" w:w="110"/>
            </w:tcMar>
          </w:tcPr>
          <w:p>
            <w:pPr>
              <w:jc w:val="left"/>
            </w:pPr>
            <w:r>
              <w:rPr>
                <w:b w:val="false"/>
                <w:bCs w:val="false"/>
                <w:color w:val="16212D"/>
                <w:sz w:val="20"/>
                <w:szCs w:val="20"/>
              </w:rPr>
              <w:t xml:space="preserve">Proven</w:t>
            </w:r>
          </w:p>
        </w:tc>
        <w:tc>
          <w:tcPr>
            <w:tcW w:type="dxa" w:w="3900"/>
            <w:tcBorders>
              <w:top w:val="single" w:color="D5DBE2" w:sz="4"/>
              <w:left w:val="single" w:color="D5DBE2" w:sz="4"/>
              <w:bottom w:val="single" w:color="D5DBE2" w:sz="4"/>
              <w:right w:val="single" w:color="D5DBE2" w:sz="4"/>
            </w:tcBorders>
            <w:tcMar>
              <w:top w:type="dxa" w:w="70"/>
              <w:left w:type="dxa" w:w="110"/>
              <w:bottom w:type="dxa" w:w="70"/>
              <w:right w:type="dxa" w:w="110"/>
            </w:tcMar>
          </w:tcPr>
          <w:p>
            <w:pPr>
              <w:jc w:val="left"/>
            </w:pPr>
            <w:r>
              <w:rPr>
                <w:b w:val="false"/>
                <w:bCs w:val="false"/>
                <w:color w:val="16212D"/>
                <w:sz w:val="20"/>
                <w:szCs w:val="20"/>
              </w:rPr>
              <w:t xml:space="preserve">Impact of +1.5 or better over 1,500+ minutes in 2 of the last 3 seasons (one such season is enough at 23 or under)</w:t>
            </w:r>
          </w:p>
        </w:tc>
        <w:tc>
          <w:tcPr>
            <w:tcW w:type="dxa" w:w="1500"/>
            <w:tcBorders>
              <w:top w:val="single" w:color="D5DBE2" w:sz="4"/>
              <w:left w:val="single" w:color="D5DBE2" w:sz="4"/>
              <w:bottom w:val="single" w:color="D5DBE2" w:sz="4"/>
              <w:right w:val="single" w:color="D5DBE2" w:sz="4"/>
            </w:tcBorders>
            <w:tcMar>
              <w:top w:type="dxa" w:w="70"/>
              <w:left w:type="dxa" w:w="110"/>
              <w:bottom w:type="dxa" w:w="70"/>
              <w:right w:type="dxa" w:w="110"/>
            </w:tcMar>
          </w:tcPr>
          <w:p>
            <w:pPr>
              <w:jc w:val="left"/>
            </w:pPr>
            <w:r>
              <w:rPr>
                <w:b w:val="false"/>
                <w:bCs w:val="false"/>
                <w:color w:val="16212D"/>
                <w:sz w:val="20"/>
                <w:szCs w:val="20"/>
              </w:rPr>
              <w:t xml:space="preserve">None</w:t>
            </w:r>
          </w:p>
        </w:tc>
        <w:tc>
          <w:tcPr>
            <w:tcW w:type="dxa" w:w="2260"/>
            <w:tcBorders>
              <w:top w:val="single" w:color="D5DBE2" w:sz="4"/>
              <w:left w:val="single" w:color="D5DBE2" w:sz="4"/>
              <w:bottom w:val="single" w:color="D5DBE2" w:sz="4"/>
              <w:right w:val="single" w:color="D5DBE2" w:sz="4"/>
            </w:tcBorders>
            <w:tcMar>
              <w:top w:type="dxa" w:w="70"/>
              <w:left w:type="dxa" w:w="110"/>
              <w:bottom w:type="dxa" w:w="70"/>
              <w:right w:type="dxa" w:w="110"/>
            </w:tcMar>
          </w:tcPr>
          <w:p>
            <w:pPr>
              <w:jc w:val="left"/>
            </w:pPr>
            <w:r>
              <w:rPr>
                <w:b w:val="false"/>
                <w:bCs w:val="false"/>
                <w:color w:val="16212D"/>
                <w:sz w:val="20"/>
                <w:szCs w:val="20"/>
              </w:rPr>
              <w:t xml:space="preserve">All</w:t>
            </w:r>
          </w:p>
        </w:tc>
      </w:tr>
      <w:tr>
        <w:tc>
          <w:tcPr>
            <w:tcW w:type="dxa" w:w="1700"/>
            <w:tcBorders>
              <w:top w:val="single" w:color="D5DBE2" w:sz="4"/>
              <w:left w:val="single" w:color="D5DBE2" w:sz="4"/>
              <w:bottom w:val="single" w:color="D5DBE2" w:sz="4"/>
              <w:right w:val="single" w:color="D5DBE2" w:sz="4"/>
            </w:tcBorders>
            <w:tcMar>
              <w:top w:type="dxa" w:w="70"/>
              <w:left w:type="dxa" w:w="110"/>
              <w:bottom w:type="dxa" w:w="70"/>
              <w:right w:type="dxa" w:w="110"/>
            </w:tcMar>
          </w:tcPr>
          <w:p>
            <w:pPr>
              <w:jc w:val="left"/>
            </w:pPr>
            <w:r>
              <w:rPr>
                <w:b w:val="false"/>
                <w:bCs w:val="false"/>
                <w:color w:val="16212D"/>
                <w:sz w:val="20"/>
                <w:szCs w:val="20"/>
              </w:rPr>
              <w:t xml:space="preserve">Developing</w:t>
            </w:r>
          </w:p>
        </w:tc>
        <w:tc>
          <w:tcPr>
            <w:tcW w:type="dxa" w:w="3900"/>
            <w:tcBorders>
              <w:top w:val="single" w:color="D5DBE2" w:sz="4"/>
              <w:left w:val="single" w:color="D5DBE2" w:sz="4"/>
              <w:bottom w:val="single" w:color="D5DBE2" w:sz="4"/>
              <w:right w:val="single" w:color="D5DBE2" w:sz="4"/>
            </w:tcBorders>
            <w:tcMar>
              <w:top w:type="dxa" w:w="70"/>
              <w:left w:type="dxa" w:w="110"/>
              <w:bottom w:type="dxa" w:w="70"/>
              <w:right w:type="dxa" w:w="110"/>
            </w:tcMar>
          </w:tcPr>
          <w:p>
            <w:pPr>
              <w:jc w:val="left"/>
            </w:pPr>
            <w:r>
              <w:rPr>
                <w:b w:val="false"/>
                <w:bCs w:val="false"/>
                <w:color w:val="16212D"/>
                <w:sz w:val="20"/>
                <w:szCs w:val="20"/>
              </w:rPr>
              <w:t xml:space="preserve">23 or under and not yet proven</w:t>
            </w:r>
          </w:p>
        </w:tc>
        <w:tc>
          <w:tcPr>
            <w:tcW w:type="dxa" w:w="1500"/>
            <w:tcBorders>
              <w:top w:val="single" w:color="D5DBE2" w:sz="4"/>
              <w:left w:val="single" w:color="D5DBE2" w:sz="4"/>
              <w:bottom w:val="single" w:color="D5DBE2" w:sz="4"/>
              <w:right w:val="single" w:color="D5DBE2" w:sz="4"/>
            </w:tcBorders>
            <w:tcMar>
              <w:top w:type="dxa" w:w="70"/>
              <w:left w:type="dxa" w:w="110"/>
              <w:bottom w:type="dxa" w:w="70"/>
              <w:right w:type="dxa" w:w="110"/>
            </w:tcMar>
          </w:tcPr>
          <w:p>
            <w:pPr>
              <w:jc w:val="left"/>
            </w:pPr>
            <w:r>
              <w:rPr>
                <w:b w:val="false"/>
                <w:bCs w:val="false"/>
                <w:color w:val="16212D"/>
                <w:sz w:val="20"/>
                <w:szCs w:val="20"/>
              </w:rPr>
              <w:t xml:space="preserve">None</w:t>
            </w:r>
          </w:p>
        </w:tc>
        <w:tc>
          <w:tcPr>
            <w:tcW w:type="dxa" w:w="2260"/>
            <w:tcBorders>
              <w:top w:val="single" w:color="D5DBE2" w:sz="4"/>
              <w:left w:val="single" w:color="D5DBE2" w:sz="4"/>
              <w:bottom w:val="single" w:color="D5DBE2" w:sz="4"/>
              <w:right w:val="single" w:color="D5DBE2" w:sz="4"/>
            </w:tcBorders>
            <w:tcMar>
              <w:top w:type="dxa" w:w="70"/>
              <w:left w:type="dxa" w:w="110"/>
              <w:bottom w:type="dxa" w:w="70"/>
              <w:right w:type="dxa" w:w="110"/>
            </w:tcMar>
          </w:tcPr>
          <w:p>
            <w:pPr>
              <w:jc w:val="left"/>
            </w:pPr>
            <w:r>
              <w:rPr>
                <w:b w:val="false"/>
                <w:bCs w:val="false"/>
                <w:color w:val="16212D"/>
                <w:sz w:val="20"/>
                <w:szCs w:val="20"/>
              </w:rPr>
              <w:t xml:space="preserve">Year 1 in full, later years at 25%</w:t>
            </w:r>
          </w:p>
        </w:tc>
      </w:tr>
      <w:tr>
        <w:tc>
          <w:tcPr>
            <w:tcW w:type="dxa" w:w="1700"/>
            <w:tcBorders>
              <w:top w:val="single" w:color="D5DBE2" w:sz="4"/>
              <w:left w:val="single" w:color="D5DBE2" w:sz="4"/>
              <w:bottom w:val="single" w:color="D5DBE2" w:sz="4"/>
              <w:right w:val="single" w:color="D5DBE2" w:sz="4"/>
            </w:tcBorders>
            <w:tcMar>
              <w:top w:type="dxa" w:w="70"/>
              <w:left w:type="dxa" w:w="110"/>
              <w:bottom w:type="dxa" w:w="70"/>
              <w:right w:type="dxa" w:w="110"/>
            </w:tcMar>
          </w:tcPr>
          <w:p>
            <w:pPr>
              <w:jc w:val="left"/>
            </w:pPr>
            <w:r>
              <w:rPr>
                <w:b w:val="false"/>
                <w:bCs w:val="false"/>
                <w:color w:val="16212D"/>
                <w:sz w:val="20"/>
                <w:szCs w:val="20"/>
              </w:rPr>
              <w:t xml:space="preserve">Unproven</w:t>
            </w:r>
          </w:p>
        </w:tc>
        <w:tc>
          <w:tcPr>
            <w:tcW w:type="dxa" w:w="3900"/>
            <w:tcBorders>
              <w:top w:val="single" w:color="D5DBE2" w:sz="4"/>
              <w:left w:val="single" w:color="D5DBE2" w:sz="4"/>
              <w:bottom w:val="single" w:color="D5DBE2" w:sz="4"/>
              <w:right w:val="single" w:color="D5DBE2" w:sz="4"/>
            </w:tcBorders>
            <w:tcMar>
              <w:top w:type="dxa" w:w="70"/>
              <w:left w:type="dxa" w:w="110"/>
              <w:bottom w:type="dxa" w:w="70"/>
              <w:right w:type="dxa" w:w="110"/>
            </w:tcMar>
          </w:tcPr>
          <w:p>
            <w:pPr>
              <w:jc w:val="left"/>
            </w:pPr>
            <w:r>
              <w:rPr>
                <w:b w:val="false"/>
                <w:bCs w:val="false"/>
                <w:color w:val="16212D"/>
                <w:sz w:val="20"/>
                <w:szCs w:val="20"/>
              </w:rPr>
              <w:t xml:space="preserve">24 or older and not proven</w:t>
            </w:r>
          </w:p>
        </w:tc>
        <w:tc>
          <w:tcPr>
            <w:tcW w:type="dxa" w:w="1500"/>
            <w:tcBorders>
              <w:top w:val="single" w:color="D5DBE2" w:sz="4"/>
              <w:left w:val="single" w:color="D5DBE2" w:sz="4"/>
              <w:bottom w:val="single" w:color="D5DBE2" w:sz="4"/>
              <w:right w:val="single" w:color="D5DBE2" w:sz="4"/>
            </w:tcBorders>
            <w:tcMar>
              <w:top w:type="dxa" w:w="70"/>
              <w:left w:type="dxa" w:w="110"/>
              <w:bottom w:type="dxa" w:w="70"/>
              <w:right w:type="dxa" w:w="110"/>
            </w:tcMar>
          </w:tcPr>
          <w:p>
            <w:pPr>
              <w:jc w:val="left"/>
            </w:pPr>
            <w:r>
              <w:rPr>
                <w:b w:val="false"/>
                <w:bCs w:val="false"/>
                <w:color w:val="16212D"/>
                <w:sz w:val="20"/>
                <w:szCs w:val="20"/>
              </w:rPr>
              <w:t xml:space="preserve">None</w:t>
            </w:r>
          </w:p>
        </w:tc>
        <w:tc>
          <w:tcPr>
            <w:tcW w:type="dxa" w:w="2260"/>
            <w:tcBorders>
              <w:top w:val="single" w:color="D5DBE2" w:sz="4"/>
              <w:left w:val="single" w:color="D5DBE2" w:sz="4"/>
              <w:bottom w:val="single" w:color="D5DBE2" w:sz="4"/>
              <w:right w:val="single" w:color="D5DBE2" w:sz="4"/>
            </w:tcBorders>
            <w:tcMar>
              <w:top w:type="dxa" w:w="70"/>
              <w:left w:type="dxa" w:w="110"/>
              <w:bottom w:type="dxa" w:w="70"/>
              <w:right w:type="dxa" w:w="110"/>
            </w:tcMar>
          </w:tcPr>
          <w:p>
            <w:pPr>
              <w:jc w:val="left"/>
            </w:pPr>
            <w:r>
              <w:rPr>
                <w:b w:val="false"/>
                <w:bCs w:val="false"/>
                <w:color w:val="16212D"/>
                <w:sz w:val="20"/>
                <w:szCs w:val="20"/>
              </w:rPr>
              <w:t xml:space="preserve">Year 1 only, using his stabilized impact</w:t>
            </w:r>
          </w:p>
        </w:tc>
      </w:tr>
    </w:tbl>
    <w:p>
      <w:pPr>
        <w:spacing w:after="120"/>
      </w:pPr>
    </w:p>
    <w:p>
      <w:pPr>
        <w:spacing w:after="120" w:line="300"/>
      </w:pPr>
      <w:r>
        <w:t xml:space="preserve">The premium multiplies the value of his wins. Real teams pay extra for a proven star, because his wins come in one roster spot and can't be bought on the open market. There are 8 superstars (Jokic, Giannis, LeBron, Donovan Mitchell, Luka, Tatum, Curry and Durant) and 18 stars, including Shai Gilgeous-Alexander, Booker, Brunson and Anthony Edwards.</w:t>
      </w:r>
    </w:p>
    <w:p>
      <w:pPr>
        <w:spacing w:after="120" w:line="300"/>
      </w:pPr>
      <w:r>
        <w:t xml:space="preserve">The track-record rule keeps cheap long contracts for role players from inflating value. A team can find a similar role player next summer, so only his current year counts as surplus. His value also uses a stabilized impact instead of his last season alone: his last three seasons weighted 3:2:1 by minutes, pulled toward league average by the equivalent of 1,500 minutes. Overpaid years always count against a player in full, whatever his tier.</w:t>
      </w:r>
    </w:p>
    <w:p>
      <w:pPr>
        <w:pStyle w:val="Heading2"/>
        <w:spacing w:after="80" w:before="200"/>
      </w:pPr>
      <w:r>
        <w:t xml:space="preserve">Worked example: Cade Cunningham</w:t>
      </w:r>
    </w:p>
    <w:p>
      <w:pPr>
        <w:spacing w:after="120" w:line="300"/>
      </w:pPr>
      <w:r>
        <w:t xml:space="preserve">Cade's impact is +5.38 at 34.5 minutes a game, and he is 25 with four years left on his deal.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900"/>
        <w:gridCol w:w="2260"/>
        <w:gridCol w:w="2000"/>
      </w:tblGrid>
      <w:tr>
        <w:trPr>
          <w:tblHeader/>
        </w:trPr>
        <w:tc>
          <w:tcPr>
            <w:tcW w:type="dxa" w:w="1500"/>
            <w:tcBorders>
              <w:top w:val="single" w:color="D5DBE2" w:sz="4"/>
              <w:left w:val="single" w:color="D5DBE2" w:sz="4"/>
              <w:bottom w:val="single" w:color="D5DBE2" w:sz="4"/>
              <w:right w:val="single" w:color="D5DBE2" w:sz="4"/>
            </w:tcBorders>
            <w:shd w:fill="16212D" w:color="auto" w:val="clear"/>
            <w:tcMar>
              <w:top w:type="dxa" w:w="70"/>
              <w:left w:type="dxa" w:w="110"/>
              <w:bottom w:type="dxa" w:w="70"/>
              <w:right w:type="dxa" w:w="110"/>
            </w:tcMar>
          </w:tcPr>
          <w:p>
            <w:pPr>
              <w:jc w:val="left"/>
            </w:pPr>
            <w:r>
              <w:rPr>
                <w:b/>
                <w:bCs/>
                <w:color w:val="FFFFFF"/>
                <w:sz w:val="20"/>
                <w:szCs w:val="20"/>
              </w:rPr>
              <w:t xml:space="preserve">Season</w:t>
            </w:r>
          </w:p>
        </w:tc>
        <w:tc>
          <w:tcPr>
            <w:tcW w:type="dxa" w:w="1700"/>
            <w:tcBorders>
              <w:top w:val="single" w:color="D5DBE2" w:sz="4"/>
              <w:left w:val="single" w:color="D5DBE2" w:sz="4"/>
              <w:bottom w:val="single" w:color="D5DBE2" w:sz="4"/>
              <w:right w:val="single" w:color="D5DBE2" w:sz="4"/>
            </w:tcBorders>
            <w:shd w:fill="16212D" w:color="auto" w:val="clear"/>
            <w:tcMar>
              <w:top w:type="dxa" w:w="70"/>
              <w:left w:type="dxa" w:w="110"/>
              <w:bottom w:type="dxa" w:w="70"/>
              <w:right w:type="dxa" w:w="110"/>
            </w:tcMar>
          </w:tcPr>
          <w:p>
            <w:pPr>
              <w:jc w:val="left"/>
            </w:pPr>
            <w:r>
              <w:rPr>
                <w:b/>
                <w:bCs/>
                <w:color w:val="FFFFFF"/>
                <w:sz w:val="20"/>
                <w:szCs w:val="20"/>
              </w:rPr>
              <w:t xml:space="preserve">Projected wins</w:t>
            </w:r>
          </w:p>
        </w:tc>
        <w:tc>
          <w:tcPr>
            <w:tcW w:type="dxa" w:w="1900"/>
            <w:tcBorders>
              <w:top w:val="single" w:color="D5DBE2" w:sz="4"/>
              <w:left w:val="single" w:color="D5DBE2" w:sz="4"/>
              <w:bottom w:val="single" w:color="D5DBE2" w:sz="4"/>
              <w:right w:val="single" w:color="D5DBE2" w:sz="4"/>
            </w:tcBorders>
            <w:shd w:fill="16212D" w:color="auto" w:val="clear"/>
            <w:tcMar>
              <w:top w:type="dxa" w:w="70"/>
              <w:left w:type="dxa" w:w="110"/>
              <w:bottom w:type="dxa" w:w="70"/>
              <w:right w:type="dxa" w:w="110"/>
            </w:tcMar>
          </w:tcPr>
          <w:p>
            <w:pPr>
              <w:jc w:val="left"/>
            </w:pPr>
            <w:r>
              <w:rPr>
                <w:b/>
                <w:bCs/>
                <w:color w:val="FFFFFF"/>
                <w:sz w:val="20"/>
                <w:szCs w:val="20"/>
              </w:rPr>
              <w:t xml:space="preserve">Wins × $6.67M</w:t>
            </w:r>
          </w:p>
        </w:tc>
        <w:tc>
          <w:tcPr>
            <w:tcW w:type="dxa" w:w="2260"/>
            <w:tcBorders>
              <w:top w:val="single" w:color="D5DBE2" w:sz="4"/>
              <w:left w:val="single" w:color="D5DBE2" w:sz="4"/>
              <w:bottom w:val="single" w:color="D5DBE2" w:sz="4"/>
              <w:right w:val="single" w:color="D5DBE2" w:sz="4"/>
            </w:tcBorders>
            <w:shd w:fill="16212D" w:color="auto" w:val="clear"/>
            <w:tcMar>
              <w:top w:type="dxa" w:w="70"/>
              <w:left w:type="dxa" w:w="110"/>
              <w:bottom w:type="dxa" w:w="70"/>
              <w:right w:type="dxa" w:w="110"/>
            </w:tcMar>
          </w:tcPr>
          <w:p>
            <w:pPr>
              <w:jc w:val="left"/>
            </w:pPr>
            <w:r>
              <w:rPr>
                <w:b/>
                <w:bCs/>
                <w:color w:val="FFFFFF"/>
                <w:sz w:val="20"/>
                <w:szCs w:val="20"/>
              </w:rPr>
              <w:t xml:space="preserve">Salary in today's $</w:t>
            </w:r>
          </w:p>
        </w:tc>
        <w:tc>
          <w:tcPr>
            <w:tcW w:type="dxa" w:w="2000"/>
            <w:tcBorders>
              <w:top w:val="single" w:color="D5DBE2" w:sz="4"/>
              <w:left w:val="single" w:color="D5DBE2" w:sz="4"/>
              <w:bottom w:val="single" w:color="D5DBE2" w:sz="4"/>
              <w:right w:val="single" w:color="D5DBE2" w:sz="4"/>
            </w:tcBorders>
            <w:shd w:fill="16212D" w:color="auto" w:val="clear"/>
            <w:tcMar>
              <w:top w:type="dxa" w:w="70"/>
              <w:left w:type="dxa" w:w="110"/>
              <w:bottom w:type="dxa" w:w="70"/>
              <w:right w:type="dxa" w:w="110"/>
            </w:tcMar>
          </w:tcPr>
          <w:p>
            <w:pPr>
              <w:jc w:val="left"/>
            </w:pPr>
            <w:r>
              <w:rPr>
                <w:b/>
                <w:bCs/>
                <w:color w:val="FFFFFF"/>
                <w:sz w:val="20"/>
                <w:szCs w:val="20"/>
              </w:rPr>
              <w:t xml:space="preserve">Year value</w:t>
            </w:r>
          </w:p>
        </w:tc>
      </w:tr>
      <w:tr>
        <w:tc>
          <w:tcPr>
            <w:tcW w:type="dxa" w:w="1500"/>
            <w:tcBorders>
              <w:top w:val="single" w:color="D5DBE2" w:sz="4"/>
              <w:left w:val="single" w:color="D5DBE2" w:sz="4"/>
              <w:bottom w:val="single" w:color="D5DBE2" w:sz="4"/>
              <w:right w:val="single" w:color="D5DBE2" w:sz="4"/>
            </w:tcBorders>
            <w:tcMar>
              <w:top w:type="dxa" w:w="70"/>
              <w:left w:type="dxa" w:w="110"/>
              <w:bottom w:type="dxa" w:w="70"/>
              <w:right w:type="dxa" w:w="110"/>
            </w:tcMar>
          </w:tcPr>
          <w:p>
            <w:pPr>
              <w:jc w:val="left"/>
            </w:pPr>
            <w:r>
              <w:rPr>
                <w:b w:val="false"/>
                <w:bCs w:val="false"/>
                <w:color w:val="16212D"/>
                <w:sz w:val="20"/>
                <w:szCs w:val="20"/>
              </w:rPr>
              <w:t xml:space="preserve">2026-27</w:t>
            </w:r>
          </w:p>
        </w:tc>
        <w:tc>
          <w:tcPr>
            <w:tcW w:type="dxa" w:w="1700"/>
            <w:tcBorders>
              <w:top w:val="single" w:color="D5DBE2" w:sz="4"/>
              <w:left w:val="single" w:color="D5DBE2" w:sz="4"/>
              <w:bottom w:val="single" w:color="D5DBE2" w:sz="4"/>
              <w:right w:val="single" w:color="D5DBE2" w:sz="4"/>
            </w:tcBorders>
            <w:tcMar>
              <w:top w:type="dxa" w:w="70"/>
              <w:left w:type="dxa" w:w="110"/>
              <w:bottom w:type="dxa" w:w="70"/>
              <w:right w:type="dxa" w:w="110"/>
            </w:tcMar>
          </w:tcPr>
          <w:p>
            <w:pPr>
              <w:jc w:val="left"/>
            </w:pPr>
            <w:r>
              <w:rPr>
                <w:b w:val="false"/>
                <w:bCs w:val="false"/>
                <w:color w:val="16212D"/>
                <w:sz w:val="20"/>
                <w:szCs w:val="20"/>
              </w:rPr>
              <w:t xml:space="preserve">11.9</w:t>
            </w:r>
          </w:p>
        </w:tc>
        <w:tc>
          <w:tcPr>
            <w:tcW w:type="dxa" w:w="1900"/>
            <w:tcBorders>
              <w:top w:val="single" w:color="D5DBE2" w:sz="4"/>
              <w:left w:val="single" w:color="D5DBE2" w:sz="4"/>
              <w:bottom w:val="single" w:color="D5DBE2" w:sz="4"/>
              <w:right w:val="single" w:color="D5DBE2" w:sz="4"/>
            </w:tcBorders>
            <w:tcMar>
              <w:top w:type="dxa" w:w="70"/>
              <w:left w:type="dxa" w:w="110"/>
              <w:bottom w:type="dxa" w:w="70"/>
              <w:right w:type="dxa" w:w="110"/>
            </w:tcMar>
          </w:tcPr>
          <w:p>
            <w:pPr>
              <w:jc w:val="left"/>
            </w:pPr>
            <w:r>
              <w:rPr>
                <w:b w:val="false"/>
                <w:bCs w:val="false"/>
                <w:color w:val="16212D"/>
                <w:sz w:val="20"/>
                <w:szCs w:val="20"/>
              </w:rPr>
              <w:t xml:space="preserve">$79.3M</w:t>
            </w:r>
          </w:p>
        </w:tc>
        <w:tc>
          <w:tcPr>
            <w:tcW w:type="dxa" w:w="2260"/>
            <w:tcBorders>
              <w:top w:val="single" w:color="D5DBE2" w:sz="4"/>
              <w:left w:val="single" w:color="D5DBE2" w:sz="4"/>
              <w:bottom w:val="single" w:color="D5DBE2" w:sz="4"/>
              <w:right w:val="single" w:color="D5DBE2" w:sz="4"/>
            </w:tcBorders>
            <w:tcMar>
              <w:top w:type="dxa" w:w="70"/>
              <w:left w:type="dxa" w:w="110"/>
              <w:bottom w:type="dxa" w:w="70"/>
              <w:right w:type="dxa" w:w="110"/>
            </w:tcMar>
          </w:tcPr>
          <w:p>
            <w:pPr>
              <w:jc w:val="left"/>
            </w:pPr>
            <w:r>
              <w:rPr>
                <w:b w:val="false"/>
                <w:bCs w:val="false"/>
                <w:color w:val="16212D"/>
                <w:sz w:val="20"/>
                <w:szCs w:val="20"/>
              </w:rPr>
              <w:t xml:space="preserve">$50.1M</w:t>
            </w:r>
          </w:p>
        </w:tc>
        <w:tc>
          <w:tcPr>
            <w:tcW w:type="dxa" w:w="2000"/>
            <w:tcBorders>
              <w:top w:val="single" w:color="D5DBE2" w:sz="4"/>
              <w:left w:val="single" w:color="D5DBE2" w:sz="4"/>
              <w:bottom w:val="single" w:color="D5DBE2" w:sz="4"/>
              <w:right w:val="single" w:color="D5DBE2" w:sz="4"/>
            </w:tcBorders>
            <w:tcMar>
              <w:top w:type="dxa" w:w="70"/>
              <w:left w:type="dxa" w:w="110"/>
              <w:bottom w:type="dxa" w:w="70"/>
              <w:right w:type="dxa" w:w="110"/>
            </w:tcMar>
          </w:tcPr>
          <w:p>
            <w:pPr>
              <w:jc w:val="left"/>
            </w:pPr>
            <w:r>
              <w:rPr>
                <w:b w:val="false"/>
                <w:bCs w:val="false"/>
                <w:color w:val="16212D"/>
                <w:sz w:val="20"/>
                <w:szCs w:val="20"/>
              </w:rPr>
              <w:t xml:space="preserve">+$30.6M</w:t>
            </w:r>
          </w:p>
        </w:tc>
      </w:tr>
      <w:tr>
        <w:tc>
          <w:tcPr>
            <w:tcW w:type="dxa" w:w="1500"/>
            <w:tcBorders>
              <w:top w:val="single" w:color="D5DBE2" w:sz="4"/>
              <w:left w:val="single" w:color="D5DBE2" w:sz="4"/>
              <w:bottom w:val="single" w:color="D5DBE2" w:sz="4"/>
              <w:right w:val="single" w:color="D5DBE2" w:sz="4"/>
            </w:tcBorders>
            <w:tcMar>
              <w:top w:type="dxa" w:w="70"/>
              <w:left w:type="dxa" w:w="110"/>
              <w:bottom w:type="dxa" w:w="70"/>
              <w:right w:type="dxa" w:w="110"/>
            </w:tcMar>
          </w:tcPr>
          <w:p>
            <w:pPr>
              <w:jc w:val="left"/>
            </w:pPr>
            <w:r>
              <w:rPr>
                <w:b w:val="false"/>
                <w:bCs w:val="false"/>
                <w:color w:val="16212D"/>
                <w:sz w:val="20"/>
                <w:szCs w:val="20"/>
              </w:rPr>
              <w:t xml:space="preserve">2027-28</w:t>
            </w:r>
          </w:p>
        </w:tc>
        <w:tc>
          <w:tcPr>
            <w:tcW w:type="dxa" w:w="1700"/>
            <w:tcBorders>
              <w:top w:val="single" w:color="D5DBE2" w:sz="4"/>
              <w:left w:val="single" w:color="D5DBE2" w:sz="4"/>
              <w:bottom w:val="single" w:color="D5DBE2" w:sz="4"/>
              <w:right w:val="single" w:color="D5DBE2" w:sz="4"/>
            </w:tcBorders>
            <w:tcMar>
              <w:top w:type="dxa" w:w="70"/>
              <w:left w:type="dxa" w:w="110"/>
              <w:bottom w:type="dxa" w:w="70"/>
              <w:right w:type="dxa" w:w="110"/>
            </w:tcMar>
          </w:tcPr>
          <w:p>
            <w:pPr>
              <w:jc w:val="left"/>
            </w:pPr>
            <w:r>
              <w:rPr>
                <w:b w:val="false"/>
                <w:bCs w:val="false"/>
                <w:color w:val="16212D"/>
                <w:sz w:val="20"/>
                <w:szCs w:val="20"/>
              </w:rPr>
              <w:t xml:space="preserve">12.0</w:t>
            </w:r>
          </w:p>
        </w:tc>
        <w:tc>
          <w:tcPr>
            <w:tcW w:type="dxa" w:w="1900"/>
            <w:tcBorders>
              <w:top w:val="single" w:color="D5DBE2" w:sz="4"/>
              <w:left w:val="single" w:color="D5DBE2" w:sz="4"/>
              <w:bottom w:val="single" w:color="D5DBE2" w:sz="4"/>
              <w:right w:val="single" w:color="D5DBE2" w:sz="4"/>
            </w:tcBorders>
            <w:tcMar>
              <w:top w:type="dxa" w:w="70"/>
              <w:left w:type="dxa" w:w="110"/>
              <w:bottom w:type="dxa" w:w="70"/>
              <w:right w:type="dxa" w:w="110"/>
            </w:tcMar>
          </w:tcPr>
          <w:p>
            <w:pPr>
              <w:jc w:val="left"/>
            </w:pPr>
            <w:r>
              <w:rPr>
                <w:b w:val="false"/>
                <w:bCs w:val="false"/>
                <w:color w:val="16212D"/>
                <w:sz w:val="20"/>
                <w:szCs w:val="20"/>
              </w:rPr>
              <w:t xml:space="preserve">$79.8M</w:t>
            </w:r>
          </w:p>
        </w:tc>
        <w:tc>
          <w:tcPr>
            <w:tcW w:type="dxa" w:w="2260"/>
            <w:tcBorders>
              <w:top w:val="single" w:color="D5DBE2" w:sz="4"/>
              <w:left w:val="single" w:color="D5DBE2" w:sz="4"/>
              <w:bottom w:val="single" w:color="D5DBE2" w:sz="4"/>
              <w:right w:val="single" w:color="D5DBE2" w:sz="4"/>
            </w:tcBorders>
            <w:tcMar>
              <w:top w:type="dxa" w:w="70"/>
              <w:left w:type="dxa" w:w="110"/>
              <w:bottom w:type="dxa" w:w="70"/>
              <w:right w:type="dxa" w:w="110"/>
            </w:tcMar>
          </w:tcPr>
          <w:p>
            <w:pPr>
              <w:jc w:val="left"/>
            </w:pPr>
            <w:r>
              <w:rPr>
                <w:b w:val="false"/>
                <w:bCs w:val="false"/>
                <w:color w:val="16212D"/>
                <w:sz w:val="20"/>
                <w:szCs w:val="20"/>
              </w:rPr>
              <w:t xml:space="preserve">$50.3M</w:t>
            </w:r>
          </w:p>
        </w:tc>
        <w:tc>
          <w:tcPr>
            <w:tcW w:type="dxa" w:w="2000"/>
            <w:tcBorders>
              <w:top w:val="single" w:color="D5DBE2" w:sz="4"/>
              <w:left w:val="single" w:color="D5DBE2" w:sz="4"/>
              <w:bottom w:val="single" w:color="D5DBE2" w:sz="4"/>
              <w:right w:val="single" w:color="D5DBE2" w:sz="4"/>
            </w:tcBorders>
            <w:tcMar>
              <w:top w:type="dxa" w:w="70"/>
              <w:left w:type="dxa" w:w="110"/>
              <w:bottom w:type="dxa" w:w="70"/>
              <w:right w:type="dxa" w:w="110"/>
            </w:tcMar>
          </w:tcPr>
          <w:p>
            <w:pPr>
              <w:jc w:val="left"/>
            </w:pPr>
            <w:r>
              <w:rPr>
                <w:b w:val="false"/>
                <w:bCs w:val="false"/>
                <w:color w:val="16212D"/>
                <w:sz w:val="20"/>
                <w:szCs w:val="20"/>
              </w:rPr>
              <w:t xml:space="preserve">+$29.3M</w:t>
            </w:r>
          </w:p>
        </w:tc>
      </w:tr>
      <w:tr>
        <w:tc>
          <w:tcPr>
            <w:tcW w:type="dxa" w:w="1500"/>
            <w:tcBorders>
              <w:top w:val="single" w:color="D5DBE2" w:sz="4"/>
              <w:left w:val="single" w:color="D5DBE2" w:sz="4"/>
              <w:bottom w:val="single" w:color="D5DBE2" w:sz="4"/>
              <w:right w:val="single" w:color="D5DBE2" w:sz="4"/>
            </w:tcBorders>
            <w:tcMar>
              <w:top w:type="dxa" w:w="70"/>
              <w:left w:type="dxa" w:w="110"/>
              <w:bottom w:type="dxa" w:w="70"/>
              <w:right w:type="dxa" w:w="110"/>
            </w:tcMar>
          </w:tcPr>
          <w:p>
            <w:pPr>
              <w:jc w:val="left"/>
            </w:pPr>
            <w:r>
              <w:rPr>
                <w:b w:val="false"/>
                <w:bCs w:val="false"/>
                <w:color w:val="16212D"/>
                <w:sz w:val="20"/>
                <w:szCs w:val="20"/>
              </w:rPr>
              <w:t xml:space="preserve">2028-29</w:t>
            </w:r>
          </w:p>
        </w:tc>
        <w:tc>
          <w:tcPr>
            <w:tcW w:type="dxa" w:w="1700"/>
            <w:tcBorders>
              <w:top w:val="single" w:color="D5DBE2" w:sz="4"/>
              <w:left w:val="single" w:color="D5DBE2" w:sz="4"/>
              <w:bottom w:val="single" w:color="D5DBE2" w:sz="4"/>
              <w:right w:val="single" w:color="D5DBE2" w:sz="4"/>
            </w:tcBorders>
            <w:tcMar>
              <w:top w:type="dxa" w:w="70"/>
              <w:left w:type="dxa" w:w="110"/>
              <w:bottom w:type="dxa" w:w="70"/>
              <w:right w:type="dxa" w:w="110"/>
            </w:tcMar>
          </w:tcPr>
          <w:p>
            <w:pPr>
              <w:jc w:val="left"/>
            </w:pPr>
            <w:r>
              <w:rPr>
                <w:b w:val="false"/>
                <w:bCs w:val="false"/>
                <w:color w:val="16212D"/>
                <w:sz w:val="20"/>
                <w:szCs w:val="20"/>
              </w:rPr>
              <w:t xml:space="preserve">11.9</w:t>
            </w:r>
          </w:p>
        </w:tc>
        <w:tc>
          <w:tcPr>
            <w:tcW w:type="dxa" w:w="1900"/>
            <w:tcBorders>
              <w:top w:val="single" w:color="D5DBE2" w:sz="4"/>
              <w:left w:val="single" w:color="D5DBE2" w:sz="4"/>
              <w:bottom w:val="single" w:color="D5DBE2" w:sz="4"/>
              <w:right w:val="single" w:color="D5DBE2" w:sz="4"/>
            </w:tcBorders>
            <w:tcMar>
              <w:top w:type="dxa" w:w="70"/>
              <w:left w:type="dxa" w:w="110"/>
              <w:bottom w:type="dxa" w:w="70"/>
              <w:right w:type="dxa" w:w="110"/>
            </w:tcMar>
          </w:tcPr>
          <w:p>
            <w:pPr>
              <w:jc w:val="left"/>
            </w:pPr>
            <w:r>
              <w:rPr>
                <w:b w:val="false"/>
                <w:bCs w:val="false"/>
                <w:color w:val="16212D"/>
                <w:sz w:val="20"/>
                <w:szCs w:val="20"/>
              </w:rPr>
              <w:t xml:space="preserve">$79.5M</w:t>
            </w:r>
          </w:p>
        </w:tc>
        <w:tc>
          <w:tcPr>
            <w:tcW w:type="dxa" w:w="2260"/>
            <w:tcBorders>
              <w:top w:val="single" w:color="D5DBE2" w:sz="4"/>
              <w:left w:val="single" w:color="D5DBE2" w:sz="4"/>
              <w:bottom w:val="single" w:color="D5DBE2" w:sz="4"/>
              <w:right w:val="single" w:color="D5DBE2" w:sz="4"/>
            </w:tcBorders>
            <w:tcMar>
              <w:top w:type="dxa" w:w="70"/>
              <w:left w:type="dxa" w:w="110"/>
              <w:bottom w:type="dxa" w:w="70"/>
              <w:right w:type="dxa" w:w="110"/>
            </w:tcMar>
          </w:tcPr>
          <w:p>
            <w:pPr>
              <w:jc w:val="left"/>
            </w:pPr>
            <w:r>
              <w:rPr>
                <w:b w:val="false"/>
                <w:bCs w:val="false"/>
                <w:color w:val="16212D"/>
                <w:sz w:val="20"/>
                <w:szCs w:val="20"/>
              </w:rPr>
              <w:t xml:space="preserve">$50.2M</w:t>
            </w:r>
          </w:p>
        </w:tc>
        <w:tc>
          <w:tcPr>
            <w:tcW w:type="dxa" w:w="2000"/>
            <w:tcBorders>
              <w:top w:val="single" w:color="D5DBE2" w:sz="4"/>
              <w:left w:val="single" w:color="D5DBE2" w:sz="4"/>
              <w:bottom w:val="single" w:color="D5DBE2" w:sz="4"/>
              <w:right w:val="single" w:color="D5DBE2" w:sz="4"/>
            </w:tcBorders>
            <w:tcMar>
              <w:top w:type="dxa" w:w="70"/>
              <w:left w:type="dxa" w:w="110"/>
              <w:bottom w:type="dxa" w:w="70"/>
              <w:right w:type="dxa" w:w="110"/>
            </w:tcMar>
          </w:tcPr>
          <w:p>
            <w:pPr>
              <w:jc w:val="left"/>
            </w:pPr>
            <w:r>
              <w:rPr>
                <w:b w:val="false"/>
                <w:bCs w:val="false"/>
                <w:color w:val="16212D"/>
                <w:sz w:val="20"/>
                <w:szCs w:val="20"/>
              </w:rPr>
              <w:t xml:space="preserve">+$27.6M</w:t>
            </w:r>
          </w:p>
        </w:tc>
      </w:tr>
      <w:tr>
        <w:tc>
          <w:tcPr>
            <w:tcW w:type="dxa" w:w="1500"/>
            <w:tcBorders>
              <w:top w:val="single" w:color="D5DBE2" w:sz="4"/>
              <w:left w:val="single" w:color="D5DBE2" w:sz="4"/>
              <w:bottom w:val="single" w:color="D5DBE2" w:sz="4"/>
              <w:right w:val="single" w:color="D5DBE2" w:sz="4"/>
            </w:tcBorders>
            <w:tcMar>
              <w:top w:type="dxa" w:w="70"/>
              <w:left w:type="dxa" w:w="110"/>
              <w:bottom w:type="dxa" w:w="70"/>
              <w:right w:type="dxa" w:w="110"/>
            </w:tcMar>
          </w:tcPr>
          <w:p>
            <w:pPr>
              <w:jc w:val="left"/>
            </w:pPr>
            <w:r>
              <w:rPr>
                <w:b w:val="false"/>
                <w:bCs w:val="false"/>
                <w:color w:val="16212D"/>
                <w:sz w:val="20"/>
                <w:szCs w:val="20"/>
              </w:rPr>
              <w:t xml:space="preserve">2029-30</w:t>
            </w:r>
          </w:p>
        </w:tc>
        <w:tc>
          <w:tcPr>
            <w:tcW w:type="dxa" w:w="1700"/>
            <w:tcBorders>
              <w:top w:val="single" w:color="D5DBE2" w:sz="4"/>
              <w:left w:val="single" w:color="D5DBE2" w:sz="4"/>
              <w:bottom w:val="single" w:color="D5DBE2" w:sz="4"/>
              <w:right w:val="single" w:color="D5DBE2" w:sz="4"/>
            </w:tcBorders>
            <w:tcMar>
              <w:top w:type="dxa" w:w="70"/>
              <w:left w:type="dxa" w:w="110"/>
              <w:bottom w:type="dxa" w:w="70"/>
              <w:right w:type="dxa" w:w="110"/>
            </w:tcMar>
          </w:tcPr>
          <w:p>
            <w:pPr>
              <w:jc w:val="left"/>
            </w:pPr>
            <w:r>
              <w:rPr>
                <w:b w:val="false"/>
                <w:bCs w:val="false"/>
                <w:color w:val="16212D"/>
                <w:sz w:val="20"/>
                <w:szCs w:val="20"/>
              </w:rPr>
              <w:t xml:space="preserve">11.8</w:t>
            </w:r>
          </w:p>
        </w:tc>
        <w:tc>
          <w:tcPr>
            <w:tcW w:type="dxa" w:w="1900"/>
            <w:tcBorders>
              <w:top w:val="single" w:color="D5DBE2" w:sz="4"/>
              <w:left w:val="single" w:color="D5DBE2" w:sz="4"/>
              <w:bottom w:val="single" w:color="D5DBE2" w:sz="4"/>
              <w:right w:val="single" w:color="D5DBE2" w:sz="4"/>
            </w:tcBorders>
            <w:tcMar>
              <w:top w:type="dxa" w:w="70"/>
              <w:left w:type="dxa" w:w="110"/>
              <w:bottom w:type="dxa" w:w="70"/>
              <w:right w:type="dxa" w:w="110"/>
            </w:tcMar>
          </w:tcPr>
          <w:p>
            <w:pPr>
              <w:jc w:val="left"/>
            </w:pPr>
            <w:r>
              <w:rPr>
                <w:b w:val="false"/>
                <w:bCs w:val="false"/>
                <w:color w:val="16212D"/>
                <w:sz w:val="20"/>
                <w:szCs w:val="20"/>
              </w:rPr>
              <w:t xml:space="preserve">$78.6M</w:t>
            </w:r>
          </w:p>
        </w:tc>
        <w:tc>
          <w:tcPr>
            <w:tcW w:type="dxa" w:w="2260"/>
            <w:tcBorders>
              <w:top w:val="single" w:color="D5DBE2" w:sz="4"/>
              <w:left w:val="single" w:color="D5DBE2" w:sz="4"/>
              <w:bottom w:val="single" w:color="D5DBE2" w:sz="4"/>
              <w:right w:val="single" w:color="D5DBE2" w:sz="4"/>
            </w:tcBorders>
            <w:tcMar>
              <w:top w:type="dxa" w:w="70"/>
              <w:left w:type="dxa" w:w="110"/>
              <w:bottom w:type="dxa" w:w="70"/>
              <w:right w:type="dxa" w:w="110"/>
            </w:tcMar>
          </w:tcPr>
          <w:p>
            <w:pPr>
              <w:jc w:val="left"/>
            </w:pPr>
            <w:r>
              <w:rPr>
                <w:b w:val="false"/>
                <w:bCs w:val="false"/>
                <w:color w:val="16212D"/>
                <w:sz w:val="20"/>
                <w:szCs w:val="20"/>
              </w:rPr>
              <w:t xml:space="preserve">$50.0M</w:t>
            </w:r>
          </w:p>
        </w:tc>
        <w:tc>
          <w:tcPr>
            <w:tcW w:type="dxa" w:w="2000"/>
            <w:tcBorders>
              <w:top w:val="single" w:color="D5DBE2" w:sz="4"/>
              <w:left w:val="single" w:color="D5DBE2" w:sz="4"/>
              <w:bottom w:val="single" w:color="D5DBE2" w:sz="4"/>
              <w:right w:val="single" w:color="D5DBE2" w:sz="4"/>
            </w:tcBorders>
            <w:tcMar>
              <w:top w:type="dxa" w:w="70"/>
              <w:left w:type="dxa" w:w="110"/>
              <w:bottom w:type="dxa" w:w="70"/>
              <w:right w:type="dxa" w:w="110"/>
            </w:tcMar>
          </w:tcPr>
          <w:p>
            <w:pPr>
              <w:jc w:val="left"/>
            </w:pPr>
            <w:r>
              <w:rPr>
                <w:b w:val="false"/>
                <w:bCs w:val="false"/>
                <w:color w:val="16212D"/>
                <w:sz w:val="20"/>
                <w:szCs w:val="20"/>
              </w:rPr>
              <w:t xml:space="preserve">+$25.7M</w:t>
            </w:r>
          </w:p>
        </w:tc>
      </w:tr>
    </w:tbl>
    <w:p>
      <w:pPr>
        <w:spacing w:after="120"/>
      </w:pPr>
    </w:p>
    <w:p>
      <w:pPr>
        <w:spacing w:after="120" w:line="300"/>
      </w:pPr>
      <w:r>
        <w:t xml:space="preserve">His trade value is about $113M. The first version of the tool put him at $16.1M because it held his salary flat, priced a win at the league-wide average of $4.63M (dragged down by cheap rookie deals) and ignored cap growth. A max contract can't pay a player like Cade what his wins are worth on the market, so he is a big positive asset.</w:t>
      </w:r>
    </w:p>
    <w:p>
      <w:pPr>
        <w:spacing w:after="120" w:line="300"/>
      </w:pPr>
      <w:r>
        <w:t xml:space="preserve">The same math makes some max-contract players negative: if a player's projected wins are worth less than his salary, taking on his contract costs the other team value, even with a star premium. Jaylen Brown and Trae Young are examples.</w:t>
      </w:r>
    </w:p>
    <w:p>
      <w:pPr>
        <w:spacing w:after="120" w:line="300"/>
      </w:pPr>
      <w:r>
        <w:t xml:space="preserve">Neemias Queta shows the track-record rule at work. He had one strong season (+3.69 over 1,925 minutes) after two seasons as a little-used backup, so he is unproven. His stabilized impact is +1.79, and only this season of his five-year, $2.7M deal counts, so he is worth about $30M instead of $135M.</w:t>
      </w:r>
    </w:p>
    <w:p>
      <w:pPr>
        <w:pStyle w:val="Heading2"/>
        <w:spacing w:after="80" w:before="200"/>
      </w:pPr>
      <w:r>
        <w:t xml:space="preserve">Draft pick value</w:t>
      </w:r>
    </w:p>
    <w:p>
      <w:pPr>
        <w:spacing w:after="120" w:line="300"/>
      </w:pPr>
      <w:r>
        <w:t xml:space="preserve">Pick values come from real drafts. The tool rebuilds the first round of nine draft classes (players who debuted from 2015 to 2023) by ranking each year's young debuts by rookie salary, which the rookie scale pays in draft order. For each slot it measures the wins those players produced in their first eight seasons:</w:t>
      </w:r>
    </w:p>
    <w:p>
      <w:pPr>
        <w:pStyle w:val="ListParagraph"/>
        <w:numPr>
          <w:ilvl w:val="0"/>
          <w:numId w:val="2"/>
        </w:numPr>
        <w:spacing w:after="60" w:line="290"/>
      </w:pPr>
      <w:r>
        <w:rPr>
          <w:b/>
          <w:bCs/>
        </w:rPr>
        <w:t xml:space="preserve">Years 1 to 4, the rookie deal:</w:t>
      </w:r>
      <w:r>
        <w:t xml:space="preserve"> all of the player's wins at $6.67M each, minus the 2026 rookie-scale salary for that slot.</w:t>
      </w:r>
    </w:p>
    <w:p>
      <w:pPr>
        <w:pStyle w:val="ListParagraph"/>
        <w:numPr>
          <w:ilvl w:val="0"/>
          <w:numId w:val="2"/>
        </w:numPr>
        <w:spacing w:after="60" w:line="290"/>
      </w:pPr>
      <w:r>
        <w:rPr>
          <w:b/>
          <w:bCs/>
        </w:rPr>
        <w:t xml:space="preserve">Years 5 to 8, after the rookie deal:</w:t>
      </w:r>
      <w:r>
        <w:t xml:space="preserve"> he is assumed to be paid what he's worth, so only a star's value beyond a max extension (25% of the cap) counts. This is where top picks earn most of their extra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5DBE2" w:sz="4"/>
              <w:left w:val="single" w:color="D5DBE2" w:sz="4"/>
              <w:bottom w:val="single" w:color="D5DBE2" w:sz="4"/>
              <w:right w:val="single" w:color="D5DBE2" w:sz="4"/>
            </w:tcBorders>
            <w:shd w:fill="16212D" w:color="auto" w:val="clear"/>
            <w:tcMar>
              <w:top w:type="dxa" w:w="70"/>
              <w:left w:type="dxa" w:w="110"/>
              <w:bottom w:type="dxa" w:w="70"/>
              <w:right w:type="dxa" w:w="110"/>
            </w:tcMar>
          </w:tcPr>
          <w:p>
            <w:pPr>
              <w:jc w:val="left"/>
            </w:pPr>
            <w:r>
              <w:rPr>
                <w:b/>
                <w:bCs/>
                <w:color w:val="FFFFFF"/>
                <w:sz w:val="20"/>
                <w:szCs w:val="20"/>
              </w:rPr>
              <w:t xml:space="preserve">Slot</w:t>
            </w:r>
          </w:p>
        </w:tc>
        <w:tc>
          <w:tcPr>
            <w:tcW w:type="dxa" w:w="3120"/>
            <w:tcBorders>
              <w:top w:val="single" w:color="D5DBE2" w:sz="4"/>
              <w:left w:val="single" w:color="D5DBE2" w:sz="4"/>
              <w:bottom w:val="single" w:color="D5DBE2" w:sz="4"/>
              <w:right w:val="single" w:color="D5DBE2" w:sz="4"/>
            </w:tcBorders>
            <w:shd w:fill="16212D" w:color="auto" w:val="clear"/>
            <w:tcMar>
              <w:top w:type="dxa" w:w="70"/>
              <w:left w:type="dxa" w:w="110"/>
              <w:bottom w:type="dxa" w:w="70"/>
              <w:right w:type="dxa" w:w="110"/>
            </w:tcMar>
          </w:tcPr>
          <w:p>
            <w:pPr>
              <w:jc w:val="left"/>
            </w:pPr>
            <w:r>
              <w:rPr>
                <w:b/>
                <w:bCs/>
                <w:color w:val="FFFFFF"/>
                <w:sz w:val="20"/>
                <w:szCs w:val="20"/>
              </w:rPr>
              <w:t xml:space="preserve">Value if drafted today</w:t>
            </w:r>
          </w:p>
        </w:tc>
        <w:tc>
          <w:tcPr>
            <w:tcW w:type="dxa" w:w="3120"/>
            <w:tcBorders>
              <w:top w:val="single" w:color="D5DBE2" w:sz="4"/>
              <w:left w:val="single" w:color="D5DBE2" w:sz="4"/>
              <w:bottom w:val="single" w:color="D5DBE2" w:sz="4"/>
              <w:right w:val="single" w:color="D5DBE2" w:sz="4"/>
            </w:tcBorders>
            <w:shd w:fill="16212D" w:color="auto" w:val="clear"/>
            <w:tcMar>
              <w:top w:type="dxa" w:w="70"/>
              <w:left w:type="dxa" w:w="110"/>
              <w:bottom w:type="dxa" w:w="70"/>
              <w:right w:type="dxa" w:w="110"/>
            </w:tcMar>
          </w:tcPr>
          <w:p>
            <w:pPr>
              <w:jc w:val="left"/>
            </w:pPr>
            <w:r>
              <w:rPr>
                <w:b/>
                <w:bCs/>
                <w:color w:val="FFFFFF"/>
                <w:sz w:val="20"/>
                <w:szCs w:val="20"/>
              </w:rPr>
              <w:t xml:space="preserve">Example</w:t>
            </w:r>
          </w:p>
        </w:tc>
      </w:tr>
      <w:tr>
        <w:tc>
          <w:tcPr>
            <w:tcW w:type="dxa" w:w="3120"/>
            <w:tcBorders>
              <w:top w:val="single" w:color="D5DBE2" w:sz="4"/>
              <w:left w:val="single" w:color="D5DBE2" w:sz="4"/>
              <w:bottom w:val="single" w:color="D5DBE2" w:sz="4"/>
              <w:right w:val="single" w:color="D5DBE2" w:sz="4"/>
            </w:tcBorders>
            <w:tcMar>
              <w:top w:type="dxa" w:w="70"/>
              <w:left w:type="dxa" w:w="110"/>
              <w:bottom w:type="dxa" w:w="70"/>
              <w:right w:type="dxa" w:w="110"/>
            </w:tcMar>
          </w:tcPr>
          <w:p>
            <w:pPr>
              <w:jc w:val="left"/>
            </w:pPr>
            <w:r>
              <w:rPr>
                <w:b w:val="false"/>
                <w:bCs w:val="false"/>
                <w:color w:val="16212D"/>
                <w:sz w:val="20"/>
                <w:szCs w:val="20"/>
              </w:rPr>
              <w:t xml:space="preserve">#1</w:t>
            </w:r>
          </w:p>
        </w:tc>
        <w:tc>
          <w:tcPr>
            <w:tcW w:type="dxa" w:w="3120"/>
            <w:tcBorders>
              <w:top w:val="single" w:color="D5DBE2" w:sz="4"/>
              <w:left w:val="single" w:color="D5DBE2" w:sz="4"/>
              <w:bottom w:val="single" w:color="D5DBE2" w:sz="4"/>
              <w:right w:val="single" w:color="D5DBE2" w:sz="4"/>
            </w:tcBorders>
            <w:tcMar>
              <w:top w:type="dxa" w:w="70"/>
              <w:left w:type="dxa" w:w="110"/>
              <w:bottom w:type="dxa" w:w="70"/>
              <w:right w:type="dxa" w:w="110"/>
            </w:tcMar>
          </w:tcPr>
          <w:p>
            <w:pPr>
              <w:jc w:val="left"/>
            </w:pPr>
            <w:r>
              <w:rPr>
                <w:b w:val="false"/>
                <w:bCs w:val="false"/>
                <w:color w:val="16212D"/>
                <w:sz w:val="20"/>
                <w:szCs w:val="20"/>
              </w:rPr>
              <w:t xml:space="preserve">$52.4M</w:t>
            </w:r>
          </w:p>
        </w:tc>
        <w:tc>
          <w:tcPr>
            <w:tcW w:type="dxa" w:w="3120"/>
            <w:tcBorders>
              <w:top w:val="single" w:color="D5DBE2" w:sz="4"/>
              <w:left w:val="single" w:color="D5DBE2" w:sz="4"/>
              <w:bottom w:val="single" w:color="D5DBE2" w:sz="4"/>
              <w:right w:val="single" w:color="D5DBE2" w:sz="4"/>
            </w:tcBorders>
            <w:tcMar>
              <w:top w:type="dxa" w:w="70"/>
              <w:left w:type="dxa" w:w="110"/>
              <w:bottom w:type="dxa" w:w="70"/>
              <w:right w:type="dxa" w:w="110"/>
            </w:tcMar>
          </w:tcPr>
          <w:p>
            <w:pPr>
              <w:jc w:val="left"/>
            </w:pPr>
            <w:r>
              <w:rPr>
                <w:b w:val="false"/>
                <w:bCs w:val="false"/>
                <w:color w:val="16212D"/>
                <w:sz w:val="20"/>
                <w:szCs w:val="20"/>
              </w:rPr>
              <w:t xml:space="preserve">Top of the lottery</w:t>
            </w:r>
          </w:p>
        </w:tc>
      </w:tr>
      <w:tr>
        <w:tc>
          <w:tcPr>
            <w:tcW w:type="dxa" w:w="3120"/>
            <w:tcBorders>
              <w:top w:val="single" w:color="D5DBE2" w:sz="4"/>
              <w:left w:val="single" w:color="D5DBE2" w:sz="4"/>
              <w:bottom w:val="single" w:color="D5DBE2" w:sz="4"/>
              <w:right w:val="single" w:color="D5DBE2" w:sz="4"/>
            </w:tcBorders>
            <w:tcMar>
              <w:top w:type="dxa" w:w="70"/>
              <w:left w:type="dxa" w:w="110"/>
              <w:bottom w:type="dxa" w:w="70"/>
              <w:right w:type="dxa" w:w="110"/>
            </w:tcMar>
          </w:tcPr>
          <w:p>
            <w:pPr>
              <w:jc w:val="left"/>
            </w:pPr>
            <w:r>
              <w:rPr>
                <w:b w:val="false"/>
                <w:bCs w:val="false"/>
                <w:color w:val="16212D"/>
                <w:sz w:val="20"/>
                <w:szCs w:val="20"/>
              </w:rPr>
              <w:t xml:space="preserve">#5</w:t>
            </w:r>
          </w:p>
        </w:tc>
        <w:tc>
          <w:tcPr>
            <w:tcW w:type="dxa" w:w="3120"/>
            <w:tcBorders>
              <w:top w:val="single" w:color="D5DBE2" w:sz="4"/>
              <w:left w:val="single" w:color="D5DBE2" w:sz="4"/>
              <w:bottom w:val="single" w:color="D5DBE2" w:sz="4"/>
              <w:right w:val="single" w:color="D5DBE2" w:sz="4"/>
            </w:tcBorders>
            <w:tcMar>
              <w:top w:type="dxa" w:w="70"/>
              <w:left w:type="dxa" w:w="110"/>
              <w:bottom w:type="dxa" w:w="70"/>
              <w:right w:type="dxa" w:w="110"/>
            </w:tcMar>
          </w:tcPr>
          <w:p>
            <w:pPr>
              <w:jc w:val="left"/>
            </w:pPr>
            <w:r>
              <w:rPr>
                <w:b w:val="false"/>
                <w:bCs w:val="false"/>
                <w:color w:val="16212D"/>
                <w:sz w:val="20"/>
                <w:szCs w:val="20"/>
              </w:rPr>
              <w:t xml:space="preserve">$28.0M</w:t>
            </w:r>
          </w:p>
        </w:tc>
        <w:tc>
          <w:tcPr>
            <w:tcW w:type="dxa" w:w="3120"/>
            <w:tcBorders>
              <w:top w:val="single" w:color="D5DBE2" w:sz="4"/>
              <w:left w:val="single" w:color="D5DBE2" w:sz="4"/>
              <w:bottom w:val="single" w:color="D5DBE2" w:sz="4"/>
              <w:right w:val="single" w:color="D5DBE2" w:sz="4"/>
            </w:tcBorders>
            <w:tcMar>
              <w:top w:type="dxa" w:w="70"/>
              <w:left w:type="dxa" w:w="110"/>
              <w:bottom w:type="dxa" w:w="70"/>
              <w:right w:type="dxa" w:w="110"/>
            </w:tcMar>
          </w:tcPr>
          <w:p>
            <w:pPr>
              <w:jc w:val="left"/>
            </w:pPr>
            <w:r>
              <w:rPr>
                <w:b w:val="false"/>
                <w:bCs w:val="false"/>
                <w:color w:val="16212D"/>
                <w:sz w:val="20"/>
                <w:szCs w:val="20"/>
              </w:rPr>
              <w:t xml:space="preserve">Late lottery</w:t>
            </w:r>
          </w:p>
        </w:tc>
      </w:tr>
      <w:tr>
        <w:tc>
          <w:tcPr>
            <w:tcW w:type="dxa" w:w="3120"/>
            <w:tcBorders>
              <w:top w:val="single" w:color="D5DBE2" w:sz="4"/>
              <w:left w:val="single" w:color="D5DBE2" w:sz="4"/>
              <w:bottom w:val="single" w:color="D5DBE2" w:sz="4"/>
              <w:right w:val="single" w:color="D5DBE2" w:sz="4"/>
            </w:tcBorders>
            <w:tcMar>
              <w:top w:type="dxa" w:w="70"/>
              <w:left w:type="dxa" w:w="110"/>
              <w:bottom w:type="dxa" w:w="70"/>
              <w:right w:type="dxa" w:w="110"/>
            </w:tcMar>
          </w:tcPr>
          <w:p>
            <w:pPr>
              <w:jc w:val="left"/>
            </w:pPr>
            <w:r>
              <w:rPr>
                <w:b w:val="false"/>
                <w:bCs w:val="false"/>
                <w:color w:val="16212D"/>
                <w:sz w:val="20"/>
                <w:szCs w:val="20"/>
              </w:rPr>
              <w:t xml:space="preserve">#10</w:t>
            </w:r>
          </w:p>
        </w:tc>
        <w:tc>
          <w:tcPr>
            <w:tcW w:type="dxa" w:w="3120"/>
            <w:tcBorders>
              <w:top w:val="single" w:color="D5DBE2" w:sz="4"/>
              <w:left w:val="single" w:color="D5DBE2" w:sz="4"/>
              <w:bottom w:val="single" w:color="D5DBE2" w:sz="4"/>
              <w:right w:val="single" w:color="D5DBE2" w:sz="4"/>
            </w:tcBorders>
            <w:tcMar>
              <w:top w:type="dxa" w:w="70"/>
              <w:left w:type="dxa" w:w="110"/>
              <w:bottom w:type="dxa" w:w="70"/>
              <w:right w:type="dxa" w:w="110"/>
            </w:tcMar>
          </w:tcPr>
          <w:p>
            <w:pPr>
              <w:jc w:val="left"/>
            </w:pPr>
            <w:r>
              <w:rPr>
                <w:b w:val="false"/>
                <w:bCs w:val="false"/>
                <w:color w:val="16212D"/>
                <w:sz w:val="20"/>
                <w:szCs w:val="20"/>
              </w:rPr>
              <w:t xml:space="preserve">$22.7M</w:t>
            </w:r>
          </w:p>
        </w:tc>
        <w:tc>
          <w:tcPr>
            <w:tcW w:type="dxa" w:w="3120"/>
            <w:tcBorders>
              <w:top w:val="single" w:color="D5DBE2" w:sz="4"/>
              <w:left w:val="single" w:color="D5DBE2" w:sz="4"/>
              <w:bottom w:val="single" w:color="D5DBE2" w:sz="4"/>
              <w:right w:val="single" w:color="D5DBE2" w:sz="4"/>
            </w:tcBorders>
            <w:tcMar>
              <w:top w:type="dxa" w:w="70"/>
              <w:left w:type="dxa" w:w="110"/>
              <w:bottom w:type="dxa" w:w="70"/>
              <w:right w:type="dxa" w:w="110"/>
            </w:tcMar>
          </w:tcPr>
          <w:p>
            <w:pPr>
              <w:jc w:val="left"/>
            </w:pPr>
            <w:r>
              <w:rPr>
                <w:b w:val="false"/>
                <w:bCs w:val="false"/>
                <w:color w:val="16212D"/>
                <w:sz w:val="20"/>
                <w:szCs w:val="20"/>
              </w:rPr>
              <w:t xml:space="preserve">Fringe lottery</w:t>
            </w:r>
          </w:p>
        </w:tc>
      </w:tr>
      <w:tr>
        <w:tc>
          <w:tcPr>
            <w:tcW w:type="dxa" w:w="3120"/>
            <w:tcBorders>
              <w:top w:val="single" w:color="D5DBE2" w:sz="4"/>
              <w:left w:val="single" w:color="D5DBE2" w:sz="4"/>
              <w:bottom w:val="single" w:color="D5DBE2" w:sz="4"/>
              <w:right w:val="single" w:color="D5DBE2" w:sz="4"/>
            </w:tcBorders>
            <w:tcMar>
              <w:top w:type="dxa" w:w="70"/>
              <w:left w:type="dxa" w:w="110"/>
              <w:bottom w:type="dxa" w:w="70"/>
              <w:right w:type="dxa" w:w="110"/>
            </w:tcMar>
          </w:tcPr>
          <w:p>
            <w:pPr>
              <w:jc w:val="left"/>
            </w:pPr>
            <w:r>
              <w:rPr>
                <w:b w:val="false"/>
                <w:bCs w:val="false"/>
                <w:color w:val="16212D"/>
                <w:sz w:val="20"/>
                <w:szCs w:val="20"/>
              </w:rPr>
              <w:t xml:space="preserve">#20</w:t>
            </w:r>
          </w:p>
        </w:tc>
        <w:tc>
          <w:tcPr>
            <w:tcW w:type="dxa" w:w="3120"/>
            <w:tcBorders>
              <w:top w:val="single" w:color="D5DBE2" w:sz="4"/>
              <w:left w:val="single" w:color="D5DBE2" w:sz="4"/>
              <w:bottom w:val="single" w:color="D5DBE2" w:sz="4"/>
              <w:right w:val="single" w:color="D5DBE2" w:sz="4"/>
            </w:tcBorders>
            <w:tcMar>
              <w:top w:type="dxa" w:w="70"/>
              <w:left w:type="dxa" w:w="110"/>
              <w:bottom w:type="dxa" w:w="70"/>
              <w:right w:type="dxa" w:w="110"/>
            </w:tcMar>
          </w:tcPr>
          <w:p>
            <w:pPr>
              <w:jc w:val="left"/>
            </w:pPr>
            <w:r>
              <w:rPr>
                <w:b w:val="false"/>
                <w:bCs w:val="false"/>
                <w:color w:val="16212D"/>
                <w:sz w:val="20"/>
                <w:szCs w:val="20"/>
              </w:rPr>
              <w:t xml:space="preserve">$20.0M</w:t>
            </w:r>
          </w:p>
        </w:tc>
        <w:tc>
          <w:tcPr>
            <w:tcW w:type="dxa" w:w="3120"/>
            <w:tcBorders>
              <w:top w:val="single" w:color="D5DBE2" w:sz="4"/>
              <w:left w:val="single" w:color="D5DBE2" w:sz="4"/>
              <w:bottom w:val="single" w:color="D5DBE2" w:sz="4"/>
              <w:right w:val="single" w:color="D5DBE2" w:sz="4"/>
            </w:tcBorders>
            <w:tcMar>
              <w:top w:type="dxa" w:w="70"/>
              <w:left w:type="dxa" w:w="110"/>
              <w:bottom w:type="dxa" w:w="70"/>
              <w:right w:type="dxa" w:w="110"/>
            </w:tcMar>
          </w:tcPr>
          <w:p>
            <w:pPr>
              <w:jc w:val="left"/>
            </w:pPr>
            <w:r>
              <w:rPr>
                <w:b w:val="false"/>
                <w:bCs w:val="false"/>
                <w:color w:val="16212D"/>
                <w:sz w:val="20"/>
                <w:szCs w:val="20"/>
              </w:rPr>
              <w:t xml:space="preserve">Mid first round</w:t>
            </w:r>
          </w:p>
        </w:tc>
      </w:tr>
      <w:tr>
        <w:tc>
          <w:tcPr>
            <w:tcW w:type="dxa" w:w="3120"/>
            <w:tcBorders>
              <w:top w:val="single" w:color="D5DBE2" w:sz="4"/>
              <w:left w:val="single" w:color="D5DBE2" w:sz="4"/>
              <w:bottom w:val="single" w:color="D5DBE2" w:sz="4"/>
              <w:right w:val="single" w:color="D5DBE2" w:sz="4"/>
            </w:tcBorders>
            <w:tcMar>
              <w:top w:type="dxa" w:w="70"/>
              <w:left w:type="dxa" w:w="110"/>
              <w:bottom w:type="dxa" w:w="70"/>
              <w:right w:type="dxa" w:w="110"/>
            </w:tcMar>
          </w:tcPr>
          <w:p>
            <w:pPr>
              <w:jc w:val="left"/>
            </w:pPr>
            <w:r>
              <w:rPr>
                <w:b w:val="false"/>
                <w:bCs w:val="false"/>
                <w:color w:val="16212D"/>
                <w:sz w:val="20"/>
                <w:szCs w:val="20"/>
              </w:rPr>
              <w:t xml:space="preserve">#30</w:t>
            </w:r>
          </w:p>
        </w:tc>
        <w:tc>
          <w:tcPr>
            <w:tcW w:type="dxa" w:w="3120"/>
            <w:tcBorders>
              <w:top w:val="single" w:color="D5DBE2" w:sz="4"/>
              <w:left w:val="single" w:color="D5DBE2" w:sz="4"/>
              <w:bottom w:val="single" w:color="D5DBE2" w:sz="4"/>
              <w:right w:val="single" w:color="D5DBE2" w:sz="4"/>
            </w:tcBorders>
            <w:tcMar>
              <w:top w:type="dxa" w:w="70"/>
              <w:left w:type="dxa" w:w="110"/>
              <w:bottom w:type="dxa" w:w="70"/>
              <w:right w:type="dxa" w:w="110"/>
            </w:tcMar>
          </w:tcPr>
          <w:p>
            <w:pPr>
              <w:jc w:val="left"/>
            </w:pPr>
            <w:r>
              <w:rPr>
                <w:b w:val="false"/>
                <w:bCs w:val="false"/>
                <w:color w:val="16212D"/>
                <w:sz w:val="20"/>
                <w:szCs w:val="20"/>
              </w:rPr>
              <w:t xml:space="preserve">$18.0M</w:t>
            </w:r>
          </w:p>
        </w:tc>
        <w:tc>
          <w:tcPr>
            <w:tcW w:type="dxa" w:w="3120"/>
            <w:tcBorders>
              <w:top w:val="single" w:color="D5DBE2" w:sz="4"/>
              <w:left w:val="single" w:color="D5DBE2" w:sz="4"/>
              <w:bottom w:val="single" w:color="D5DBE2" w:sz="4"/>
              <w:right w:val="single" w:color="D5DBE2" w:sz="4"/>
            </w:tcBorders>
            <w:tcMar>
              <w:top w:type="dxa" w:w="70"/>
              <w:left w:type="dxa" w:w="110"/>
              <w:bottom w:type="dxa" w:w="70"/>
              <w:right w:type="dxa" w:w="110"/>
            </w:tcMar>
          </w:tcPr>
          <w:p>
            <w:pPr>
              <w:jc w:val="left"/>
            </w:pPr>
            <w:r>
              <w:rPr>
                <w:b w:val="false"/>
                <w:bCs w:val="false"/>
                <w:color w:val="16212D"/>
                <w:sz w:val="20"/>
                <w:szCs w:val="20"/>
              </w:rPr>
              <w:t xml:space="preserve">Last pick of the round</w:t>
            </w:r>
          </w:p>
        </w:tc>
      </w:tr>
    </w:tbl>
    <w:p>
      <w:pPr>
        <w:spacing w:after="120"/>
      </w:pPr>
    </w:p>
    <w:p>
      <w:pPr>
        <w:spacing w:after="120" w:line="300"/>
      </w:pPr>
      <w:r>
        <w:t xml:space="preserve">A future pick isn't tied to one slot. The tool projects where the team will pick from its projected net rating (the worst team picks first). It then averages the value of the slots the pick could land in, with the range widening by 3 slots for every year out. That average is discounted 5% for each year until the pick is made. A 2nd-round pick is worth about $1.4M, based on the median 2nd-round player.</w:t>
      </w:r>
    </w:p>
    <w:p>
      <w:pPr>
        <w:spacing w:after="120" w:line="300"/>
      </w:pPr>
      <w:r>
        <w:t xml:space="preserve">Players drafted in 2026 who haven't played yet are valued as the pick they were. Players without NBA minutes from other leagues show no value.</w:t>
      </w:r>
    </w:p>
    <w:p>
      <w:pPr>
        <w:pStyle w:val="Heading2"/>
        <w:spacing w:after="80" w:before="200"/>
      </w:pPr>
      <w:r>
        <w:t xml:space="preserve">Suggest a package</w:t>
      </w:r>
    </w:p>
    <w:p>
      <w:pPr>
        <w:spacing w:after="120" w:line="300"/>
      </w:pPr>
      <w:r>
        <w:t xml:space="preserve">The Suggest a package button tries every combination of one, two or three of your players. For each one it adds the fewest draft picks (at most four) needed to close any value gap. It keeps only packages where the money works for both teams and the other team gets at least equal value. From those, it picks the one that improves your team's net rating the most, with a small penalty for each pick used.</w:t>
      </w:r>
    </w:p>
    <w:p>
      <w:pPr>
        <w:pStyle w:val="Heading2"/>
        <w:spacing w:after="80" w:before="200"/>
      </w:pPr>
      <w:r>
        <w:t xml:space="preserve">Worked example: Detroit trades for Derrick White</w:t>
      </w:r>
    </w:p>
    <w:p>
      <w:pPr>
        <w:spacing w:after="120" w:line="300"/>
      </w:pPr>
      <w:r>
        <w:t xml:space="preserve">Detroit projects to pick around #20. Suggest a package proposes Ebuka Okorie ($4.5M), Chaz Lanier ($2.2M) and Taurean Prince ($3.8M) plus Detroit's 2027, 2028, 2029 and 2032 1st-round picks.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980"/>
        <w:gridCol w:w="2980"/>
      </w:tblGrid>
      <w:tr>
        <w:trPr>
          <w:tblHeader/>
        </w:trPr>
        <w:tc>
          <w:tcPr>
            <w:tcW w:type="dxa" w:w="3400"/>
            <w:tcBorders>
              <w:top w:val="single" w:color="D5DBE2" w:sz="4"/>
              <w:left w:val="single" w:color="D5DBE2" w:sz="4"/>
              <w:bottom w:val="single" w:color="D5DBE2" w:sz="4"/>
              <w:right w:val="single" w:color="D5DBE2" w:sz="4"/>
            </w:tcBorders>
            <w:shd w:fill="16212D" w:color="auto" w:val="clear"/>
            <w:tcMar>
              <w:top w:type="dxa" w:w="70"/>
              <w:left w:type="dxa" w:w="110"/>
              <w:bottom w:type="dxa" w:w="70"/>
              <w:right w:type="dxa" w:w="110"/>
            </w:tcMar>
          </w:tcPr>
          <w:p>
            <w:pPr>
              <w:jc w:val="left"/>
            </w:pPr>
            <w:r>
              <w:rPr>
                <w:b/>
                <w:bCs/>
                <w:color w:val="FFFFFF"/>
                <w:sz w:val="20"/>
                <w:szCs w:val="20"/>
              </w:rPr>
              <w:t xml:space="preserve"/>
            </w:r>
          </w:p>
        </w:tc>
        <w:tc>
          <w:tcPr>
            <w:tcW w:type="dxa" w:w="2980"/>
            <w:tcBorders>
              <w:top w:val="single" w:color="D5DBE2" w:sz="4"/>
              <w:left w:val="single" w:color="D5DBE2" w:sz="4"/>
              <w:bottom w:val="single" w:color="D5DBE2" w:sz="4"/>
              <w:right w:val="single" w:color="D5DBE2" w:sz="4"/>
            </w:tcBorders>
            <w:shd w:fill="16212D" w:color="auto" w:val="clear"/>
            <w:tcMar>
              <w:top w:type="dxa" w:w="70"/>
              <w:left w:type="dxa" w:w="110"/>
              <w:bottom w:type="dxa" w:w="70"/>
              <w:right w:type="dxa" w:w="110"/>
            </w:tcMar>
          </w:tcPr>
          <w:p>
            <w:pPr>
              <w:jc w:val="left"/>
            </w:pPr>
            <w:r>
              <w:rPr>
                <w:b/>
                <w:bCs/>
                <w:color w:val="FFFFFF"/>
                <w:sz w:val="20"/>
                <w:szCs w:val="20"/>
              </w:rPr>
              <w:t xml:space="preserve">Detroit</w:t>
            </w:r>
          </w:p>
        </w:tc>
        <w:tc>
          <w:tcPr>
            <w:tcW w:type="dxa" w:w="2980"/>
            <w:tcBorders>
              <w:top w:val="single" w:color="D5DBE2" w:sz="4"/>
              <w:left w:val="single" w:color="D5DBE2" w:sz="4"/>
              <w:bottom w:val="single" w:color="D5DBE2" w:sz="4"/>
              <w:right w:val="single" w:color="D5DBE2" w:sz="4"/>
            </w:tcBorders>
            <w:shd w:fill="16212D" w:color="auto" w:val="clear"/>
            <w:tcMar>
              <w:top w:type="dxa" w:w="70"/>
              <w:left w:type="dxa" w:w="110"/>
              <w:bottom w:type="dxa" w:w="70"/>
              <w:right w:type="dxa" w:w="110"/>
            </w:tcMar>
          </w:tcPr>
          <w:p>
            <w:pPr>
              <w:jc w:val="left"/>
            </w:pPr>
            <w:r>
              <w:rPr>
                <w:b/>
                <w:bCs/>
                <w:color w:val="FFFFFF"/>
                <w:sz w:val="20"/>
                <w:szCs w:val="20"/>
              </w:rPr>
              <w:t xml:space="preserve">Boston</w:t>
            </w:r>
          </w:p>
        </w:tc>
      </w:tr>
      <w:tr>
        <w:tc>
          <w:tcPr>
            <w:tcW w:type="dxa" w:w="3400"/>
            <w:tcBorders>
              <w:top w:val="single" w:color="D5DBE2" w:sz="4"/>
              <w:left w:val="single" w:color="D5DBE2" w:sz="4"/>
              <w:bottom w:val="single" w:color="D5DBE2" w:sz="4"/>
              <w:right w:val="single" w:color="D5DBE2" w:sz="4"/>
            </w:tcBorders>
            <w:tcMar>
              <w:top w:type="dxa" w:w="70"/>
              <w:left w:type="dxa" w:w="110"/>
              <w:bottom w:type="dxa" w:w="70"/>
              <w:right w:type="dxa" w:w="110"/>
            </w:tcMar>
          </w:tcPr>
          <w:p>
            <w:pPr>
              <w:jc w:val="left"/>
            </w:pPr>
            <w:r>
              <w:rPr>
                <w:b w:val="false"/>
                <w:bCs w:val="false"/>
                <w:color w:val="16212D"/>
                <w:sz w:val="20"/>
                <w:szCs w:val="20"/>
              </w:rPr>
              <w:t xml:space="preserve">Salary sent</w:t>
            </w:r>
          </w:p>
        </w:tc>
        <w:tc>
          <w:tcPr>
            <w:tcW w:type="dxa" w:w="2980"/>
            <w:tcBorders>
              <w:top w:val="single" w:color="D5DBE2" w:sz="4"/>
              <w:left w:val="single" w:color="D5DBE2" w:sz="4"/>
              <w:bottom w:val="single" w:color="D5DBE2" w:sz="4"/>
              <w:right w:val="single" w:color="D5DBE2" w:sz="4"/>
            </w:tcBorders>
            <w:tcMar>
              <w:top w:type="dxa" w:w="70"/>
              <w:left w:type="dxa" w:w="110"/>
              <w:bottom w:type="dxa" w:w="70"/>
              <w:right w:type="dxa" w:w="110"/>
            </w:tcMar>
          </w:tcPr>
          <w:p>
            <w:pPr>
              <w:jc w:val="left"/>
            </w:pPr>
            <w:r>
              <w:rPr>
                <w:b w:val="false"/>
                <w:bCs w:val="false"/>
                <w:color w:val="16212D"/>
                <w:sz w:val="20"/>
                <w:szCs w:val="20"/>
              </w:rPr>
              <w:t xml:space="preserve">$10.4M</w:t>
            </w:r>
          </w:p>
        </w:tc>
        <w:tc>
          <w:tcPr>
            <w:tcW w:type="dxa" w:w="2980"/>
            <w:tcBorders>
              <w:top w:val="single" w:color="D5DBE2" w:sz="4"/>
              <w:left w:val="single" w:color="D5DBE2" w:sz="4"/>
              <w:bottom w:val="single" w:color="D5DBE2" w:sz="4"/>
              <w:right w:val="single" w:color="D5DBE2" w:sz="4"/>
            </w:tcBorders>
            <w:tcMar>
              <w:top w:type="dxa" w:w="70"/>
              <w:left w:type="dxa" w:w="110"/>
              <w:bottom w:type="dxa" w:w="70"/>
              <w:right w:type="dxa" w:w="110"/>
            </w:tcMar>
          </w:tcPr>
          <w:p>
            <w:pPr>
              <w:jc w:val="left"/>
            </w:pPr>
            <w:r>
              <w:rPr>
                <w:b w:val="false"/>
                <w:bCs w:val="false"/>
                <w:color w:val="16212D"/>
                <w:sz w:val="20"/>
                <w:szCs w:val="20"/>
              </w:rPr>
              <w:t xml:space="preserve">$30.3M</w:t>
            </w:r>
          </w:p>
        </w:tc>
      </w:tr>
      <w:tr>
        <w:tc>
          <w:tcPr>
            <w:tcW w:type="dxa" w:w="3400"/>
            <w:tcBorders>
              <w:top w:val="single" w:color="D5DBE2" w:sz="4"/>
              <w:left w:val="single" w:color="D5DBE2" w:sz="4"/>
              <w:bottom w:val="single" w:color="D5DBE2" w:sz="4"/>
              <w:right w:val="single" w:color="D5DBE2" w:sz="4"/>
            </w:tcBorders>
            <w:tcMar>
              <w:top w:type="dxa" w:w="70"/>
              <w:left w:type="dxa" w:w="110"/>
              <w:bottom w:type="dxa" w:w="70"/>
              <w:right w:type="dxa" w:w="110"/>
            </w:tcMar>
          </w:tcPr>
          <w:p>
            <w:pPr>
              <w:jc w:val="left"/>
            </w:pPr>
            <w:r>
              <w:rPr>
                <w:b w:val="false"/>
                <w:bCs w:val="false"/>
                <w:color w:val="16212D"/>
                <w:sz w:val="20"/>
                <w:szCs w:val="20"/>
              </w:rPr>
              <w:t xml:space="preserve">Payroll after</w:t>
            </w:r>
          </w:p>
        </w:tc>
        <w:tc>
          <w:tcPr>
            <w:tcW w:type="dxa" w:w="2980"/>
            <w:tcBorders>
              <w:top w:val="single" w:color="D5DBE2" w:sz="4"/>
              <w:left w:val="single" w:color="D5DBE2" w:sz="4"/>
              <w:bottom w:val="single" w:color="D5DBE2" w:sz="4"/>
              <w:right w:val="single" w:color="D5DBE2" w:sz="4"/>
            </w:tcBorders>
            <w:tcMar>
              <w:top w:type="dxa" w:w="70"/>
              <w:left w:type="dxa" w:w="110"/>
              <w:bottom w:type="dxa" w:w="70"/>
              <w:right w:type="dxa" w:w="110"/>
            </w:tcMar>
          </w:tcPr>
          <w:p>
            <w:pPr>
              <w:jc w:val="left"/>
            </w:pPr>
            <w:r>
              <w:rPr>
                <w:b w:val="false"/>
                <w:bCs w:val="false"/>
                <w:color w:val="16212D"/>
                <w:sz w:val="20"/>
                <w:szCs w:val="20"/>
              </w:rPr>
              <w:t xml:space="preserve">$174.2M (under the tax)</w:t>
            </w:r>
          </w:p>
        </w:tc>
        <w:tc>
          <w:tcPr>
            <w:tcW w:type="dxa" w:w="2980"/>
            <w:tcBorders>
              <w:top w:val="single" w:color="D5DBE2" w:sz="4"/>
              <w:left w:val="single" w:color="D5DBE2" w:sz="4"/>
              <w:bottom w:val="single" w:color="D5DBE2" w:sz="4"/>
              <w:right w:val="single" w:color="D5DBE2" w:sz="4"/>
            </w:tcBorders>
            <w:tcMar>
              <w:top w:type="dxa" w:w="70"/>
              <w:left w:type="dxa" w:w="110"/>
              <w:bottom w:type="dxa" w:w="70"/>
              <w:right w:type="dxa" w:w="110"/>
            </w:tcMar>
          </w:tcPr>
          <w:p>
            <w:pPr>
              <w:jc w:val="left"/>
            </w:pPr>
            <w:r>
              <w:rPr>
                <w:b w:val="false"/>
                <w:bCs w:val="false"/>
                <w:color w:val="16212D"/>
                <w:sz w:val="20"/>
                <w:szCs w:val="20"/>
              </w:rPr>
              <w:t xml:space="preserve">$178.8M (under the tax)</w:t>
            </w:r>
          </w:p>
        </w:tc>
      </w:tr>
      <w:tr>
        <w:tc>
          <w:tcPr>
            <w:tcW w:type="dxa" w:w="3400"/>
            <w:tcBorders>
              <w:top w:val="single" w:color="D5DBE2" w:sz="4"/>
              <w:left w:val="single" w:color="D5DBE2" w:sz="4"/>
              <w:bottom w:val="single" w:color="D5DBE2" w:sz="4"/>
              <w:right w:val="single" w:color="D5DBE2" w:sz="4"/>
            </w:tcBorders>
            <w:tcMar>
              <w:top w:type="dxa" w:w="70"/>
              <w:left w:type="dxa" w:w="110"/>
              <w:bottom w:type="dxa" w:w="70"/>
              <w:right w:type="dxa" w:w="110"/>
            </w:tcMar>
          </w:tcPr>
          <w:p>
            <w:pPr>
              <w:jc w:val="left"/>
            </w:pPr>
            <w:r>
              <w:rPr>
                <w:b w:val="false"/>
                <w:bCs w:val="false"/>
                <w:color w:val="16212D"/>
                <w:sz w:val="20"/>
                <w:szCs w:val="20"/>
              </w:rPr>
              <w:t xml:space="preserve">Value sent</w:t>
            </w:r>
          </w:p>
        </w:tc>
        <w:tc>
          <w:tcPr>
            <w:tcW w:type="dxa" w:w="2980"/>
            <w:tcBorders>
              <w:top w:val="single" w:color="D5DBE2" w:sz="4"/>
              <w:left w:val="single" w:color="D5DBE2" w:sz="4"/>
              <w:bottom w:val="single" w:color="D5DBE2" w:sz="4"/>
              <w:right w:val="single" w:color="D5DBE2" w:sz="4"/>
            </w:tcBorders>
            <w:tcMar>
              <w:top w:type="dxa" w:w="70"/>
              <w:left w:type="dxa" w:w="110"/>
              <w:bottom w:type="dxa" w:w="70"/>
              <w:right w:type="dxa" w:w="110"/>
            </w:tcMar>
          </w:tcPr>
          <w:p>
            <w:pPr>
              <w:jc w:val="left"/>
            </w:pPr>
            <w:r>
              <w:rPr>
                <w:b w:val="false"/>
                <w:bCs w:val="false"/>
                <w:color w:val="16212D"/>
                <w:sz w:val="20"/>
                <w:szCs w:val="20"/>
              </w:rPr>
              <w:t xml:space="preserve">$102.3M (players $30.4M, picks $71.9M)</w:t>
            </w:r>
          </w:p>
        </w:tc>
        <w:tc>
          <w:tcPr>
            <w:tcW w:type="dxa" w:w="2980"/>
            <w:tcBorders>
              <w:top w:val="single" w:color="D5DBE2" w:sz="4"/>
              <w:left w:val="single" w:color="D5DBE2" w:sz="4"/>
              <w:bottom w:val="single" w:color="D5DBE2" w:sz="4"/>
              <w:right w:val="single" w:color="D5DBE2" w:sz="4"/>
            </w:tcBorders>
            <w:tcMar>
              <w:top w:type="dxa" w:w="70"/>
              <w:left w:type="dxa" w:w="110"/>
              <w:bottom w:type="dxa" w:w="70"/>
              <w:right w:type="dxa" w:w="110"/>
            </w:tcMar>
          </w:tcPr>
          <w:p>
            <w:pPr>
              <w:jc w:val="left"/>
            </w:pPr>
            <w:r>
              <w:rPr>
                <w:b w:val="false"/>
                <w:bCs w:val="false"/>
                <w:color w:val="16212D"/>
                <w:sz w:val="20"/>
                <w:szCs w:val="20"/>
              </w:rPr>
              <w:t xml:space="preserve">$101.7M (White)</w:t>
            </w:r>
          </w:p>
        </w:tc>
      </w:tr>
      <w:tr>
        <w:tc>
          <w:tcPr>
            <w:tcW w:type="dxa" w:w="3400"/>
            <w:tcBorders>
              <w:top w:val="single" w:color="D5DBE2" w:sz="4"/>
              <w:left w:val="single" w:color="D5DBE2" w:sz="4"/>
              <w:bottom w:val="single" w:color="D5DBE2" w:sz="4"/>
              <w:right w:val="single" w:color="D5DBE2" w:sz="4"/>
            </w:tcBorders>
            <w:tcMar>
              <w:top w:type="dxa" w:w="70"/>
              <w:left w:type="dxa" w:w="110"/>
              <w:bottom w:type="dxa" w:w="70"/>
              <w:right w:type="dxa" w:w="110"/>
            </w:tcMar>
          </w:tcPr>
          <w:p>
            <w:pPr>
              <w:jc w:val="left"/>
            </w:pPr>
            <w:r>
              <w:rPr>
                <w:b w:val="false"/>
                <w:bCs w:val="false"/>
                <w:color w:val="16212D"/>
                <w:sz w:val="20"/>
                <w:szCs w:val="20"/>
              </w:rPr>
              <w:t xml:space="preserve">Net rating change</w:t>
            </w:r>
          </w:p>
        </w:tc>
        <w:tc>
          <w:tcPr>
            <w:tcW w:type="dxa" w:w="2980"/>
            <w:tcBorders>
              <w:top w:val="single" w:color="D5DBE2" w:sz="4"/>
              <w:left w:val="single" w:color="D5DBE2" w:sz="4"/>
              <w:bottom w:val="single" w:color="D5DBE2" w:sz="4"/>
              <w:right w:val="single" w:color="D5DBE2" w:sz="4"/>
            </w:tcBorders>
            <w:tcMar>
              <w:top w:type="dxa" w:w="70"/>
              <w:left w:type="dxa" w:w="110"/>
              <w:bottom w:type="dxa" w:w="70"/>
              <w:right w:type="dxa" w:w="110"/>
            </w:tcMar>
          </w:tcPr>
          <w:p>
            <w:pPr>
              <w:jc w:val="left"/>
            </w:pPr>
            <w:r>
              <w:rPr>
                <w:b w:val="false"/>
                <w:bCs w:val="false"/>
                <w:color w:val="16212D"/>
                <w:sz w:val="20"/>
                <w:szCs w:val="20"/>
              </w:rPr>
              <w:t xml:space="preserve">+5.0</w:t>
            </w:r>
          </w:p>
        </w:tc>
        <w:tc>
          <w:tcPr>
            <w:tcW w:type="dxa" w:w="2980"/>
            <w:tcBorders>
              <w:top w:val="single" w:color="D5DBE2" w:sz="4"/>
              <w:left w:val="single" w:color="D5DBE2" w:sz="4"/>
              <w:bottom w:val="single" w:color="D5DBE2" w:sz="4"/>
              <w:right w:val="single" w:color="D5DBE2" w:sz="4"/>
            </w:tcBorders>
            <w:tcMar>
              <w:top w:type="dxa" w:w="70"/>
              <w:left w:type="dxa" w:w="110"/>
              <w:bottom w:type="dxa" w:w="70"/>
              <w:right w:type="dxa" w:w="110"/>
            </w:tcMar>
          </w:tcPr>
          <w:p>
            <w:pPr>
              <w:jc w:val="left"/>
            </w:pPr>
            <w:r>
              <w:rPr>
                <w:b w:val="false"/>
                <w:bCs w:val="false"/>
                <w:color w:val="16212D"/>
                <w:sz w:val="20"/>
                <w:szCs w:val="20"/>
              </w:rPr>
              <w:t xml:space="preserve">−4.7</w:t>
            </w:r>
          </w:p>
        </w:tc>
      </w:tr>
    </w:tbl>
    <w:p>
      <w:pPr>
        <w:spacing w:after="120"/>
      </w:pPr>
    </w:p>
    <w:p>
      <w:pPr>
        <w:spacing w:after="120" w:line="300"/>
      </w:pPr>
      <w:r>
        <w:t xml:space="preserve">The money works for both teams, Boston gets $0.6M more value than it gives up, and Detroit's net rating improves by 5.0 points per 100 possessions.</w:t>
      </w:r>
    </w:p>
    <w:p>
      <w:pPr>
        <w:pStyle w:val="Heading1"/>
        <w:spacing w:after="120" w:before="320"/>
      </w:pPr>
      <w:r>
        <w:t xml:space="preserve">Where the data comes from</w:t>
      </w:r>
    </w:p>
    <w:p>
      <w:pPr>
        <w:pStyle w:val="ListParagraph"/>
        <w:numPr>
          <w:ilvl w:val="0"/>
          <w:numId w:val="2"/>
        </w:numPr>
        <w:spacing w:after="60" w:line="290"/>
      </w:pPr>
      <w:r>
        <w:rPr>
          <w:b/>
          <w:bCs/>
        </w:rPr>
        <w:t xml:space="preserve">Contracts and teams:</w:t>
      </w:r>
      <w:r>
        <w:t xml:space="preserve"> Spotrac salary data, as collected by the public github.com/gabriel1200/site_data repository. It was last updated on August 15, 2026, so any signing or trade after that date is missing.</w:t>
      </w:r>
    </w:p>
    <w:p>
      <w:pPr>
        <w:pStyle w:val="ListParagraph"/>
        <w:numPr>
          <w:ilvl w:val="0"/>
          <w:numId w:val="2"/>
        </w:numPr>
        <w:spacing w:after="60" w:line="290"/>
      </w:pPr>
      <w:r>
        <w:rPr>
          <w:b/>
          <w:bCs/>
        </w:rPr>
        <w:t xml:space="preserve">Impact numbers:</w:t>
      </w:r>
      <w:r>
        <w:t xml:space="preserve"> BBall Index's LEBRON metric (its offensive and defensive parts), from the same repository.</w:t>
      </w:r>
    </w:p>
    <w:p>
      <w:pPr>
        <w:pStyle w:val="ListParagraph"/>
        <w:numPr>
          <w:ilvl w:val="0"/>
          <w:numId w:val="2"/>
        </w:numPr>
        <w:spacing w:after="60" w:line="290"/>
      </w:pPr>
      <w:r>
        <w:rPr>
          <w:b/>
          <w:bCs/>
        </w:rPr>
        <w:t xml:space="preserve">League average and spending lines:</w:t>
      </w:r>
      <w:r>
        <w:t xml:space="preserve"> the same repository for the 115.7 league ORtg, and the NBA's June 30, 2026 release for the cap, tax and apron amounts.</w:t>
      </w:r>
    </w:p>
    <w:p>
      <w:pPr>
        <w:pStyle w:val="Heading1"/>
        <w:spacing w:after="120" w:before="320"/>
      </w:pPr>
      <w:r>
        <w:t xml:space="preserve">What it does not account for</w:t>
      </w:r>
    </w:p>
    <w:p>
      <w:pPr>
        <w:pStyle w:val="ListParagraph"/>
        <w:numPr>
          <w:ilvl w:val="0"/>
          <w:numId w:val="2"/>
        </w:numPr>
        <w:spacing w:after="60" w:line="290"/>
      </w:pPr>
      <w:r>
        <w:rPr>
          <w:b/>
          <w:bCs/>
        </w:rPr>
        <w:t xml:space="preserve">Full trade rules.</w:t>
      </w:r>
      <w:r>
        <w:t xml:space="preserve"> The trade machine uses one simplified matching rule. It ignores roster limits, the second apron's ban on combining salaries, trade exceptions, pick protections and the rule against trading 1st-round picks in back-to-back years.</w:t>
      </w:r>
    </w:p>
    <w:p>
      <w:pPr>
        <w:pStyle w:val="ListParagraph"/>
        <w:numPr>
          <w:ilvl w:val="0"/>
          <w:numId w:val="2"/>
        </w:numPr>
        <w:spacing w:after="60" w:line="290"/>
      </w:pPr>
      <w:r>
        <w:rPr>
          <w:b/>
          <w:bCs/>
        </w:rPr>
        <w:t xml:space="preserve">Real pick ownership.</w:t>
      </w:r>
      <w:r>
        <w:t xml:space="preserve"> Every team is assumed to own all of its own picks from 2027 to 2033.</w:t>
      </w:r>
    </w:p>
    <w:p>
      <w:pPr>
        <w:pStyle w:val="ListParagraph"/>
        <w:numPr>
          <w:ilvl w:val="0"/>
          <w:numId w:val="2"/>
        </w:numPr>
        <w:spacing w:after="60" w:line="290"/>
      </w:pPr>
      <w:r>
        <w:rPr>
          <w:b/>
          <w:bCs/>
        </w:rPr>
        <w:t xml:space="preserve">Fit and chemistry.</w:t>
      </w:r>
      <w:r>
        <w:t xml:space="preserve"> Two strong ball-handlers may overlap in ways the impact numbers can't see.</w:t>
      </w:r>
    </w:p>
    <w:p>
      <w:pPr>
        <w:pStyle w:val="ListParagraph"/>
        <w:numPr>
          <w:ilvl w:val="0"/>
          <w:numId w:val="2"/>
        </w:numPr>
        <w:spacing w:after="60" w:line="290"/>
      </w:pPr>
      <w:r>
        <w:rPr>
          <w:b/>
          <w:bCs/>
        </w:rPr>
        <w:t xml:space="preserve">Change over time.</w:t>
      </w:r>
      <w:r>
        <w:t xml:space="preserve"> Ratings use last season's impact and minutes. Trade values apply the average aging curve, but no individual development or injury risk.</w:t>
      </w:r>
    </w:p>
    <w:p>
      <w:pPr>
        <w:pStyle w:val="ListParagraph"/>
        <w:numPr>
          <w:ilvl w:val="0"/>
          <w:numId w:val="2"/>
        </w:numPr>
        <w:spacing w:after="60" w:line="290"/>
      </w:pPr>
      <w:r>
        <w:rPr>
          <w:b/>
          <w:bCs/>
        </w:rPr>
        <w:t xml:space="preserve">Star status beyond All-Star votes.</w:t>
      </w:r>
      <w:r>
        <w:t xml:space="preserve"> The premium follows All-Star selections only. A player who is a star by impact but hasn't made three All-Star teams, like Cade Cunningham (two) or Victor Wembanyama (two), gets no premium yet.</w:t>
      </w:r>
    </w:p>
    <w:p>
      <w:pPr>
        <w:pStyle w:val="Heading1"/>
        <w:spacing w:after="120" w:before="320"/>
      </w:pPr>
      <w:r>
        <w:t xml:space="preserve">Refreshing the data</w:t>
      </w:r>
    </w:p>
    <w:p>
      <w:pPr>
        <w:spacing w:after="120" w:line="300"/>
      </w:pPr>
      <w:r>
        <w:t xml:space="preserve">The code and data live in the project's nba-matchmaking folder. Run these from that folder:</w:t>
      </w:r>
    </w:p>
    <w:p>
      <w:pPr>
        <w:pBdr>
          <w:left w:val="single" w:color="C8501C" w:sz="18" w:space="8"/>
        </w:pBdr>
        <w:shd w:fill="EEF1F4" w:color="auto" w:val="clear"/>
        <w:spacing w:after="160" w:before="80"/>
        <w:ind w:left="360"/>
      </w:pPr>
      <w:r>
        <w:rPr>
          <w:rFonts w:ascii="Consolas" w:cs="Consolas" w:eastAsia="Consolas" w:hAnsi="Consolas"/>
          <w:sz w:val="20"/>
          <w:szCs w:val="20"/>
        </w:rPr>
        <w:t xml:space="preserve">python3 build_data.py            # downloads fresh data, rebuilds the page</w:t>
      </w:r>
    </w:p>
    <w:p>
      <w:pPr>
        <w:pBdr>
          <w:left w:val="single" w:color="C8501C" w:sz="18" w:space="8"/>
        </w:pBdr>
        <w:shd w:fill="EEF1F4" w:color="auto" w:val="clear"/>
        <w:spacing w:after="160" w:before="80"/>
        <w:ind w:left="360"/>
      </w:pPr>
      <w:r>
        <w:rPr>
          <w:rFonts w:ascii="Consolas" w:cs="Consolas" w:eastAsia="Consolas" w:hAnsi="Consolas"/>
          <w:sz w:val="20"/>
          <w:szCs w:val="20"/>
        </w:rPr>
        <w:t xml:space="preserve">python3 matchmaking.py DET       # best fits for Detroit, as text</w:t>
      </w:r>
    </w:p>
    <w:p>
      <w:pPr>
        <w:pBdr>
          <w:left w:val="single" w:color="C8501C" w:sz="18" w:space="8"/>
        </w:pBdr>
        <w:shd w:fill="EEF1F4" w:color="auto" w:val="clear"/>
        <w:spacing w:after="160" w:before="80"/>
        <w:ind w:left="360"/>
      </w:pPr>
      <w:r>
        <w:rPr>
          <w:rFonts w:ascii="Consolas" w:cs="Consolas" w:eastAsia="Consolas" w:hAnsi="Consolas"/>
          <w:sz w:val="20"/>
          <w:szCs w:val="20"/>
        </w:rPr>
        <w:t xml:space="preserve">python3 matchmaking.py --player "Ty Jerome"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B6878"/>
        <w:sz w:val="18"/>
        <w:szCs w:val="18"/>
      </w:rPr>
      <w:t xml:space="preserve">NBA Matchmaker · page </w:t>
    </w:r>
    <w:r>
      <w:rPr>
        <w:color w:val="5B687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621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6212D"/>
      <w:sz w:val="30"/>
      <w:szCs w:val="30"/>
    </w:rPr>
  </w:style>
  <w:style w:type="paragraph" w:styleId="Heading2">
    <w:name w:val="Heading 2"/>
    <w:basedOn w:val="Normal"/>
    <w:next w:val="Normal"/>
    <w:qFormat/>
    <w:pPr>
      <w:outlineLvl w:val="1"/>
    </w:pPr>
    <w:rPr>
      <w:rFonts w:ascii="Calibri" w:cs="Calibri" w:eastAsia="Calibri" w:hAnsi="Calibri"/>
      <w:b/>
      <w:bCs/>
      <w:color w:val="C8501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NBA Matchmaker: How It Works</dc:title>
  <dc:creator>NBA Matchmaker</dc:creator>
  <cp:lastModifiedBy>Un-named</cp:lastModifiedBy>
  <cp:revision>1</cp:revision>
  <dcterms:created xsi:type="dcterms:W3CDTF">2026-10-16T17:51:13.610Z</dcterms:created>
  <dcterms:modified xsi:type="dcterms:W3CDTF">2026-10-16T17:51:13.611Z</dcterms:modified>
</cp:coreProperties>
</file>

<file path=docProps/custom.xml><?xml version="1.0" encoding="utf-8"?>
<Properties xmlns="http://schemas.openxmlformats.org/officeDocument/2006/custom-properties" xmlns:vt="http://schemas.openxmlformats.org/officeDocument/2006/docPropsVTypes"/>
</file>