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B48"/>
          <w:sz w:val="52"/>
        </w:rPr>
        <w:t>TRINETRA (त्रिनेत्र)</w:t>
      </w:r>
    </w:p>
    <w:p>
      <w:pPr>
        <w:jc w:val="center"/>
      </w:pPr>
      <w:r>
        <w:rPr>
          <w:b/>
          <w:color w:val="2FB6C9"/>
          <w:sz w:val="28"/>
        </w:rPr>
        <w:t>AI-Powered Email Threat Detection, GeoLocation &amp; Forensic Intelligence Platform</w:t>
        <w:br/>
        <w:t>Smart India Hackathon 2026 — Problem Statement SIH26106</w:t>
      </w:r>
    </w:p>
    <w:p>
      <w:pPr>
        <w:jc w:val="center"/>
      </w:pPr>
      <w:r>
        <w:rPr>
          <w:i/>
          <w:color w:val="555555"/>
          <w:sz w:val="21"/>
        </w:rPr>
        <w:t>Master Technical Project &amp; Prototype Architecture Report</w:t>
        <w:br/>
        <w:t>Submitted by Team Trinetra AI Vision (Team ID: 176248)</w:t>
        <w:br/>
        <w:t>Sanaka Educational Trusts Group of Institutions (College Code: 278) | Section 63 BSA 2023 Compliant</w:t>
      </w:r>
    </w:p>
    <w:p>
      <w:pPr>
        <w:spacing w:after="240"/>
      </w:pPr>
    </w:p>
    <w:p>
      <w:pPr>
        <w:pStyle w:val="Heading2"/>
        <w:spacing w:before="240" w:after="120"/>
      </w:pPr>
      <w:r>
        <w:t>Team Trinetra AI Vision (Team ID: 176248) — Roster &amp; Core Contributions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584"/>
            <w:shd w:fill="0F2B48"/>
          </w:tcPr>
          <w:p>
            <w:r>
              <w:rPr>
                <w:b/>
                <w:color w:val="FFFFFF"/>
                <w:sz w:val="19"/>
              </w:rPr>
              <w:t>Role</w:t>
            </w:r>
          </w:p>
        </w:tc>
        <w:tc>
          <w:tcPr>
            <w:tcW w:type="dxa" w:w="1872"/>
            <w:shd w:fill="0F2B48"/>
          </w:tcPr>
          <w:p>
            <w:r>
              <w:rPr>
                <w:b/>
                <w:color w:val="FFFFFF"/>
                <w:sz w:val="19"/>
              </w:rPr>
              <w:t>Name</w:t>
            </w:r>
          </w:p>
        </w:tc>
        <w:tc>
          <w:tcPr>
            <w:tcW w:type="dxa" w:w="1584"/>
            <w:shd w:fill="0F2B48"/>
          </w:tcPr>
          <w:p>
            <w:r>
              <w:rPr>
                <w:b/>
                <w:color w:val="FFFFFF"/>
                <w:sz w:val="19"/>
              </w:rPr>
              <w:t>GitHub</w:t>
            </w:r>
          </w:p>
        </w:tc>
        <w:tc>
          <w:tcPr>
            <w:tcW w:type="dxa" w:w="2016"/>
            <w:shd w:fill="0F2B48"/>
          </w:tcPr>
          <w:p>
            <w:r>
              <w:rPr>
                <w:b/>
                <w:color w:val="FFFFFF"/>
                <w:sz w:val="19"/>
              </w:rPr>
              <w:t>Department / Year</w:t>
            </w:r>
          </w:p>
        </w:tc>
        <w:tc>
          <w:tcPr>
            <w:tcW w:type="dxa" w:w="3024"/>
            <w:shd w:fill="0F2B48"/>
          </w:tcPr>
          <w:p>
            <w:r>
              <w:rPr>
                <w:b/>
                <w:color w:val="FFFFFF"/>
                <w:sz w:val="19"/>
              </w:rPr>
              <w:t>Core Technical Responsibilities</w:t>
            </w:r>
          </w:p>
        </w:tc>
      </w:tr>
      <w:tr>
        <w:tc>
          <w:tcPr>
            <w:tcW w:type="dxa" w:w="1584"/>
            <w:shd w:fill="F4F7FA"/>
          </w:tcPr>
          <w:p>
            <w:r>
              <w:rPr>
                <w:sz w:val="18"/>
              </w:rPr>
              <w:t>Team Leader</w:t>
            </w:r>
          </w:p>
        </w:tc>
        <w:tc>
          <w:tcPr>
            <w:tcW w:type="dxa" w:w="1872"/>
            <w:shd w:fill="F4F7FA"/>
          </w:tcPr>
          <w:p>
            <w:r>
              <w:rPr>
                <w:sz w:val="18"/>
              </w:rPr>
              <w:t>Pritam Maity</w:t>
            </w:r>
          </w:p>
        </w:tc>
        <w:tc>
          <w:tcPr>
            <w:tcW w:type="dxa" w:w="1584"/>
            <w:shd w:fill="F4F7FA"/>
          </w:tcPr>
          <w:p>
            <w:r>
              <w:rPr>
                <w:sz w:val="18"/>
              </w:rPr>
              <w:t>@prit-om</w:t>
            </w:r>
          </w:p>
        </w:tc>
        <w:tc>
          <w:tcPr>
            <w:tcW w:type="dxa" w:w="2016"/>
            <w:shd w:fill="F4F7FA"/>
          </w:tcPr>
          <w:p>
            <w:r>
              <w:rPr>
                <w:sz w:val="18"/>
              </w:rPr>
              <w:t>CSE, 3rd Year</w:t>
              <w:br/>
              <w:t>(27800124062)</w:t>
            </w:r>
          </w:p>
        </w:tc>
        <w:tc>
          <w:tcPr>
            <w:tcW w:type="dxa" w:w="3024"/>
            <w:shd w:fill="F4F7FA"/>
          </w:tcPr>
          <w:p>
            <w:r>
              <w:rPr>
                <w:sz w:val="18"/>
              </w:rPr>
              <w:t>System Architecture, 3-Layer Risk Fusion Engine, Hop-0 Relay Inversion, Cryptographic Ingestion</w:t>
            </w:r>
          </w:p>
        </w:tc>
      </w:tr>
      <w:tr>
        <w:tc>
          <w:tcPr>
            <w:tcW w:type="dxa" w:w="1584"/>
          </w:tcPr>
          <w:p>
            <w:r>
              <w:rPr>
                <w:sz w:val="18"/>
              </w:rPr>
              <w:t>Member</w:t>
            </w:r>
          </w:p>
        </w:tc>
        <w:tc>
          <w:tcPr>
            <w:tcW w:type="dxa" w:w="1872"/>
          </w:tcPr>
          <w:p>
            <w:r>
              <w:rPr>
                <w:sz w:val="18"/>
              </w:rPr>
              <w:t>Sneha Kumari Mahato</w:t>
            </w:r>
          </w:p>
        </w:tc>
        <w:tc>
          <w:tcPr>
            <w:tcW w:type="dxa" w:w="1584"/>
          </w:tcPr>
          <w:p>
            <w:r>
              <w:rPr>
                <w:sz w:val="18"/>
              </w:rPr>
              <w:t>@TheShadowRoot</w:t>
            </w:r>
          </w:p>
        </w:tc>
        <w:tc>
          <w:tcPr>
            <w:tcW w:type="dxa" w:w="2016"/>
          </w:tcPr>
          <w:p>
            <w:r>
              <w:rPr>
                <w:sz w:val="18"/>
              </w:rPr>
              <w:t>CSE (AI &amp; ML), 3rd Year</w:t>
              <w:br/>
              <w:t>(27830824047)</w:t>
            </w:r>
          </w:p>
        </w:tc>
        <w:tc>
          <w:tcPr>
            <w:tcW w:type="dxa" w:w="3024"/>
          </w:tcPr>
          <w:p>
            <w:r>
              <w:rPr>
                <w:sz w:val="18"/>
              </w:rPr>
              <w:t>Multi-Script Indic NLP Engine, Gemini AI Threat Reasoning, Prompt Injection Defenses, Behavioral Vectors</w:t>
            </w:r>
          </w:p>
        </w:tc>
      </w:tr>
      <w:tr>
        <w:tc>
          <w:tcPr>
            <w:tcW w:type="dxa" w:w="1584"/>
            <w:shd w:fill="F4F7FA"/>
          </w:tcPr>
          <w:p>
            <w:r>
              <w:rPr>
                <w:sz w:val="18"/>
              </w:rPr>
              <w:t>Member</w:t>
            </w:r>
          </w:p>
        </w:tc>
        <w:tc>
          <w:tcPr>
            <w:tcW w:type="dxa" w:w="1872"/>
            <w:shd w:fill="F4F7FA"/>
          </w:tcPr>
          <w:p>
            <w:r>
              <w:rPr>
                <w:sz w:val="18"/>
              </w:rPr>
              <w:t>Barsa Sen</w:t>
            </w:r>
          </w:p>
        </w:tc>
        <w:tc>
          <w:tcPr>
            <w:tcW w:type="dxa" w:w="1584"/>
            <w:shd w:fill="F4F7FA"/>
          </w:tcPr>
          <w:p>
            <w:r>
              <w:rPr>
                <w:sz w:val="18"/>
              </w:rPr>
              <w:t>@BarsaBytes</w:t>
            </w:r>
          </w:p>
        </w:tc>
        <w:tc>
          <w:tcPr>
            <w:tcW w:type="dxa" w:w="2016"/>
            <w:shd w:fill="F4F7FA"/>
          </w:tcPr>
          <w:p>
            <w:r>
              <w:rPr>
                <w:sz w:val="18"/>
              </w:rPr>
              <w:t>CSE, 3rd Year</w:t>
              <w:br/>
              <w:t>(27800124093)</w:t>
            </w:r>
          </w:p>
        </w:tc>
        <w:tc>
          <w:tcPr>
            <w:tcW w:type="dxa" w:w="3024"/>
            <w:shd w:fill="F4F7FA"/>
          </w:tcPr>
          <w:p>
            <w:r>
              <w:rPr>
                <w:sz w:val="18"/>
              </w:rPr>
              <w:t>SPF/DKIM/DMARC Forensics, MaxMind GeoIP &amp; Cymru BGP Resolution, Anti-Anonymizer Tor/VPN Scanner</w:t>
            </w:r>
          </w:p>
        </w:tc>
      </w:tr>
      <w:tr>
        <w:tc>
          <w:tcPr>
            <w:tcW w:type="dxa" w:w="1584"/>
          </w:tcPr>
          <w:p>
            <w:r>
              <w:rPr>
                <w:sz w:val="18"/>
              </w:rPr>
              <w:t>Member</w:t>
            </w:r>
          </w:p>
        </w:tc>
        <w:tc>
          <w:tcPr>
            <w:tcW w:type="dxa" w:w="1872"/>
          </w:tcPr>
          <w:p>
            <w:r>
              <w:rPr>
                <w:sz w:val="18"/>
              </w:rPr>
              <w:t>Pabitra Ghosh</w:t>
            </w:r>
          </w:p>
        </w:tc>
        <w:tc>
          <w:tcPr>
            <w:tcW w:type="dxa" w:w="1584"/>
          </w:tcPr>
          <w:p>
            <w:r>
              <w:rPr>
                <w:sz w:val="18"/>
              </w:rPr>
              <w:t>—</w:t>
            </w:r>
          </w:p>
        </w:tc>
        <w:tc>
          <w:tcPr>
            <w:tcW w:type="dxa" w:w="2016"/>
          </w:tcPr>
          <w:p>
            <w:r>
              <w:rPr>
                <w:sz w:val="18"/>
              </w:rPr>
              <w:t>CSE (AI &amp; ML), 3rd Year</w:t>
              <w:br/>
              <w:t>(27830824042)</w:t>
            </w:r>
          </w:p>
        </w:tc>
        <w:tc>
          <w:tcPr>
            <w:tcW w:type="dxa" w:w="3024"/>
          </w:tcPr>
          <w:p>
            <w:r>
              <w:rPr>
                <w:sz w:val="18"/>
              </w:rPr>
              <w:t>React 19 Cyber-Dark SOC Analyst Dashboard, Leaflet GeoIP Visualization, Relay Timeline UI</w:t>
            </w:r>
          </w:p>
        </w:tc>
      </w:tr>
      <w:tr>
        <w:tc>
          <w:tcPr>
            <w:tcW w:type="dxa" w:w="1584"/>
            <w:shd w:fill="F4F7FA"/>
          </w:tcPr>
          <w:p>
            <w:r>
              <w:rPr>
                <w:sz w:val="18"/>
              </w:rPr>
              <w:t>Member</w:t>
            </w:r>
          </w:p>
        </w:tc>
        <w:tc>
          <w:tcPr>
            <w:tcW w:type="dxa" w:w="1872"/>
            <w:shd w:fill="F4F7FA"/>
          </w:tcPr>
          <w:p>
            <w:r>
              <w:rPr>
                <w:sz w:val="18"/>
              </w:rPr>
              <w:t>Pavel Jana</w:t>
            </w:r>
          </w:p>
        </w:tc>
        <w:tc>
          <w:tcPr>
            <w:tcW w:type="dxa" w:w="1584"/>
            <w:shd w:fill="F4F7FA"/>
          </w:tcPr>
          <w:p>
            <w:r>
              <w:rPr>
                <w:sz w:val="18"/>
              </w:rPr>
              <w:t>—</w:t>
            </w:r>
          </w:p>
        </w:tc>
        <w:tc>
          <w:tcPr>
            <w:tcW w:type="dxa" w:w="2016"/>
            <w:shd w:fill="F4F7FA"/>
          </w:tcPr>
          <w:p>
            <w:r>
              <w:rPr>
                <w:sz w:val="18"/>
              </w:rPr>
              <w:t>CSE, 3rd Year</w:t>
              <w:br/>
              <w:t>(27800124021)</w:t>
            </w:r>
          </w:p>
        </w:tc>
        <w:tc>
          <w:tcPr>
            <w:tcW w:type="dxa" w:w="3024"/>
            <w:shd w:fill="F4F7FA"/>
          </w:tcPr>
          <w:p>
            <w:r>
              <w:rPr>
                <w:sz w:val="18"/>
              </w:rPr>
              <w:t>Knowledge Graph Intelligence Engine, Cross-Case Threat Clustering, Cytoscape &amp; Neo4j Models</w:t>
            </w:r>
          </w:p>
        </w:tc>
      </w:tr>
      <w:tr>
        <w:tc>
          <w:tcPr>
            <w:tcW w:type="dxa" w:w="1584"/>
          </w:tcPr>
          <w:p>
            <w:r>
              <w:rPr>
                <w:sz w:val="18"/>
              </w:rPr>
              <w:t>Member</w:t>
            </w:r>
          </w:p>
        </w:tc>
        <w:tc>
          <w:tcPr>
            <w:tcW w:type="dxa" w:w="1872"/>
          </w:tcPr>
          <w:p>
            <w:r>
              <w:rPr>
                <w:sz w:val="18"/>
              </w:rPr>
              <w:t>Lisa Kamle</w:t>
            </w:r>
          </w:p>
        </w:tc>
        <w:tc>
          <w:tcPr>
            <w:tcW w:type="dxa" w:w="1584"/>
          </w:tcPr>
          <w:p>
            <w:r>
              <w:rPr>
                <w:sz w:val="18"/>
              </w:rPr>
              <w:t>—</w:t>
            </w:r>
          </w:p>
        </w:tc>
        <w:tc>
          <w:tcPr>
            <w:tcW w:type="dxa" w:w="2016"/>
          </w:tcPr>
          <w:p>
            <w:r>
              <w:rPr>
                <w:sz w:val="18"/>
              </w:rPr>
              <w:t>CSE (AI &amp; ML), 2nd Year</w:t>
              <w:br/>
              <w:t>(27830825004)</w:t>
            </w:r>
          </w:p>
        </w:tc>
        <w:tc>
          <w:tcPr>
            <w:tcW w:type="dxa" w:w="3024"/>
          </w:tcPr>
          <w:p>
            <w:r>
              <w:rPr>
                <w:sz w:val="18"/>
              </w:rPr>
              <w:t>Section 63 BSA 2023 Statutory Compliance, Court Dossier Generator, Verhoeff Indian PII Redactor</w:t>
            </w:r>
          </w:p>
        </w:tc>
      </w:tr>
    </w:tbl>
    <w:p>
      <w:r>
        <w:br w:type="page"/>
      </w:r>
    </w:p>
    <w:p>
      <w:pPr>
        <w:pStyle w:val="Heading1"/>
      </w:pPr>
      <w:r>
        <w:t>1. Executive Summary &amp; SIH26106 Problem Context</w:t>
      </w:r>
    </w:p>
    <w:p>
      <w:r>
        <w:t>Email remains the foundational communication protocol across government administration, banking infrastructure, law enforcement agencies, and corporate enterprises throughout India. However, its asynchronous, trust-based architecture makes it the primary weapon for cyber deception. Threat actors routinely execute Business Email Compromise (BEC), CEO fraud, fraudulent vendor payment diversion, credential harvesting, and coercive 'Digital Arrest' scams targeting citizens and public officials.</w:t>
      </w:r>
    </w:p>
    <w:p>
      <w:r>
        <w:t>Conventional Secure Email Gateways (SEGs) and signature-based spam filters suffer from four critical deficiencies:</w:t>
        <w:br/>
        <w:t>1. Black-Box Scoring: Traditional filters output binary spam scores without explainable evidence rationale, inducing severe alert fatigue.</w:t>
        <w:br/>
        <w:t>2. Header Deception Vulnerability: Threat actors inject forged intermediate Received: headers to mimic legitimate Google or Microsoft relays; conventional tools inspect only top-level headers and fail to extract the true originating host.</w:t>
        <w:br/>
        <w:t>3. Linguistic Exclusion: Off-the-shelf security solutions rely on English-centric tokenizers, remaining blind when cyber syndicates weaponize 10+ Indian regional languages (Hindi, Bengali, Tamil, Telugu, etc.) or transliterated Hinglish/Banglish.</w:t>
        <w:br/>
        <w:t>4. Zero Judicial Admissibility: Standard security logs cannot be tendered as legal evidence in Indian courts because they lack cryptographic chain of custody and statutory certification under Section 63 of the Bharatiya Sakshya Adhiniyam, 2023 (BSA).</w:t>
      </w:r>
    </w:p>
    <w:p>
      <w:r>
        <w:t>TRINETRA (त्रिनेत्र) addresses this national security challenge. Engineered for SIH Problem Statement SIH26106, it integrates microsecond RFC 5322 MIME parsing, cryptographic SHA-256 evidence sealing, bottom-up Hop-0 origin extraction, a deterministic 3-Layer Mathematical Risk Fusion Engine (0–100 score), multi-script Indic NLP with dual-engine AI and offline fallback, cross-case knowledge graph intelligence, and automated court-certified Section 63 BSA 2023 forensic dossier synthesis.</w:t>
      </w:r>
    </w:p>
    <w:p>
      <w:pPr>
        <w:pStyle w:val="Heading1"/>
      </w:pPr>
      <w:r>
        <w:t>2. Indian Threat Landscape &amp; Academic Research Foundation</w:t>
      </w:r>
    </w:p>
    <w:p>
      <w:r>
        <w:t>According to CERT-In and the Indian Cyber Crime Coordination Centre (I4C), cyber extortion and email fraud in India grew over 280% between 2023 and 2025. Coercive 'Digital Arrest' operations—where scammers impersonate the Central Bureau of Investigation (CBI), Enforcement Directorate (ED), or state police cyber cells—use forged court summonses and FIR notices to induce panic and extort immediate RTGS/NEFT wire transfers into mule bank accounts.</w:t>
      </w:r>
    </w:p>
    <w:p>
      <w:r>
        <w:t>Our engineering design is grounded in empirical academic literature:</w:t>
        <w:br/>
        <w:t>• BEC Detection Gaps (Atlam &amp; Oluwatimilehin, Electronics 2023): A systematic review of 38 empirical studies established that keyword filters fail against BEC because attackers avoid traditional spam terminology. Robust detection requires fusing cryptographic authentication with behavioral intent cues.</w:t>
        <w:br/>
        <w:t>• Passive IP Geolocation Calibration (Mansoori &amp; Welch, Computers &amp; Security 2020): Research confirms that passive database-driven IP geolocation varies from &gt;95% country accuracy to 50–80% city accuracy. TRINETRA provides calibrated confidence bounds rather than claiming unverified positional certainty.</w:t>
        <w:br/>
        <w:t>• SMTP Clock Drift Forensics (IEEE Xplore, 2024): Research proves that timestamp clock skew between successive SMTP relay hops provides a high-fidelity signature of artificial header injection or relay tampering.</w:t>
      </w:r>
    </w:p>
    <w:p>
      <w:pPr>
        <w:pStyle w:val="Heading1"/>
      </w:pPr>
      <w:r>
        <w:t>3. Project Planning, Agile Methodology &amp; Engineering Workflow</w:t>
      </w:r>
    </w:p>
    <w:p>
      <w:r>
        <w:t>Team Trinetra AI Vision implemented an intensive 6-phase Agile/Scrum engineering lifecycle designed to achieve end-to-end technical readiness under the Smart India Hackathon standards:</w:t>
        <w:br/>
        <w:t>• Phase 1 (Weeks 1–2): RFC Protocol &amp; Legal Foundations — Deep dive into RFC 5322, 7208 (SPF), 6376 (DKIM), 7489 (DMARC), and statutory conditions under Section 63 BSA 2023 and DPDP Act 2023.</w:t>
        <w:br/>
        <w:t>• Phase 2 (Weeks 3–4): Ingestion &amp; Cryptographic Integrity — RFC 5322 parser, SHA-256 byte-stream evidence sealing before manipulation, and Verhoeff-compliant Indian PII redaction engine.</w:t>
        <w:br/>
        <w:t>• Phase 3 (Weeks 5–6): Protocol Forensics &amp; Network Intelligence — Hop-0 bottom-up relay inversion algorithm, offline MaxMind GeoLite2 City/ASN integration, and Tor/VPN anonymizer scanners.</w:t>
        <w:br/>
        <w:t>• Phase 4 (Weeks 7–8): Multi-Script Indic NLP &amp; AI Reasoning — Dual-engine architecture: primary Google Gemini LLM with prompt-injection sandboxing + 100% offline regex pattern bank covering 10+ Indian regional languages.</w:t>
        <w:br/>
        <w:t>• Phase 5 (Weeks 9–10): 3-Layer Mathematical Fusion &amp; Knowledge Graph — Formulation of explainable 0–100 threat score formula, Cytoscape/Neo4j graph persistence, and ReportLab court PDF generator.</w:t>
        <w:br/>
        <w:t>• Phase 6 (Final): SOC Analyst Interface &amp; Rigorous Testing — React 19 cyber-dark UI, Leaflet GeoIP map, automated IMAP daemon, and 11-test pytest validation suite (100% pass rate).</w:t>
      </w:r>
    </w:p>
    <w:p>
      <w:pPr>
        <w:pStyle w:val="Heading1"/>
      </w:pPr>
      <w:r>
        <w:t>4. Complete System Architecture &amp; Forensic Mechanisms</w:t>
      </w:r>
    </w:p>
    <w:p>
      <w:r>
        <w:t>TRINETRA is structured into four decoupled, high-performance tiers engineered for local-first execution, explainable scoring, and high forensic fidelity:</w:t>
      </w:r>
    </w:p>
    <w:p>
      <w:pPr>
        <w:spacing w:after="80"/>
      </w:pPr>
    </w:p>
    <w:p>
      <w:pPr>
        <w:jc w:val="center"/>
      </w:pPr>
      <w:r>
        <w:drawing>
          <wp:inline xmlns:a="http://schemas.openxmlformats.org/drawingml/2006/main" xmlns:pic="http://schemas.openxmlformats.org/drawingml/2006/picture">
            <wp:extent cx="5943600" cy="5145535"/>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943600" cy="5145535"/>
                    </a:xfrm>
                    <a:prstGeom prst="rect"/>
                  </pic:spPr>
                </pic:pic>
              </a:graphicData>
            </a:graphic>
          </wp:inline>
        </w:drawing>
      </w:r>
    </w:p>
    <w:p>
      <w:pPr>
        <w:jc w:val="center"/>
      </w:pPr>
      <w:r>
        <w:rPr>
          <w:i/>
          <w:sz w:val="19"/>
        </w:rPr>
        <w:t>Figure 1: TRINETRA End-to-End Modular Forensic Architecture Blueprint</w:t>
      </w:r>
    </w:p>
    <w:p>
      <w:pPr>
        <w:pStyle w:val="Heading2"/>
      </w:pPr>
      <w:r>
        <w:t>4.1 Tier 1: Ingestion, Cryptographic Custody &amp; PII Redaction</w:t>
      </w:r>
    </w:p>
    <w:p>
      <w:r>
        <w:t>• RFC 5322 MIME Parser: Ingests .eml, .msg, .txt, and live IMAP streams, normalizes nested multipart boundaries, decodes base64/quoted-printable streams, and isolates attachments.</w:t>
        <w:br/>
        <w:t>• Cryptographic Evidence Sealing: Raw incoming byte streams are hashed immediately with SHA-256 before any parsing occurs. This immutable hash is stored as the case evidence seal. Dynamic re-hashing confirms zero post-ingestion tampering.</w:t>
        <w:br/>
        <w:t>• Zero-Leak Indian PII Redaction: In compliance with the Digital Personal Data Protection Act, 2023 (DPDP), 12-digit Aadhaar numbers (Verhoeff-validated), 10-character PAN cards, and 10-digit Indian phone numbers are masked prior to caching, logging, or model inference.</w:t>
      </w:r>
    </w:p>
    <w:p>
      <w:pPr>
        <w:pStyle w:val="Heading2"/>
      </w:pPr>
      <w:r>
        <w:t>4.2 Tier 2: Protocol &amp; Header Forensics (Layer 1 Deterministic Engine)</w:t>
      </w:r>
    </w:p>
    <w:p>
      <w:r>
        <w:t>Layer 1 contributes 40% (w1 = 0.40) to the final threat score through deterministic cryptographic checks:</w:t>
        <w:br/>
        <w:t>• SPF (RFC 7208): Queries envelope sender DNS TXT records to confirm if sending server IP is authorized.</w:t>
        <w:br/>
        <w:t>• DKIM (RFC 6376): Validates public RSA key against body and header canonicalization hashes to prove integrity.</w:t>
        <w:br/>
        <w:t>• DMARC (RFC 7489): Evaluates strict/relaxed domain alignment between visible From: header and SPF/DKIM domains.</w:t>
        <w:br/>
        <w:t>• Hop-0 Bottom-Up Origin Extraction: The engine inverts the Received: header chain, traversing chronologically from recipient to sender while skipping RFC 1918 private subnets (10.0.0.0/8, 172.16.0.0/12, 192.168.0.0/16), loopback (127.0.0.0/8), and CGNAT (100.64.0.0/10) to reliably isolate the true earliest external originating IP.</w:t>
        <w:br/>
        <w:t>• Clock Drift &amp; Skew Forensics: Calculates transit delta between consecutive hops (Δt = t_i - t_{i-1}). Negative transit times (Δt &lt; -300s) trigger high-confidence alert flags for forged Received: headers.</w:t>
      </w:r>
    </w:p>
    <w:p>
      <w:pPr>
        <w:pStyle w:val="Heading2"/>
      </w:pPr>
      <w:r>
        <w:t>4.3 Tier 3: Network, Geolocation &amp; Anonymizer Intelligence (Layer 2 Contextual Engine)</w:t>
      </w:r>
    </w:p>
    <w:p>
      <w:r>
        <w:t>Layer 2 contributes 35% (w2 = 0.35) through infrastructure and network intelligence:</w:t>
        <w:br/>
        <w:t>• Offline MaxMind GeoLite2 City &amp; ASN: Resolves country, city, coordinates, ASN, and ISP with sub-millisecond local binary lookups without querying external cloud APIs.</w:t>
        <w:br/>
        <w:t>• Cymru BGP Transit Resolution: Cross-examines IP transit paths to detect anomalous routing.</w:t>
        <w:br/>
        <w:t>• Anti-Anonymizer Scanner: Matches origin IPs against active Tor exit node consensus lists and commercial VPN egress ranges.</w:t>
        <w:br/>
        <w:t>• URL Unmasking &amp; Typosquatting: Traverses HTTP 301/302 redirect chains to uncover bit.ly destinations, unmasks Punycode (xn--) homoglyphs, and calculates Levenshtein distance against 50+ critical Indian banking and government domains.</w:t>
        <w:br/>
        <w:t>• Attachment Triage: Inspects executable extensions (.exe, .scr, .vbs), double-extension deception (.pdf.exe), VBA macro-enabled files (.docm, .xlsm), and cross-references SHA-256 hashes with VirusTotal.</w:t>
      </w:r>
    </w:p>
    <w:p>
      <w:pPr>
        <w:pStyle w:val="Heading2"/>
      </w:pPr>
      <w:r>
        <w:t>4.4 Tier 4: Multi-Script Indic NLP &amp; AI Threat Reasoning (Layer 3 Behavioral Engine)</w:t>
      </w:r>
    </w:p>
    <w:p>
      <w:r>
        <w:t>Layer 3 contributes 25% (w3 = 0.25) through deep semantic and behavioral intent analysis:</w:t>
        <w:br/>
        <w:t>• Dual-Engine Design: Primary cloud LLM (Google Gemini) coupled with a 100% offline local regex pattern cascade.</w:t>
        <w:br/>
        <w:t>• 10+ Indic Regional Languages: Comprehensive detection across Devanagari (Hindi, Marathi), Bengali, Tamil, Telugu, Gujarati, Kannada, Malayalam, Odia, Punjabi, and transliterated Hinglish/Banglish.</w:t>
        <w:br/>
        <w:t>• 6-Vector Behavioral Threat Scoring: Evaluates Financial/Wire Diversion, Artificial Urgency/Panic, Credential Harvesting, Legal/Digital Arrest Threats, Executive Impersonation, and Social Engineering.</w:t>
        <w:br/>
        <w:t>• Prompt Injection Defense: Untrusted email text is strictly encapsulated within XML boundary tags with zero-trust system prompt constraints and JSON Schema output enforcement.</w:t>
      </w:r>
    </w:p>
    <w:p>
      <w:pPr>
        <w:pStyle w:val="Heading2"/>
      </w:pPr>
      <w:r>
        <w:t>4.5 Tier 5: The 3-Layer Mathematical Risk Fusion Formula</w:t>
      </w:r>
    </w:p>
    <w:p>
      <w:r>
        <w:t>TRINETRA synthesizes findings through an explainable, auditable mathematical formula bounded between 0 and 100:</w:t>
        <w:br/>
        <w:t>Threat Score = min(100, 0.40 · L1 + 0.35 · L2 + 0.25 · L3 + Σ Bonuses)</w:t>
        <w:br/>
        <w:br/>
        <w:t>Where:</w:t>
        <w:br/>
        <w:t>• L1 (0–100): Weighted sum of SPF/DKIM/DMARC failures, header mismatches, and relay clock skew.</w:t>
        <w:br/>
        <w:t>• L2 (0–100): Tor/VPN indicators, typosquatting domains, malicious URLs, and high-risk ASNs.</w:t>
        <w:br/>
        <w:t>• L3 (0–100): Mean intensity across the 6 behavioral manipulation vectors.</w:t>
        <w:br/>
        <w:t>• Bonuses: +15 for executable/macro attachments; +20 for confirmed threat feed reputation hits.</w:t>
        <w:br/>
        <w:br/>
        <w:t>Severity Classification:</w:t>
        <w:br/>
        <w:t>• 0–24: Clean / Safe (Verified legitimate internal or authenticated communication)</w:t>
        <w:br/>
        <w:t>• 25–49: Low Risk / Informational (Minor unauthenticated benign relay or informational newsletter)</w:t>
        <w:br/>
        <w:t>• 50–74: Suspicious (Probable spoofing, unaligned sender, or social engineering cues; route to SOC quarantine)</w:t>
        <w:br/>
        <w:t>• 75–100: Critical Threat / BEC (Malicious payload, severe impersonation, or confirmed threat actor infrastructure)</w:t>
      </w:r>
    </w:p>
    <w:p>
      <w:pPr>
        <w:pStyle w:val="Heading2"/>
      </w:pPr>
      <w:r>
        <w:t>4.6 Tier 6: Knowledge Graph &amp; Cross-Case Campaign Intelligence</w:t>
      </w:r>
    </w:p>
    <w:p>
      <w:r>
        <w:t>TRINETRA correlates indicators of compromise (IOCs) across independent cases using an interactive Cytoscape.js canvas backed by SQLite graph tables and optional Neo4j graph persistence. Graph nodes (Case, SenderEmail, SenderDomain, OriginIP, ASN, AttachmentHash) and edges (SENT_BY, ORIGINATED_FROM, CONTAINS_ATTACHMENT) reveal coordinated multi-target campaigns orchestrated by the same threat actor infrastructure.</w:t>
      </w:r>
    </w:p>
    <w:p>
      <w:pPr>
        <w:pStyle w:val="Heading2"/>
      </w:pPr>
      <w:r>
        <w:t>4.7 Tier 7: Section 63 BSA 2023 Statutory Legal Compliance</w:t>
      </w:r>
    </w:p>
    <w:p>
      <w:r>
        <w:t>On July 1, 2024, the Bharatiya Sakshya Adhiniyam, 2023 (BSA) repealed and replaced the Indian Evidence Act, 1872. Section 63 of the BSA sets forth the statutory conditions for the admissibility of electronic records in Indian judicial proceedings.</w:t>
        <w:br/>
        <w:t>TRINETRA programmatically synthesizes a court-certified PDF technical examination report containing:</w:t>
        <w:br/>
        <w:t>1. Statutory Examiner Declaration under Section 63(4) BSA 2023 affirming machine integrity and absence of tampering.</w:t>
        <w:br/>
        <w:t>2. Cryptographic Chain of Custody displaying the raw SHA-256 evidence seal and live re-verification status.</w:t>
        <w:br/>
        <w:t>3. Complete Hop-by-Hop Transmission Audit with reverse DNS, IP addresses, and clock skew delta.</w:t>
        <w:br/>
        <w:t>4. Objective Forensic Findings detailing protocol authentication, geolocation confidence, and behavioral intent.</w:t>
        <w:br/>
        <w:t>5. DPDP Privacy Redaction Certification confirming protection of Indian citizen personal identifiers.</w:t>
      </w:r>
    </w:p>
    <w:p>
      <w:r>
        <w:br w:type="page"/>
      </w:r>
    </w:p>
    <w:p>
      <w:pPr>
        <w:pStyle w:val="Heading1"/>
      </w:pPr>
      <w:r>
        <w:t>5. Visual Prototype Walkthrough &amp; Interface Evidence</w:t>
      </w:r>
    </w:p>
    <w:p>
      <w:r>
        <w:t>The following figures illustrate the production capabilities of the TRINETRA platform across real-world forensic scenarios:</w:t>
      </w:r>
    </w:p>
    <w:p>
      <w:pPr>
        <w:spacing w:after="40"/>
      </w:pPr>
    </w:p>
    <w:p>
      <w:pPr>
        <w:jc w:val="center"/>
      </w:pPr>
      <w:r>
        <w:drawing>
          <wp:inline xmlns:a="http://schemas.openxmlformats.org/drawingml/2006/main" xmlns:pic="http://schemas.openxmlformats.org/drawingml/2006/picture">
            <wp:extent cx="5303520" cy="2693194"/>
            <wp:docPr id="2" name="Picture 2"/>
            <wp:cNvGraphicFramePr>
              <a:graphicFrameLocks noChangeAspect="1"/>
            </wp:cNvGraphicFramePr>
            <a:graphic>
              <a:graphicData uri="http://schemas.openxmlformats.org/drawingml/2006/picture">
                <pic:pic>
                  <pic:nvPicPr>
                    <pic:cNvPr id="0" name="workspace_overview.png"/>
                    <pic:cNvPicPr/>
                  </pic:nvPicPr>
                  <pic:blipFill>
                    <a:blip r:embed="rId10"/>
                    <a:stretch>
                      <a:fillRect/>
                    </a:stretch>
                  </pic:blipFill>
                  <pic:spPr>
                    <a:xfrm>
                      <a:off x="0" y="0"/>
                      <a:ext cx="5303520" cy="2693194"/>
                    </a:xfrm>
                    <a:prstGeom prst="rect"/>
                  </pic:spPr>
                </pic:pic>
              </a:graphicData>
            </a:graphic>
          </wp:inline>
        </w:drawing>
      </w:r>
    </w:p>
    <w:p>
      <w:pPr>
        <w:jc w:val="center"/>
      </w:pPr>
      <w:r>
        <w:rPr>
          <w:i/>
          <w:sz w:val="18"/>
        </w:rPr>
        <w:t>Figure 2: Active Investigation Workspace &amp; Hero Threat Gauge (0–100 score, SHA-256 seal, BSA badge, 1-click export)</w:t>
      </w:r>
    </w:p>
    <w:p>
      <w:pPr>
        <w:spacing w:after="40"/>
      </w:pPr>
    </w:p>
    <w:p>
      <w:pPr>
        <w:jc w:val="center"/>
      </w:pPr>
      <w:r>
        <w:drawing>
          <wp:inline xmlns:a="http://schemas.openxmlformats.org/drawingml/2006/main" xmlns:pic="http://schemas.openxmlformats.org/drawingml/2006/picture">
            <wp:extent cx="5303520" cy="2139017"/>
            <wp:docPr id="3" name="Picture 3"/>
            <wp:cNvGraphicFramePr>
              <a:graphicFrameLocks noChangeAspect="1"/>
            </wp:cNvGraphicFramePr>
            <a:graphic>
              <a:graphicData uri="http://schemas.openxmlformats.org/drawingml/2006/picture">
                <pic:pic>
                  <pic:nvPicPr>
                    <pic:cNvPr id="0" name="evidence_package_fusion.png"/>
                    <pic:cNvPicPr/>
                  </pic:nvPicPr>
                  <pic:blipFill>
                    <a:blip r:embed="rId11"/>
                    <a:stretch>
                      <a:fillRect/>
                    </a:stretch>
                  </pic:blipFill>
                  <pic:spPr>
                    <a:xfrm>
                      <a:off x="0" y="0"/>
                      <a:ext cx="5303520" cy="2139017"/>
                    </a:xfrm>
                    <a:prstGeom prst="rect"/>
                  </pic:spPr>
                </pic:pic>
              </a:graphicData>
            </a:graphic>
          </wp:inline>
        </w:drawing>
      </w:r>
    </w:p>
    <w:p>
      <w:pPr>
        <w:jc w:val="center"/>
      </w:pPr>
      <w:r>
        <w:rPr>
          <w:i/>
          <w:sz w:val="18"/>
        </w:rPr>
        <w:t>Figure 3: 3-Layer Evidence Fusion &amp; AI Forensic Reasoning (Independent L1, L2, L3 breakdown with explainable rationale)</w:t>
      </w:r>
    </w:p>
    <w:p>
      <w:pPr>
        <w:spacing w:after="40"/>
      </w:pPr>
    </w:p>
    <w:p>
      <w:pPr>
        <w:jc w:val="center"/>
      </w:pPr>
      <w:r>
        <w:drawing>
          <wp:inline xmlns:a="http://schemas.openxmlformats.org/drawingml/2006/main" xmlns:pic="http://schemas.openxmlformats.org/drawingml/2006/picture">
            <wp:extent cx="5303520" cy="2413516"/>
            <wp:docPr id="4" name="Picture 4"/>
            <wp:cNvGraphicFramePr>
              <a:graphicFrameLocks noChangeAspect="1"/>
            </wp:cNvGraphicFramePr>
            <a:graphic>
              <a:graphicData uri="http://schemas.openxmlformats.org/drawingml/2006/picture">
                <pic:pic>
                  <pic:nvPicPr>
                    <pic:cNvPr id="0" name="nlp_behavioral_attribution.png"/>
                    <pic:cNvPicPr/>
                  </pic:nvPicPr>
                  <pic:blipFill>
                    <a:blip r:embed="rId12"/>
                    <a:stretch>
                      <a:fillRect/>
                    </a:stretch>
                  </pic:blipFill>
                  <pic:spPr>
                    <a:xfrm>
                      <a:off x="0" y="0"/>
                      <a:ext cx="5303520" cy="2413516"/>
                    </a:xfrm>
                    <a:prstGeom prst="rect"/>
                  </pic:spPr>
                </pic:pic>
              </a:graphicData>
            </a:graphic>
          </wp:inline>
        </w:drawing>
      </w:r>
    </w:p>
    <w:p>
      <w:pPr>
        <w:jc w:val="center"/>
      </w:pPr>
      <w:r>
        <w:rPr>
          <w:i/>
          <w:sz w:val="18"/>
        </w:rPr>
        <w:t>Figure 4: Multi-Script NLP Threat Signals &amp; Attribution Engine (6 behavioral vector meters and threat actor profiling)</w:t>
      </w:r>
    </w:p>
    <w:p>
      <w:pPr>
        <w:spacing w:after="40"/>
      </w:pPr>
    </w:p>
    <w:p>
      <w:pPr>
        <w:jc w:val="center"/>
      </w:pPr>
      <w:r>
        <w:drawing>
          <wp:inline xmlns:a="http://schemas.openxmlformats.org/drawingml/2006/main" xmlns:pic="http://schemas.openxmlformats.org/drawingml/2006/picture">
            <wp:extent cx="5303520" cy="2532638"/>
            <wp:docPr id="5" name="Picture 5"/>
            <wp:cNvGraphicFramePr>
              <a:graphicFrameLocks noChangeAspect="1"/>
            </wp:cNvGraphicFramePr>
            <a:graphic>
              <a:graphicData uri="http://schemas.openxmlformats.org/drawingml/2006/picture">
                <pic:pic>
                  <pic:nvPicPr>
                    <pic:cNvPr id="0" name="graph_intelligence.png"/>
                    <pic:cNvPicPr/>
                  </pic:nvPicPr>
                  <pic:blipFill>
                    <a:blip r:embed="rId13"/>
                    <a:stretch>
                      <a:fillRect/>
                    </a:stretch>
                  </pic:blipFill>
                  <pic:spPr>
                    <a:xfrm>
                      <a:off x="0" y="0"/>
                      <a:ext cx="5303520" cy="2532638"/>
                    </a:xfrm>
                    <a:prstGeom prst="rect"/>
                  </pic:spPr>
                </pic:pic>
              </a:graphicData>
            </a:graphic>
          </wp:inline>
        </w:drawing>
      </w:r>
    </w:p>
    <w:p>
      <w:pPr>
        <w:jc w:val="center"/>
      </w:pPr>
      <w:r>
        <w:rPr>
          <w:i/>
          <w:sz w:val="18"/>
        </w:rPr>
        <w:t>Figure 5: Interactive IOC Campaign Knowledge Graph (Cytoscape relationship graph connecting Case, Sender, IP, Domain)</w:t>
      </w:r>
    </w:p>
    <w:p>
      <w:pPr>
        <w:spacing w:after="40"/>
      </w:pPr>
    </w:p>
    <w:p>
      <w:pPr>
        <w:jc w:val="center"/>
      </w:pPr>
      <w:r>
        <w:drawing>
          <wp:inline xmlns:a="http://schemas.openxmlformats.org/drawingml/2006/main" xmlns:pic="http://schemas.openxmlformats.org/drawingml/2006/picture">
            <wp:extent cx="5303520" cy="2486025"/>
            <wp:docPr id="6" name="Picture 6"/>
            <wp:cNvGraphicFramePr>
              <a:graphicFrameLocks noChangeAspect="1"/>
            </wp:cNvGraphicFramePr>
            <a:graphic>
              <a:graphicData uri="http://schemas.openxmlformats.org/drawingml/2006/picture">
                <pic:pic>
                  <pic:nvPicPr>
                    <pic:cNvPr id="0" name="url_attachment_findings.png"/>
                    <pic:cNvPicPr/>
                  </pic:nvPicPr>
                  <pic:blipFill>
                    <a:blip r:embed="rId14"/>
                    <a:stretch>
                      <a:fillRect/>
                    </a:stretch>
                  </pic:blipFill>
                  <pic:spPr>
                    <a:xfrm>
                      <a:off x="0" y="0"/>
                      <a:ext cx="5303520" cy="2486025"/>
                    </a:xfrm>
                    <a:prstGeom prst="rect"/>
                  </pic:spPr>
                </pic:pic>
              </a:graphicData>
            </a:graphic>
          </wp:inline>
        </w:drawing>
      </w:r>
    </w:p>
    <w:p>
      <w:pPr>
        <w:jc w:val="center"/>
      </w:pPr>
      <w:r>
        <w:rPr>
          <w:i/>
          <w:sz w:val="18"/>
        </w:rPr>
        <w:t>Figure 6: Malicious URL Unmasking &amp; Attachment Forensics (Redirect traversal from bit.ly and VirusTotal scoring)</w:t>
      </w:r>
    </w:p>
    <w:p>
      <w:pPr>
        <w:spacing w:after="40"/>
      </w:pPr>
    </w:p>
    <w:p>
      <w:pPr>
        <w:jc w:val="center"/>
      </w:pPr>
      <w:r>
        <w:drawing>
          <wp:inline xmlns:a="http://schemas.openxmlformats.org/drawingml/2006/main" xmlns:pic="http://schemas.openxmlformats.org/drawingml/2006/picture">
            <wp:extent cx="5303520" cy="3060918"/>
            <wp:docPr id="7" name="Picture 7"/>
            <wp:cNvGraphicFramePr>
              <a:graphicFrameLocks noChangeAspect="1"/>
            </wp:cNvGraphicFramePr>
            <a:graphic>
              <a:graphicData uri="http://schemas.openxmlformats.org/drawingml/2006/picture">
                <pic:pic>
                  <pic:nvPicPr>
                    <pic:cNvPr id="0" name="case_history.png"/>
                    <pic:cNvPicPr/>
                  </pic:nvPicPr>
                  <pic:blipFill>
                    <a:blip r:embed="rId15"/>
                    <a:stretch>
                      <a:fillRect/>
                    </a:stretch>
                  </pic:blipFill>
                  <pic:spPr>
                    <a:xfrm>
                      <a:off x="0" y="0"/>
                      <a:ext cx="5303520" cy="3060918"/>
                    </a:xfrm>
                    <a:prstGeom prst="rect"/>
                  </pic:spPr>
                </pic:pic>
              </a:graphicData>
            </a:graphic>
          </wp:inline>
        </w:drawing>
      </w:r>
    </w:p>
    <w:p>
      <w:pPr>
        <w:jc w:val="center"/>
      </w:pPr>
      <w:r>
        <w:rPr>
          <w:i/>
          <w:sz w:val="18"/>
        </w:rPr>
        <w:t>Figure 7: Searchable Forensic Case History &amp; Database Archive (Stored investigations with search, filters, instant re-opening)</w:t>
      </w:r>
    </w:p>
    <w:p>
      <w:pPr>
        <w:spacing w:after="40"/>
      </w:pPr>
    </w:p>
    <w:p>
      <w:pPr>
        <w:jc w:val="center"/>
      </w:pPr>
      <w:r>
        <w:drawing>
          <wp:inline xmlns:a="http://schemas.openxmlformats.org/drawingml/2006/main" xmlns:pic="http://schemas.openxmlformats.org/drawingml/2006/picture">
            <wp:extent cx="5303520" cy="5160733"/>
            <wp:docPr id="8" name="Picture 8"/>
            <wp:cNvGraphicFramePr>
              <a:graphicFrameLocks noChangeAspect="1"/>
            </wp:cNvGraphicFramePr>
            <a:graphic>
              <a:graphicData uri="http://schemas.openxmlformats.org/drawingml/2006/picture">
                <pic:pic>
                  <pic:nvPicPr>
                    <pic:cNvPr id="0" name="court_admissible_report.png"/>
                    <pic:cNvPicPr/>
                  </pic:nvPicPr>
                  <pic:blipFill>
                    <a:blip r:embed="rId16"/>
                    <a:stretch>
                      <a:fillRect/>
                    </a:stretch>
                  </pic:blipFill>
                  <pic:spPr>
                    <a:xfrm>
                      <a:off x="0" y="0"/>
                      <a:ext cx="5303520" cy="5160733"/>
                    </a:xfrm>
                    <a:prstGeom prst="rect"/>
                  </pic:spPr>
                </pic:pic>
              </a:graphicData>
            </a:graphic>
          </wp:inline>
        </w:drawing>
      </w:r>
    </w:p>
    <w:p>
      <w:pPr>
        <w:jc w:val="center"/>
      </w:pPr>
      <w:r>
        <w:rPr>
          <w:i/>
          <w:sz w:val="18"/>
        </w:rPr>
        <w:t>Figure 8: Section 63 BSA 2023 Certified Court Forensic Report (Generated legal PDF citing BSA 2023 and IT Act 2000)</w:t>
      </w:r>
    </w:p>
    <w:p>
      <w:pPr>
        <w:spacing w:after="40"/>
      </w:pPr>
    </w:p>
    <w:p>
      <w:pPr>
        <w:jc w:val="center"/>
      </w:pPr>
      <w:r>
        <w:drawing>
          <wp:inline xmlns:a="http://schemas.openxmlformats.org/drawingml/2006/main" xmlns:pic="http://schemas.openxmlformats.org/drawingml/2006/picture">
            <wp:extent cx="5303520" cy="2823633"/>
            <wp:docPr id="9" name="Picture 9"/>
            <wp:cNvGraphicFramePr>
              <a:graphicFrameLocks noChangeAspect="1"/>
            </wp:cNvGraphicFramePr>
            <a:graphic>
              <a:graphicData uri="http://schemas.openxmlformats.org/drawingml/2006/picture">
                <pic:pic>
                  <pic:nvPicPr>
                    <pic:cNvPr id="0" name="live_monitor.png"/>
                    <pic:cNvPicPr/>
                  </pic:nvPicPr>
                  <pic:blipFill>
                    <a:blip r:embed="rId17"/>
                    <a:stretch>
                      <a:fillRect/>
                    </a:stretch>
                  </pic:blipFill>
                  <pic:spPr>
                    <a:xfrm>
                      <a:off x="0" y="0"/>
                      <a:ext cx="5303520" cy="2823633"/>
                    </a:xfrm>
                    <a:prstGeom prst="rect"/>
                  </pic:spPr>
                </pic:pic>
              </a:graphicData>
            </a:graphic>
          </wp:inline>
        </w:drawing>
      </w:r>
    </w:p>
    <w:p>
      <w:pPr>
        <w:jc w:val="center"/>
      </w:pPr>
      <w:r>
        <w:rPr>
          <w:i/>
          <w:sz w:val="18"/>
        </w:rPr>
        <w:t>Figure 9: Live Mailbox Monitor (Automated IMAP Ingestion polling unseen mail and triaging alerts in real-time)</w:t>
      </w:r>
    </w:p>
    <w:p>
      <w:pPr>
        <w:pStyle w:val="Heading1"/>
      </w:pPr>
      <w:r>
        <w:t>6. Experimental Verification, Testing &amp; Benchmarking</w:t>
      </w:r>
    </w:p>
    <w:p>
      <w:r>
        <w:t>TRINETRA has been subjected to rigorous automated unit, integration, and performance testing:</w:t>
        <w:br/>
        <w:t>• Pytest Suite: 11 automated test cases covering MIME parsing, SPF/DKIM verification, Hop-0 origin extraction, risk fusion calculation, offline fallback NLP, and Section 63 BSA PDF generation.</w:t>
        <w:br/>
        <w:t>• Pass Rate: 100% (11/11 tests passed in 30.81s).</w:t>
        <w:br/>
        <w:t>• Frontend Build: React 19 + Vite compiled with 0 errors (1,927 modules transformed in 3.06s).</w:t>
        <w:br/>
        <w:t>• Offline Resilience: Verified zero-network functionality using local MaxMind databases and heuristic pattern banks.</w:t>
      </w:r>
    </w:p>
    <w:p>
      <w:r>
        <w:t>Execution Latency Benchmarks (Intel Core i7 / 16 GB RAM / Windows 11):</w:t>
      </w:r>
    </w:p>
    <w:tbl>
      <w:tblPr>
        <w:tblW w:type="auto" w:w="0"/>
        <w:jc w:val="center"/>
        <w:tblLayout w:type="fixed"/>
        <w:tblLook w:firstColumn="1" w:firstRow="1" w:lastColumn="0" w:lastRow="0" w:noHBand="0" w:noVBand="1" w:val="04A0"/>
      </w:tblPr>
      <w:tblGrid>
        <w:gridCol w:w="3360"/>
        <w:gridCol w:w="3360"/>
        <w:gridCol w:w="3360"/>
      </w:tblGrid>
      <w:tr>
        <w:tc>
          <w:tcPr>
            <w:tcW w:type="dxa" w:w="3600"/>
            <w:shd w:fill="0F2B48"/>
          </w:tcPr>
          <w:p>
            <w:r>
              <w:rPr>
                <w:b/>
                <w:color w:val="FFFFFF"/>
                <w:sz w:val="19"/>
              </w:rPr>
              <w:t>Pipeline Stage</w:t>
            </w:r>
          </w:p>
        </w:tc>
        <w:tc>
          <w:tcPr>
            <w:tcW w:type="dxa" w:w="3600"/>
            <w:shd w:fill="0F2B48"/>
          </w:tcPr>
          <w:p>
            <w:r>
              <w:rPr>
                <w:b/>
                <w:color w:val="FFFFFF"/>
                <w:sz w:val="19"/>
              </w:rPr>
              <w:t>Execution Mechanism</w:t>
            </w:r>
          </w:p>
        </w:tc>
        <w:tc>
          <w:tcPr>
            <w:tcW w:type="dxa" w:w="2160"/>
            <w:shd w:fill="0F2B48"/>
          </w:tcPr>
          <w:p>
            <w:r>
              <w:rPr>
                <w:b/>
                <w:color w:val="FFFFFF"/>
                <w:sz w:val="19"/>
              </w:rPr>
              <w:t>Mean Latency</w:t>
            </w:r>
          </w:p>
        </w:tc>
      </w:tr>
      <w:tr>
        <w:tc>
          <w:tcPr>
            <w:tcW w:type="dxa" w:w="3600"/>
            <w:shd w:fill="F4F7FA"/>
          </w:tcPr>
          <w:p>
            <w:r>
              <w:rPr>
                <w:sz w:val="18"/>
              </w:rPr>
              <w:t>MIME Parsing &amp; SHA-256 Hashing</w:t>
            </w:r>
          </w:p>
        </w:tc>
        <w:tc>
          <w:tcPr>
            <w:tcW w:type="dxa" w:w="3600"/>
            <w:shd w:fill="F4F7FA"/>
          </w:tcPr>
          <w:p>
            <w:r>
              <w:rPr>
                <w:sz w:val="18"/>
              </w:rPr>
              <w:t>Python email + hashlib</w:t>
            </w:r>
          </w:p>
        </w:tc>
        <w:tc>
          <w:tcPr>
            <w:tcW w:type="dxa" w:w="2160"/>
            <w:shd w:fill="F4F7FA"/>
          </w:tcPr>
          <w:p>
            <w:r>
              <w:rPr>
                <w:sz w:val="18"/>
              </w:rPr>
              <w:t>11.4 ms</w:t>
            </w:r>
          </w:p>
        </w:tc>
      </w:tr>
      <w:tr>
        <w:tc>
          <w:tcPr>
            <w:tcW w:type="dxa" w:w="3600"/>
          </w:tcPr>
          <w:p>
            <w:r>
              <w:rPr>
                <w:sz w:val="18"/>
              </w:rPr>
              <w:t>Hop-0 Bottom-Up Extraction</w:t>
            </w:r>
          </w:p>
        </w:tc>
        <w:tc>
          <w:tcPr>
            <w:tcW w:type="dxa" w:w="3600"/>
          </w:tcPr>
          <w:p>
            <w:r>
              <w:rPr>
                <w:sz w:val="18"/>
              </w:rPr>
              <w:t>Reverse Regex + Subnet Classifier</w:t>
            </w:r>
          </w:p>
        </w:tc>
        <w:tc>
          <w:tcPr>
            <w:tcW w:type="dxa" w:w="2160"/>
          </w:tcPr>
          <w:p>
            <w:r>
              <w:rPr>
                <w:sz w:val="18"/>
              </w:rPr>
              <w:t>6.2 ms</w:t>
            </w:r>
          </w:p>
        </w:tc>
      </w:tr>
      <w:tr>
        <w:tc>
          <w:tcPr>
            <w:tcW w:type="dxa" w:w="3600"/>
            <w:shd w:fill="F4F7FA"/>
          </w:tcPr>
          <w:p>
            <w:r>
              <w:rPr>
                <w:sz w:val="18"/>
              </w:rPr>
              <w:t>Offline GeoIP &amp; ASN Lookup</w:t>
            </w:r>
          </w:p>
        </w:tc>
        <w:tc>
          <w:tcPr>
            <w:tcW w:type="dxa" w:w="3600"/>
            <w:shd w:fill="F4F7FA"/>
          </w:tcPr>
          <w:p>
            <w:r>
              <w:rPr>
                <w:sz w:val="18"/>
              </w:rPr>
              <w:t>MaxMind GeoLite2 Binary mmdb</w:t>
            </w:r>
          </w:p>
        </w:tc>
        <w:tc>
          <w:tcPr>
            <w:tcW w:type="dxa" w:w="2160"/>
            <w:shd w:fill="F4F7FA"/>
          </w:tcPr>
          <w:p>
            <w:r>
              <w:rPr>
                <w:sz w:val="18"/>
              </w:rPr>
              <w:t>1.8 ms</w:t>
            </w:r>
          </w:p>
        </w:tc>
      </w:tr>
      <w:tr>
        <w:tc>
          <w:tcPr>
            <w:tcW w:type="dxa" w:w="3600"/>
          </w:tcPr>
          <w:p>
            <w:r>
              <w:rPr>
                <w:sz w:val="18"/>
              </w:rPr>
              <w:t>Offline Indic Regex Threat Cascade</w:t>
            </w:r>
          </w:p>
        </w:tc>
        <w:tc>
          <w:tcPr>
            <w:tcW w:type="dxa" w:w="3600"/>
          </w:tcPr>
          <w:p>
            <w:r>
              <w:rPr>
                <w:sz w:val="18"/>
              </w:rPr>
              <w:t>Compiled Multi-Pattern Regex</w:t>
            </w:r>
          </w:p>
        </w:tc>
        <w:tc>
          <w:tcPr>
            <w:tcW w:type="dxa" w:w="2160"/>
          </w:tcPr>
          <w:p>
            <w:r>
              <w:rPr>
                <w:sz w:val="18"/>
              </w:rPr>
              <w:t>4.5 ms</w:t>
            </w:r>
          </w:p>
        </w:tc>
      </w:tr>
      <w:tr>
        <w:tc>
          <w:tcPr>
            <w:tcW w:type="dxa" w:w="3600"/>
            <w:shd w:fill="F4F7FA"/>
          </w:tcPr>
          <w:p>
            <w:r>
              <w:rPr>
                <w:sz w:val="18"/>
              </w:rPr>
              <w:t>Cloud AI Threat Reasoning</w:t>
            </w:r>
          </w:p>
        </w:tc>
        <w:tc>
          <w:tcPr>
            <w:tcW w:type="dxa" w:w="3600"/>
            <w:shd w:fill="F4F7FA"/>
          </w:tcPr>
          <w:p>
            <w:r>
              <w:rPr>
                <w:sz w:val="18"/>
              </w:rPr>
              <w:t>Google Gemini API (Async HTTP)</w:t>
            </w:r>
          </w:p>
        </w:tc>
        <w:tc>
          <w:tcPr>
            <w:tcW w:type="dxa" w:w="2160"/>
            <w:shd w:fill="F4F7FA"/>
          </w:tcPr>
          <w:p>
            <w:r>
              <w:rPr>
                <w:sz w:val="18"/>
              </w:rPr>
              <w:t>1,420 ms</w:t>
            </w:r>
          </w:p>
        </w:tc>
      </w:tr>
      <w:tr>
        <w:tc>
          <w:tcPr>
            <w:tcW w:type="dxa" w:w="3600"/>
          </w:tcPr>
          <w:p>
            <w:r>
              <w:rPr>
                <w:sz w:val="18"/>
              </w:rPr>
              <w:t>Graph IOC Edge Construction</w:t>
            </w:r>
          </w:p>
        </w:tc>
        <w:tc>
          <w:tcPr>
            <w:tcW w:type="dxa" w:w="3600"/>
          </w:tcPr>
          <w:p>
            <w:r>
              <w:rPr>
                <w:sz w:val="18"/>
              </w:rPr>
              <w:t>In-Memory Cytoscape/NetworkX</w:t>
            </w:r>
          </w:p>
        </w:tc>
        <w:tc>
          <w:tcPr>
            <w:tcW w:type="dxa" w:w="2160"/>
          </w:tcPr>
          <w:p>
            <w:r>
              <w:rPr>
                <w:sz w:val="18"/>
              </w:rPr>
              <w:t>8.1 ms</w:t>
            </w:r>
          </w:p>
        </w:tc>
      </w:tr>
      <w:tr>
        <w:tc>
          <w:tcPr>
            <w:tcW w:type="dxa" w:w="3600"/>
            <w:shd w:fill="F4F7FA"/>
          </w:tcPr>
          <w:p>
            <w:r>
              <w:rPr>
                <w:sz w:val="18"/>
              </w:rPr>
              <w:t>Section 63 BSA PDF Dossier</w:t>
            </w:r>
          </w:p>
        </w:tc>
        <w:tc>
          <w:tcPr>
            <w:tcW w:type="dxa" w:w="3600"/>
            <w:shd w:fill="F4F7FA"/>
          </w:tcPr>
          <w:p>
            <w:r>
              <w:rPr>
                <w:sz w:val="18"/>
              </w:rPr>
              <w:t>ReportLab Platypus Engine</w:t>
            </w:r>
          </w:p>
        </w:tc>
        <w:tc>
          <w:tcPr>
            <w:tcW w:type="dxa" w:w="2160"/>
            <w:shd w:fill="F4F7FA"/>
          </w:tcPr>
          <w:p>
            <w:r>
              <w:rPr>
                <w:sz w:val="18"/>
              </w:rPr>
              <w:t>890 ms</w:t>
            </w:r>
          </w:p>
        </w:tc>
      </w:tr>
    </w:tbl>
    <w:p>
      <w:pPr>
        <w:pStyle w:val="Heading1"/>
      </w:pPr>
      <w:r>
        <w:t>7. Limitations &amp; Future Roadmap</w:t>
      </w:r>
    </w:p>
    <w:p>
      <w:r>
        <w:t>• IP Geolocation Precision: Database-driven IP geolocation is approximate (&gt;95% country-level, 50–80% city-level). TRINETRA addresses this by displaying calibrated confidence bounds.</w:t>
        <w:br/>
        <w:t>• Anonymizer Obfuscation: Tor exit nodes and commercial VPNs obscure true client IPs. TRINETRA flags anonymizer infrastructure rather than falsely claiming physical resolution.</w:t>
        <w:br/>
        <w:t>• Pre-Delivery Gateway Interception: The prototype demonstrates artifact-based ingestion. Future enterprise deployment will integrate TRINETRA as an inline SMTP Milter proxy (Postfix/Exim) or via Microsoft 365 Graph API webhooks.</w:t>
        <w:br/>
        <w:t>• Sandboxing &amp; CERT-In Sharing: Planned integration with CAPE/Cuckoo Sandbox for live attachment execution and automated STIX 2.1 / TAXII threat feed sharing with CERT-In.</w:t>
      </w:r>
    </w:p>
    <w:p>
      <w:pPr>
        <w:pStyle w:val="Heading1"/>
      </w:pPr>
      <w:r>
        <w:t>8. Statutory, Legal &amp; Academic References</w:t>
      </w:r>
    </w:p>
    <w:p>
      <w:r>
        <w:t>1. Atlam, H. F., &amp; Oluwatimilehin, O. (2023). Business Email Compromise Phishing Detection Based on Machine Learning: A Systematic Literature Review. Electronics, 12(1), 42. https://doi.org/10.3390/electronics12010042</w:t>
        <w:br/>
        <w:t>2. Mansoori, M., &amp; Welch, I. (2020). How do they find us? A study of geolocation tracking techniques of malicious web sites. Computers &amp; Security, 97, 101948. https://doi.org/10.1016/j.cose.2020.101948</w:t>
        <w:br/>
        <w:t>3. IEEE Xplore (2024). Geolocation Based E-Mail Forensics: A Timeline Analysis Approach. Document ID: 11263637.</w:t>
        <w:br/>
        <w:t>4. Government of India (2023). The Bharatiya Sakshya Adhiniyam, 2023 (Act No. 47 of 2023), Section 63: Admissibility of Electronic Records.</w:t>
        <w:br/>
        <w:t>5. Government of India (2023). The Digital Personal Data Protection Act, 2023 (Act No. 22 of 2023).</w:t>
        <w:br/>
        <w:t>6. Government of India (2000). The Information Technology Act, 2000, Sections 43, 66, 66C &amp; 66D.</w:t>
        <w:br/>
        <w:t>7. Smart India Hackathon 2026. Problem Statement SIH26106: AI-Powered Email Threat Detection, GeoLocation and Forensic Intelligence Platform.</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