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C9E13" w14:textId="77777777" w:rsidR="00840757" w:rsidRPr="00840757" w:rsidRDefault="00840757" w:rsidP="00840757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212121"/>
        </w:rPr>
      </w:pPr>
      <w:r w:rsidRPr="00840757">
        <w:rPr>
          <w:rFonts w:ascii="Arial" w:hAnsi="Arial" w:cs="Arial"/>
          <w:b/>
          <w:bCs/>
          <w:color w:val="212121"/>
        </w:rPr>
        <w:t>Research:</w:t>
      </w:r>
      <w:r w:rsidRPr="00840757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840757">
        <w:rPr>
          <w:rFonts w:ascii="Arial" w:hAnsi="Arial" w:cs="Arial"/>
          <w:color w:val="212121"/>
        </w:rPr>
        <w:t>Introduction, Methods, Results, Discussion</w:t>
      </w:r>
    </w:p>
    <w:p w14:paraId="538BDF68" w14:textId="77777777" w:rsidR="00FA1503" w:rsidRPr="00840757" w:rsidRDefault="00FA1503">
      <w:pPr>
        <w:spacing w:after="0" w:line="360" w:lineRule="auto"/>
        <w:rPr>
          <w:rFonts w:ascii="Arial" w:hAnsi="Arial" w:cs="Arial"/>
        </w:rPr>
      </w:pPr>
    </w:p>
    <w:p w14:paraId="38066BCD" w14:textId="77777777" w:rsidR="00FA1503" w:rsidRDefault="00000000">
      <w:pPr>
        <w:spacing w:before="157" w:after="157" w:line="268" w:lineRule="auto"/>
        <w:rPr>
          <w:rFonts w:ascii="Arial" w:eastAsia="inter" w:hAnsi="Arial" w:cs="Arial"/>
          <w:b/>
          <w:color w:val="000000"/>
          <w:sz w:val="39"/>
          <w:lang w:val="en-US"/>
        </w:rPr>
      </w:pPr>
      <w:r w:rsidRPr="00840757">
        <w:rPr>
          <w:rFonts w:ascii="Arial" w:eastAsia="inter" w:hAnsi="Arial" w:cs="Arial"/>
          <w:b/>
          <w:color w:val="000000"/>
          <w:sz w:val="39"/>
        </w:rPr>
        <w:t xml:space="preserve">GABAA </w:t>
      </w:r>
      <w:proofErr w:type="spellStart"/>
      <w:r w:rsidRPr="00840757">
        <w:rPr>
          <w:rFonts w:ascii="Arial" w:eastAsia="inter" w:hAnsi="Arial" w:cs="Arial"/>
          <w:b/>
          <w:color w:val="000000"/>
          <w:sz w:val="39"/>
        </w:rPr>
        <w:t>Receptor</w:t>
      </w:r>
      <w:proofErr w:type="spellEnd"/>
      <w:r w:rsidRPr="00840757">
        <w:rPr>
          <w:rFonts w:ascii="Arial" w:eastAsia="inter" w:hAnsi="Arial" w:cs="Arial"/>
          <w:b/>
          <w:color w:val="000000"/>
          <w:sz w:val="39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39"/>
        </w:rPr>
        <w:t>Subunit</w:t>
      </w:r>
      <w:proofErr w:type="spellEnd"/>
      <w:r w:rsidRPr="00840757">
        <w:rPr>
          <w:rFonts w:ascii="Arial" w:eastAsia="inter" w:hAnsi="Arial" w:cs="Arial"/>
          <w:b/>
          <w:color w:val="000000"/>
          <w:sz w:val="39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39"/>
        </w:rPr>
        <w:t>Combinations</w:t>
      </w:r>
      <w:proofErr w:type="spellEnd"/>
      <w:r w:rsidRPr="00840757">
        <w:rPr>
          <w:rFonts w:ascii="Arial" w:eastAsia="inter" w:hAnsi="Arial" w:cs="Arial"/>
          <w:b/>
          <w:color w:val="000000"/>
          <w:sz w:val="39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39"/>
        </w:rPr>
        <w:t>as</w:t>
      </w:r>
      <w:proofErr w:type="spellEnd"/>
      <w:r w:rsidRPr="00840757">
        <w:rPr>
          <w:rFonts w:ascii="Arial" w:eastAsia="inter" w:hAnsi="Arial" w:cs="Arial"/>
          <w:b/>
          <w:color w:val="000000"/>
          <w:sz w:val="39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39"/>
        </w:rPr>
        <w:t>Candidates</w:t>
      </w:r>
      <w:proofErr w:type="spellEnd"/>
      <w:r w:rsidRPr="00840757">
        <w:rPr>
          <w:rFonts w:ascii="Arial" w:eastAsia="inter" w:hAnsi="Arial" w:cs="Arial"/>
          <w:b/>
          <w:color w:val="000000"/>
          <w:sz w:val="39"/>
        </w:rPr>
        <w:t xml:space="preserve"> for </w:t>
      </w:r>
      <w:proofErr w:type="spellStart"/>
      <w:r w:rsidRPr="00840757">
        <w:rPr>
          <w:rFonts w:ascii="Arial" w:eastAsia="inter" w:hAnsi="Arial" w:cs="Arial"/>
          <w:b/>
          <w:color w:val="000000"/>
          <w:sz w:val="39"/>
        </w:rPr>
        <w:t>GABAslow</w:t>
      </w:r>
      <w:proofErr w:type="spellEnd"/>
      <w:r w:rsidRPr="00840757">
        <w:rPr>
          <w:rFonts w:ascii="Arial" w:eastAsia="inter" w:hAnsi="Arial" w:cs="Arial"/>
          <w:b/>
          <w:color w:val="000000"/>
          <w:sz w:val="39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39"/>
        </w:rPr>
        <w:t>Expression</w:t>
      </w:r>
      <w:proofErr w:type="spellEnd"/>
    </w:p>
    <w:p w14:paraId="52D12883" w14:textId="77777777" w:rsidR="00840757" w:rsidRDefault="00840757">
      <w:pPr>
        <w:spacing w:before="157" w:after="157" w:line="268" w:lineRule="auto"/>
        <w:rPr>
          <w:rFonts w:ascii="Arial" w:eastAsia="inter" w:hAnsi="Arial" w:cs="Arial"/>
          <w:b/>
          <w:color w:val="000000"/>
          <w:sz w:val="39"/>
          <w:lang w:val="en-US"/>
        </w:rPr>
      </w:pPr>
    </w:p>
    <w:p w14:paraId="0F7F550F" w14:textId="77777777" w:rsidR="00840757" w:rsidRPr="00840757" w:rsidRDefault="00840757">
      <w:pPr>
        <w:spacing w:before="157" w:after="157" w:line="268" w:lineRule="auto"/>
        <w:rPr>
          <w:rFonts w:ascii="Arial" w:hAnsi="Arial" w:cs="Arial"/>
          <w:lang w:val="en-US"/>
        </w:rPr>
      </w:pPr>
    </w:p>
    <w:p w14:paraId="47FE5B1F" w14:textId="77777777" w:rsidR="008D3660" w:rsidRPr="00840757" w:rsidRDefault="00000000" w:rsidP="008D3660">
      <w:pPr>
        <w:numPr>
          <w:ilvl w:val="0"/>
          <w:numId w:val="1"/>
        </w:numPr>
        <w:spacing w:after="210" w:line="360" w:lineRule="auto"/>
        <w:rPr>
          <w:rFonts w:ascii="Arial" w:hAnsi="Arial" w:cs="Arial"/>
        </w:rPr>
      </w:pPr>
      <w:r w:rsidRPr="00840757">
        <w:rPr>
          <w:rFonts w:ascii="Arial" w:eastAsia="inter" w:hAnsi="Arial" w:cs="Arial"/>
          <w:color w:val="000000"/>
        </w:rPr>
        <w:t>GABAA-</w:t>
      </w:r>
      <w:proofErr w:type="spellStart"/>
      <w:r w:rsidRPr="00840757">
        <w:rPr>
          <w:rFonts w:ascii="Arial" w:eastAsia="inter" w:hAnsi="Arial" w:cs="Arial"/>
          <w:color w:val="000000"/>
        </w:rPr>
        <w:t>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(</w:t>
      </w:r>
      <w:proofErr w:type="spellStart"/>
      <w:r w:rsidRPr="00840757">
        <w:rPr>
          <w:rFonts w:ascii="Arial" w:eastAsia="inter" w:hAnsi="Arial" w:cs="Arial"/>
          <w:color w:val="000000"/>
        </w:rPr>
        <w:t>GABAslow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) </w:t>
      </w:r>
      <w:proofErr w:type="spellStart"/>
      <w:r w:rsidRPr="00840757">
        <w:rPr>
          <w:rFonts w:ascii="Arial" w:eastAsia="inter" w:hAnsi="Arial" w:cs="Arial"/>
          <w:color w:val="000000"/>
        </w:rPr>
        <w:t>refers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 </w:t>
      </w:r>
      <w:proofErr w:type="spellStart"/>
      <w:r w:rsidRPr="00840757">
        <w:rPr>
          <w:rFonts w:ascii="Arial" w:eastAsia="inter" w:hAnsi="Arial" w:cs="Arial"/>
          <w:color w:val="000000"/>
        </w:rPr>
        <w:t>distinct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form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neurotransmission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characterized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kinetics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compared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typical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fast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</w:t>
      </w:r>
      <w:hyperlink r:id="rId5">
        <w:r w:rsidR="008D3660" w:rsidRPr="00840757">
          <w:rPr>
            <w:rFonts w:ascii="Arial" w:eastAsia="inter" w:hAnsi="Arial" w:cs="Arial"/>
            <w:sz w:val="18"/>
            <w:u w:val="single"/>
          </w:rPr>
          <w:t>https://pmc.ncbi.nlm.nih.gov/articles/PMC2666407/</w:t>
        </w:r>
      </w:hyperlink>
      <w:r w:rsidR="008D3660" w:rsidRPr="00840757">
        <w:rPr>
          <w:rFonts w:ascii="Arial" w:eastAsia="inter" w:hAnsi="Arial" w:cs="Arial"/>
          <w:color w:val="000000"/>
          <w:sz w:val="18"/>
        </w:rPr>
        <w:t xml:space="preserve">  </w:t>
      </w:r>
    </w:p>
    <w:p w14:paraId="69627B33" w14:textId="03FA96A6" w:rsidR="00FA1503" w:rsidRPr="00840757" w:rsidRDefault="00FA1503">
      <w:pPr>
        <w:spacing w:after="210" w:line="360" w:lineRule="auto"/>
        <w:rPr>
          <w:rFonts w:ascii="Arial" w:hAnsi="Arial" w:cs="Arial"/>
        </w:rPr>
      </w:pPr>
    </w:p>
    <w:p w14:paraId="021D4AAB" w14:textId="77777777" w:rsidR="00FA1503" w:rsidRPr="00840757" w:rsidRDefault="00000000">
      <w:pPr>
        <w:pStyle w:val="Heading2"/>
        <w:spacing w:before="0" w:after="210" w:line="360" w:lineRule="auto"/>
        <w:rPr>
          <w:rFonts w:ascii="Arial" w:hAnsi="Arial" w:cs="Arial"/>
          <w:sz w:val="24"/>
          <w:szCs w:val="24"/>
        </w:rPr>
      </w:pPr>
      <w:proofErr w:type="spellStart"/>
      <w:r w:rsidRPr="00840757">
        <w:rPr>
          <w:rFonts w:ascii="Arial" w:eastAsia="inter" w:hAnsi="Arial" w:cs="Arial"/>
          <w:color w:val="000000"/>
          <w:sz w:val="24"/>
          <w:szCs w:val="24"/>
        </w:rPr>
        <w:t>Comparison</w:t>
      </w:r>
      <w:proofErr w:type="spellEnd"/>
      <w:r w:rsidRPr="00840757">
        <w:rPr>
          <w:rFonts w:ascii="Arial" w:eastAsia="inter" w:hAnsi="Arial" w:cs="Arial"/>
          <w:color w:val="000000"/>
          <w:sz w:val="24"/>
          <w:szCs w:val="24"/>
        </w:rPr>
        <w:t>: GABA</w:t>
      </w:r>
      <w:r w:rsidRPr="00840757">
        <w:rPr>
          <w:rFonts w:ascii="Arial" w:eastAsia="inter" w:hAnsi="Arial" w:cs="Arial"/>
          <w:color w:val="000000"/>
          <w:sz w:val="24"/>
          <w:szCs w:val="24"/>
          <w:vertAlign w:val="subscript"/>
        </w:rPr>
        <w:t>A</w:t>
      </w:r>
      <w:r w:rsidRPr="00840757">
        <w:rPr>
          <w:rFonts w:ascii="Arial" w:eastAsia="inter" w:hAnsi="Arial" w:cs="Arial"/>
          <w:color w:val="000000"/>
          <w:sz w:val="24"/>
          <w:szCs w:val="24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  <w:sz w:val="24"/>
          <w:szCs w:val="24"/>
        </w:rPr>
        <w:t>Fast</w:t>
      </w:r>
      <w:proofErr w:type="spellEnd"/>
      <w:r w:rsidRPr="00840757">
        <w:rPr>
          <w:rFonts w:ascii="Arial" w:eastAsia="inter" w:hAnsi="Arial" w:cs="Arial"/>
          <w:color w:val="000000"/>
          <w:sz w:val="24"/>
          <w:szCs w:val="24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  <w:sz w:val="24"/>
          <w:szCs w:val="24"/>
        </w:rPr>
        <w:t>vs</w:t>
      </w:r>
      <w:proofErr w:type="spellEnd"/>
      <w:r w:rsidRPr="00840757">
        <w:rPr>
          <w:rFonts w:ascii="Arial" w:eastAsia="inter" w:hAnsi="Arial" w:cs="Arial"/>
          <w:color w:val="000000"/>
          <w:sz w:val="24"/>
          <w:szCs w:val="24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  <w:sz w:val="24"/>
          <w:szCs w:val="24"/>
        </w:rPr>
        <w:t>Slow</w:t>
      </w:r>
      <w:proofErr w:type="spellEnd"/>
    </w:p>
    <w:tbl>
      <w:tblPr>
        <w:tblW w:w="8874" w:type="dxa"/>
        <w:tblInd w:w="-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3262"/>
        <w:gridCol w:w="3123"/>
      </w:tblGrid>
      <w:tr w:rsidR="00FA1503" w:rsidRPr="00840757" w14:paraId="65429403" w14:textId="77777777">
        <w:trPr>
          <w:trHeight w:val="256"/>
        </w:trPr>
        <w:tc>
          <w:tcPr>
            <w:tcW w:w="2489" w:type="dxa"/>
            <w:tcBorders>
              <w:top w:val="single" w:sz="16" w:space="0" w:color="000000"/>
              <w:bottom w:val="single" w:sz="6" w:space="0" w:color="000000"/>
            </w:tcBorders>
            <w:vAlign w:val="bottom"/>
          </w:tcPr>
          <w:p w14:paraId="38C62E41" w14:textId="77777777" w:rsidR="00FA1503" w:rsidRPr="00840757" w:rsidRDefault="00000000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eastAsia="inter" w:hAnsi="Arial" w:cs="Arial"/>
                <w:b/>
                <w:bCs/>
                <w:color w:val="000000"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3262" w:type="dxa"/>
            <w:tcBorders>
              <w:top w:val="single" w:sz="16" w:space="0" w:color="000000"/>
              <w:bottom w:val="single" w:sz="6" w:space="0" w:color="000000"/>
            </w:tcBorders>
            <w:vAlign w:val="bottom"/>
          </w:tcPr>
          <w:p w14:paraId="25E94CEF" w14:textId="77777777" w:rsidR="00FA1503" w:rsidRPr="00840757" w:rsidRDefault="00000000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GABA</w:t>
            </w:r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bscript"/>
              </w:rPr>
              <w:t>A</w:t>
            </w:r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fast</w:t>
            </w:r>
            <w:proofErr w:type="spellEnd"/>
          </w:p>
        </w:tc>
        <w:tc>
          <w:tcPr>
            <w:tcW w:w="3123" w:type="dxa"/>
            <w:tcBorders>
              <w:top w:val="single" w:sz="16" w:space="0" w:color="000000"/>
              <w:bottom w:val="single" w:sz="6" w:space="0" w:color="000000"/>
            </w:tcBorders>
            <w:vAlign w:val="bottom"/>
          </w:tcPr>
          <w:p w14:paraId="023924BA" w14:textId="77777777" w:rsidR="00FA1503" w:rsidRPr="00840757" w:rsidRDefault="00000000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GABA</w:t>
            </w:r>
            <w:r w:rsidRPr="00840757">
              <w:rPr>
                <w:rFonts w:ascii="Arial" w:hAnsi="Arial" w:cs="Arial"/>
                <w:b/>
                <w:bCs/>
                <w:color w:val="000000"/>
                <w:vertAlign w:val="subscript"/>
              </w:rPr>
              <w:t xml:space="preserve">A </w:t>
            </w:r>
            <w:proofErr w:type="spellStart"/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slow</w:t>
            </w:r>
            <w:proofErr w:type="spellEnd"/>
          </w:p>
        </w:tc>
      </w:tr>
      <w:tr w:rsidR="00FA1503" w:rsidRPr="00840757" w14:paraId="4F4FD034" w14:textId="77777777">
        <w:trPr>
          <w:trHeight w:val="256"/>
        </w:trPr>
        <w:tc>
          <w:tcPr>
            <w:tcW w:w="248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463529E2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Rise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Decay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Kinetics</w:t>
            </w:r>
            <w:proofErr w:type="spellEnd"/>
          </w:p>
        </w:tc>
        <w:tc>
          <w:tcPr>
            <w:tcW w:w="3262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00949813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Rapid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milliseconds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23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F9AC3A1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Slow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tens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of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milliseconds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FA1503" w:rsidRPr="00840757" w14:paraId="476650C4" w14:textId="77777777">
        <w:trPr>
          <w:trHeight w:val="256"/>
        </w:trPr>
        <w:tc>
          <w:tcPr>
            <w:tcW w:w="248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43F34297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3262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64E83AE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Somatic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perisomatic</w:t>
            </w:r>
            <w:proofErr w:type="spellEnd"/>
          </w:p>
        </w:tc>
        <w:tc>
          <w:tcPr>
            <w:tcW w:w="3123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D1E8878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Dendritic</w:t>
            </w:r>
            <w:proofErr w:type="spellEnd"/>
          </w:p>
        </w:tc>
      </w:tr>
      <w:tr w:rsidR="00FA1503" w:rsidRPr="00840757" w14:paraId="0C497CBA" w14:textId="77777777">
        <w:trPr>
          <w:trHeight w:val="256"/>
        </w:trPr>
        <w:tc>
          <w:tcPr>
            <w:tcW w:w="248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3B353BB5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Interneuron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Origin</w:t>
            </w:r>
            <w:proofErr w:type="spellEnd"/>
          </w:p>
        </w:tc>
        <w:tc>
          <w:tcPr>
            <w:tcW w:w="3262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044053B1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Basket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cells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others</w:t>
            </w:r>
            <w:proofErr w:type="spellEnd"/>
          </w:p>
        </w:tc>
        <w:tc>
          <w:tcPr>
            <w:tcW w:w="3123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32D764F9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Specialized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interneurons</w:t>
            </w:r>
            <w:proofErr w:type="spellEnd"/>
          </w:p>
        </w:tc>
      </w:tr>
      <w:tr w:rsidR="00FA1503" w:rsidRPr="00840757" w14:paraId="3E7353FF" w14:textId="77777777">
        <w:trPr>
          <w:trHeight w:val="256"/>
        </w:trPr>
        <w:tc>
          <w:tcPr>
            <w:tcW w:w="248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7A429DFE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Functional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3262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8B422D7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Gamma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oscillations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fast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inhibition</w:t>
            </w:r>
            <w:proofErr w:type="spellEnd"/>
          </w:p>
        </w:tc>
        <w:tc>
          <w:tcPr>
            <w:tcW w:w="3123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1A97ED3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Theta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oscillations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slow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inhibition</w:t>
            </w:r>
            <w:proofErr w:type="spellEnd"/>
          </w:p>
        </w:tc>
      </w:tr>
      <w:tr w:rsidR="00FA1503" w:rsidRPr="00840757" w14:paraId="47A07877" w14:textId="77777777">
        <w:trPr>
          <w:trHeight w:val="256"/>
        </w:trPr>
        <w:tc>
          <w:tcPr>
            <w:tcW w:w="2489" w:type="dxa"/>
            <w:tcBorders>
              <w:top w:val="single" w:sz="6" w:space="0" w:color="999999"/>
              <w:bottom w:val="single" w:sz="16" w:space="0" w:color="000000"/>
            </w:tcBorders>
            <w:vAlign w:val="bottom"/>
          </w:tcPr>
          <w:p w14:paraId="696A3454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Sensitivity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to</w:t>
            </w:r>
            <w:proofErr w:type="spellEnd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Antagonists</w:t>
            </w:r>
            <w:proofErr w:type="spellEnd"/>
          </w:p>
        </w:tc>
        <w:tc>
          <w:tcPr>
            <w:tcW w:w="3262" w:type="dxa"/>
            <w:tcBorders>
              <w:top w:val="single" w:sz="6" w:space="0" w:color="999999"/>
              <w:bottom w:val="single" w:sz="16" w:space="0" w:color="000000"/>
            </w:tcBorders>
            <w:vAlign w:val="bottom"/>
          </w:tcPr>
          <w:p w14:paraId="2A665A6D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Subtype-specific</w:t>
            </w:r>
            <w:proofErr w:type="spellEnd"/>
          </w:p>
        </w:tc>
        <w:tc>
          <w:tcPr>
            <w:tcW w:w="3123" w:type="dxa"/>
            <w:tcBorders>
              <w:top w:val="single" w:sz="6" w:space="0" w:color="999999"/>
              <w:bottom w:val="single" w:sz="16" w:space="0" w:color="000000"/>
            </w:tcBorders>
            <w:vAlign w:val="bottom"/>
          </w:tcPr>
          <w:p w14:paraId="33A7CE42" w14:textId="77777777" w:rsidR="00FA1503" w:rsidRPr="00840757" w:rsidRDefault="000000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Subtype-specific</w:t>
            </w:r>
            <w:proofErr w:type="spellEnd"/>
          </w:p>
        </w:tc>
      </w:tr>
    </w:tbl>
    <w:p w14:paraId="723A59CC" w14:textId="77777777" w:rsidR="00FA1503" w:rsidRPr="00840757" w:rsidRDefault="00FA1503">
      <w:pPr>
        <w:spacing w:after="210" w:line="360" w:lineRule="auto"/>
        <w:rPr>
          <w:rFonts w:ascii="Arial" w:eastAsia="inter" w:hAnsi="Arial" w:cs="Arial"/>
          <w:color w:val="000000"/>
        </w:rPr>
      </w:pPr>
    </w:p>
    <w:p w14:paraId="78800938" w14:textId="04E79E65" w:rsidR="008D3660" w:rsidRPr="00840757" w:rsidRDefault="00000000" w:rsidP="008D3660">
      <w:pPr>
        <w:numPr>
          <w:ilvl w:val="0"/>
          <w:numId w:val="4"/>
        </w:numPr>
        <w:spacing w:after="210" w:line="360" w:lineRule="auto"/>
        <w:rPr>
          <w:rFonts w:ascii="Arial" w:hAnsi="Arial" w:cs="Arial"/>
        </w:rPr>
      </w:pPr>
      <w:r w:rsidRPr="00840757">
        <w:rPr>
          <w:rFonts w:ascii="Arial" w:eastAsia="inter" w:hAnsi="Arial" w:cs="Arial"/>
          <w:color w:val="000000"/>
        </w:rPr>
        <w:t xml:space="preserve">The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GABAA </w:t>
      </w:r>
      <w:proofErr w:type="spellStart"/>
      <w:r w:rsidRPr="00840757">
        <w:rPr>
          <w:rFonts w:ascii="Arial" w:eastAsia="inter" w:hAnsi="Arial" w:cs="Arial"/>
          <w:color w:val="000000"/>
        </w:rPr>
        <w:t>receptor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represent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potential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dimeric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associations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that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could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contribute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this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synaptic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inhibition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profile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Based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on </w:t>
      </w:r>
      <w:proofErr w:type="spellStart"/>
      <w:r w:rsidRPr="00840757">
        <w:rPr>
          <w:rFonts w:ascii="Arial" w:eastAsia="inter" w:hAnsi="Arial" w:cs="Arial"/>
          <w:color w:val="000000"/>
        </w:rPr>
        <w:t>current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findings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using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single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cell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RNA </w:t>
      </w:r>
      <w:proofErr w:type="spellStart"/>
      <w:r w:rsidRPr="00840757">
        <w:rPr>
          <w:rFonts w:ascii="Arial" w:eastAsia="inter" w:hAnsi="Arial" w:cs="Arial"/>
          <w:color w:val="000000"/>
        </w:rPr>
        <w:t>sequencing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(</w:t>
      </w:r>
      <w:proofErr w:type="spellStart"/>
      <w:r w:rsidRPr="00840757">
        <w:rPr>
          <w:rFonts w:ascii="Arial" w:eastAsia="inter" w:hAnsi="Arial" w:cs="Arial"/>
          <w:color w:val="000000"/>
        </w:rPr>
        <w:t>Scanpy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- </w:t>
      </w:r>
      <w:proofErr w:type="spellStart"/>
      <w:r w:rsidRPr="00840757">
        <w:rPr>
          <w:rFonts w:ascii="Arial" w:eastAsia="inter" w:hAnsi="Arial" w:cs="Arial"/>
          <w:color w:val="000000"/>
        </w:rPr>
        <w:t>Python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based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analysis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RNA ISH </w:t>
      </w:r>
      <w:proofErr w:type="spellStart"/>
      <w:r w:rsidRPr="00840757">
        <w:rPr>
          <w:rFonts w:ascii="Arial" w:eastAsia="inter" w:hAnsi="Arial" w:cs="Arial"/>
          <w:color w:val="000000"/>
        </w:rPr>
        <w:t>data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from</w:t>
      </w:r>
      <w:proofErr w:type="spellEnd"/>
      <w:r w:rsidR="005B1BDE">
        <w:rPr>
          <w:rFonts w:ascii="Arial" w:eastAsia="inter" w:hAnsi="Arial" w:cs="Arial"/>
          <w:color w:val="000000"/>
          <w:lang w:val="en-US"/>
        </w:rPr>
        <w:t xml:space="preserve"> </w:t>
      </w:r>
      <w:r w:rsidRPr="00840757">
        <w:rPr>
          <w:rFonts w:ascii="Arial" w:eastAsia="inter" w:hAnsi="Arial" w:cs="Arial"/>
          <w:color w:val="000000"/>
        </w:rPr>
        <w:t xml:space="preserve">the </w:t>
      </w:r>
      <w:proofErr w:type="spellStart"/>
      <w:r w:rsidRPr="00840757">
        <w:rPr>
          <w:rFonts w:ascii="Arial" w:eastAsia="inter" w:hAnsi="Arial" w:cs="Arial"/>
          <w:color w:val="000000"/>
        </w:rPr>
        <w:t>Allen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Mouse </w:t>
      </w:r>
      <w:proofErr w:type="spellStart"/>
      <w:r w:rsidRPr="00840757">
        <w:rPr>
          <w:rFonts w:ascii="Arial" w:eastAsia="inter" w:hAnsi="Arial" w:cs="Arial"/>
          <w:color w:val="000000"/>
        </w:rPr>
        <w:t>Brain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Atlas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), </w:t>
      </w:r>
      <w:proofErr w:type="spellStart"/>
      <w:r w:rsidRPr="00840757">
        <w:rPr>
          <w:rFonts w:ascii="Arial" w:eastAsia="inter" w:hAnsi="Arial" w:cs="Arial"/>
          <w:color w:val="000000"/>
        </w:rPr>
        <w:t>docking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methodologies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i.e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Autodock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GPU (</w:t>
      </w:r>
      <w:proofErr w:type="spellStart"/>
      <w:r w:rsidRPr="00840757">
        <w:rPr>
          <w:rFonts w:ascii="Arial" w:eastAsia="inter" w:hAnsi="Arial" w:cs="Arial"/>
          <w:color w:val="000000"/>
        </w:rPr>
        <w:t>rigid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), </w:t>
      </w:r>
      <w:proofErr w:type="spellStart"/>
      <w:r w:rsidRPr="00840757">
        <w:rPr>
          <w:rFonts w:ascii="Arial" w:eastAsia="inter" w:hAnsi="Arial" w:cs="Arial"/>
          <w:color w:val="000000"/>
        </w:rPr>
        <w:t>Discovery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Studio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(CDOCKER) and AI </w:t>
      </w:r>
      <w:proofErr w:type="spellStart"/>
      <w:r w:rsidRPr="00840757">
        <w:rPr>
          <w:rFonts w:ascii="Arial" w:eastAsia="inter" w:hAnsi="Arial" w:cs="Arial"/>
          <w:color w:val="000000"/>
        </w:rPr>
        <w:t>based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AlphaFold3  (in </w:t>
      </w:r>
      <w:proofErr w:type="spellStart"/>
      <w:r w:rsidRPr="00840757">
        <w:rPr>
          <w:rFonts w:ascii="Arial" w:eastAsia="inter" w:hAnsi="Arial" w:cs="Arial"/>
          <w:color w:val="000000"/>
        </w:rPr>
        <w:t>house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datasets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using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Multimeric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protein-ligand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design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), </w:t>
      </w:r>
      <w:proofErr w:type="spellStart"/>
      <w:r w:rsidRPr="00840757">
        <w:rPr>
          <w:rFonts w:ascii="Arial" w:eastAsia="inter" w:hAnsi="Arial" w:cs="Arial"/>
          <w:color w:val="000000"/>
        </w:rPr>
        <w:t>certain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have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emerged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more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likely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candidates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for </w:t>
      </w:r>
      <w:proofErr w:type="spellStart"/>
      <w:r w:rsidRPr="00840757">
        <w:rPr>
          <w:rFonts w:ascii="Arial" w:eastAsia="inter" w:hAnsi="Arial" w:cs="Arial"/>
          <w:color w:val="000000"/>
        </w:rPr>
        <w:t>mediating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GABAslow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currents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  <w:r w:rsidR="008D3660">
        <w:rPr>
          <w:rFonts w:ascii="Arial" w:eastAsia="inter" w:hAnsi="Arial" w:cs="Arial"/>
          <w:color w:val="000000"/>
          <w:lang w:val="en-US"/>
        </w:rPr>
        <w:t xml:space="preserve"> </w:t>
      </w:r>
      <w:hyperlink r:id="rId6">
        <w:r w:rsidR="008D3660" w:rsidRPr="00840757">
          <w:rPr>
            <w:rFonts w:ascii="Arial" w:eastAsia="inter" w:hAnsi="Arial" w:cs="Arial"/>
            <w:sz w:val="18"/>
            <w:u w:val="single"/>
          </w:rPr>
          <w:t>https://pmc.ncbi.nlm.nih.gov/articles/PMC2666407/</w:t>
        </w:r>
      </w:hyperlink>
      <w:r w:rsidR="008D3660" w:rsidRPr="00840757">
        <w:rPr>
          <w:rFonts w:ascii="Arial" w:eastAsia="inter" w:hAnsi="Arial" w:cs="Arial"/>
          <w:color w:val="000000"/>
          <w:sz w:val="18"/>
        </w:rPr>
        <w:t xml:space="preserve">  </w:t>
      </w:r>
      <w:bookmarkStart w:id="0" w:name="fn2"/>
      <w:bookmarkEnd w:id="0"/>
      <w:r w:rsidR="009E74A4">
        <w:rPr>
          <w:rFonts w:ascii="Arial" w:eastAsia="inter" w:hAnsi="Arial" w:cs="Arial"/>
          <w:color w:val="000000"/>
          <w:sz w:val="18"/>
          <w:lang w:val="en-US"/>
        </w:rPr>
        <w:t xml:space="preserve"> </w:t>
      </w:r>
      <w:r w:rsidR="009E74A4">
        <w:rPr>
          <w:rFonts w:ascii="Segoe UI" w:hAnsi="Segoe UI" w:cs="Segoe UI"/>
          <w:color w:val="333333"/>
          <w:shd w:val="clear" w:color="auto" w:fill="FCFCFC"/>
        </w:rPr>
        <w:t>https://doi.org/10.1186/s43141-021-00224-0</w:t>
      </w:r>
    </w:p>
    <w:p w14:paraId="4393EEE1" w14:textId="62EEAFFD" w:rsidR="00FA1503" w:rsidRPr="008D3660" w:rsidRDefault="00FA1503">
      <w:pPr>
        <w:spacing w:after="210" w:line="360" w:lineRule="auto"/>
        <w:rPr>
          <w:rFonts w:ascii="Arial" w:hAnsi="Arial" w:cs="Arial"/>
          <w:lang w:val="en-US"/>
        </w:rPr>
      </w:pPr>
    </w:p>
    <w:tbl>
      <w:tblPr>
        <w:tblW w:w="8730" w:type="dxa"/>
        <w:tblInd w:w="-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3509"/>
        <w:gridCol w:w="3150"/>
      </w:tblGrid>
      <w:tr w:rsidR="00FA1503" w:rsidRPr="00840757" w14:paraId="7D9A4F47" w14:textId="77777777">
        <w:trPr>
          <w:trHeight w:val="256"/>
        </w:trPr>
        <w:tc>
          <w:tcPr>
            <w:tcW w:w="2071" w:type="dxa"/>
            <w:tcBorders>
              <w:top w:val="single" w:sz="16" w:space="0" w:color="000000"/>
              <w:bottom w:val="single" w:sz="6" w:space="0" w:color="000000"/>
            </w:tcBorders>
            <w:vAlign w:val="bottom"/>
          </w:tcPr>
          <w:p w14:paraId="1D400CAD" w14:textId="77777777" w:rsidR="00FA1503" w:rsidRPr="00840757" w:rsidRDefault="000000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40757">
              <w:rPr>
                <w:rFonts w:ascii="Arial" w:eastAsia="inter" w:hAnsi="Arial" w:cs="Arial"/>
                <w:b/>
                <w:bCs/>
                <w:color w:val="000000"/>
                <w:sz w:val="24"/>
                <w:szCs w:val="24"/>
              </w:rPr>
              <w:lastRenderedPageBreak/>
              <w:t>Probable</w:t>
            </w:r>
            <w:proofErr w:type="spellEnd"/>
            <w:r w:rsidRPr="00840757">
              <w:rPr>
                <w:rFonts w:ascii="Arial" w:eastAsia="inter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757">
              <w:rPr>
                <w:rFonts w:ascii="Arial" w:eastAsia="inter" w:hAnsi="Arial" w:cs="Arial"/>
                <w:b/>
                <w:bCs/>
                <w:color w:val="000000"/>
                <w:sz w:val="24"/>
                <w:szCs w:val="24"/>
              </w:rPr>
              <w:t>Candidates</w:t>
            </w:r>
            <w:proofErr w:type="spellEnd"/>
          </w:p>
        </w:tc>
        <w:tc>
          <w:tcPr>
            <w:tcW w:w="3509" w:type="dxa"/>
            <w:tcBorders>
              <w:top w:val="single" w:sz="16" w:space="0" w:color="000000"/>
              <w:bottom w:val="single" w:sz="6" w:space="0" w:color="000000"/>
            </w:tcBorders>
            <w:vAlign w:val="bottom"/>
          </w:tcPr>
          <w:p w14:paraId="3D3301A5" w14:textId="77777777" w:rsidR="00FA1503" w:rsidRPr="00840757" w:rsidRDefault="000000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LAMP5 Co-</w:t>
            </w:r>
            <w:proofErr w:type="spellStart"/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Expression</w:t>
            </w:r>
            <w:proofErr w:type="spellEnd"/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3150" w:type="dxa"/>
            <w:tcBorders>
              <w:top w:val="single" w:sz="16" w:space="0" w:color="000000"/>
              <w:bottom w:val="single" w:sz="6" w:space="0" w:color="000000"/>
            </w:tcBorders>
            <w:vAlign w:val="bottom"/>
          </w:tcPr>
          <w:p w14:paraId="68D2E4A4" w14:textId="77777777" w:rsidR="00FA1503" w:rsidRPr="00840757" w:rsidRDefault="000000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CA1 Co-</w:t>
            </w:r>
            <w:proofErr w:type="spellStart"/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Expression</w:t>
            </w:r>
            <w:proofErr w:type="spellEnd"/>
            <w:r w:rsidRPr="008407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FA1503" w:rsidRPr="00840757" w14:paraId="5EF7D135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23E03F9F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alpha1-beta1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CF56EBB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89.96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1EA5F013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98.89</w:t>
            </w:r>
          </w:p>
        </w:tc>
      </w:tr>
      <w:tr w:rsidR="00FA1503" w:rsidRPr="00840757" w14:paraId="5CAA0178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421C2F5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alpha1-beta3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7E410FA3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90.14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2101C9DE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96.89</w:t>
            </w:r>
          </w:p>
        </w:tc>
      </w:tr>
      <w:tr w:rsidR="00FA1503" w:rsidRPr="00840757" w14:paraId="6064ACB9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01073ECD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alpha2-alpha3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0E00E8A9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25.68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3EA58FC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11.9</w:t>
            </w:r>
          </w:p>
        </w:tc>
      </w:tr>
      <w:tr w:rsidR="00FA1503" w:rsidRPr="00840757" w14:paraId="42C95111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11433064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alpha2-alpha4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9A4377B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60.72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0BF14AA5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62.82</w:t>
            </w:r>
          </w:p>
        </w:tc>
      </w:tr>
      <w:tr w:rsidR="00FA1503" w:rsidRPr="00840757" w14:paraId="6254B42B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4037CAB3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alpha2-beta1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3768007B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76.16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2BE74527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75.2</w:t>
            </w:r>
          </w:p>
        </w:tc>
      </w:tr>
      <w:tr w:rsidR="00FA1503" w:rsidRPr="00840757" w14:paraId="72D6BE44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690CF01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alpha2-beta3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C623D17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76.16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3FCE927E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73.2</w:t>
            </w:r>
          </w:p>
        </w:tc>
      </w:tr>
      <w:tr w:rsidR="00FA1503" w:rsidRPr="00840757" w14:paraId="7BBB5CB5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334E3662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alpha3-beta2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A8914DB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38.19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7F20BCB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16.63</w:t>
            </w:r>
          </w:p>
        </w:tc>
      </w:tr>
      <w:tr w:rsidR="00FA1503" w:rsidRPr="00840757" w14:paraId="40DE8BFA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DE09685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alpha5-alpha3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0BFB5572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15.68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4409A3D2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24.71</w:t>
            </w:r>
          </w:p>
        </w:tc>
      </w:tr>
      <w:tr w:rsidR="00FA1503" w:rsidRPr="00840757" w14:paraId="67AE81A9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34ACC3BF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alpha5-beta3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2DE4CA1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36.3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052E98F4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41.43</w:t>
            </w:r>
          </w:p>
        </w:tc>
      </w:tr>
      <w:tr w:rsidR="00FA1503" w:rsidRPr="00840757" w14:paraId="46F5F67F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2CB11300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beta1-alpha3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2032C257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40.86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6564731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26.77</w:t>
            </w:r>
          </w:p>
        </w:tc>
      </w:tr>
      <w:tr w:rsidR="00FA1503" w:rsidRPr="00840757" w14:paraId="2EC89055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4FE3BDA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beta1-alpha4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084B129C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76.35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43159A2D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86.78</w:t>
            </w:r>
          </w:p>
        </w:tc>
      </w:tr>
      <w:tr w:rsidR="00FA1503" w:rsidRPr="00840757" w14:paraId="7F2B6C24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F55DA81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beta2-alpha3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7BAC6798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38.19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200F1F2B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16.63</w:t>
            </w:r>
          </w:p>
        </w:tc>
      </w:tr>
      <w:tr w:rsidR="00FA1503" w:rsidRPr="00840757" w14:paraId="3733C809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3FE091C5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beta2-alpha4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2545139A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74.39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660DB709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55.53</w:t>
            </w:r>
          </w:p>
        </w:tc>
      </w:tr>
      <w:tr w:rsidR="00FA1503" w:rsidRPr="00840757" w14:paraId="6375CD3A" w14:textId="77777777">
        <w:trPr>
          <w:trHeight w:val="256"/>
        </w:trPr>
        <w:tc>
          <w:tcPr>
            <w:tcW w:w="2071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88DCD19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beta2-alpha5</w:t>
            </w:r>
          </w:p>
        </w:tc>
        <w:tc>
          <w:tcPr>
            <w:tcW w:w="3509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53020B07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33.62</w:t>
            </w:r>
          </w:p>
        </w:tc>
        <w:tc>
          <w:tcPr>
            <w:tcW w:w="3150" w:type="dxa"/>
            <w:tcBorders>
              <w:bottom w:val="single" w:sz="6" w:space="0" w:color="999999"/>
            </w:tcBorders>
            <w:shd w:val="clear" w:color="auto" w:fill="EEEEEE"/>
            <w:vAlign w:val="bottom"/>
          </w:tcPr>
          <w:p w14:paraId="106DE84F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24.74</w:t>
            </w:r>
          </w:p>
        </w:tc>
      </w:tr>
      <w:tr w:rsidR="00FA1503" w:rsidRPr="00840757" w14:paraId="19BD7A16" w14:textId="77777777">
        <w:trPr>
          <w:trHeight w:val="256"/>
        </w:trPr>
        <w:tc>
          <w:tcPr>
            <w:tcW w:w="2071" w:type="dxa"/>
            <w:tcBorders>
              <w:top w:val="single" w:sz="6" w:space="0" w:color="999999"/>
              <w:bottom w:val="single" w:sz="16" w:space="0" w:color="000000"/>
            </w:tcBorders>
            <w:vAlign w:val="bottom"/>
          </w:tcPr>
          <w:p w14:paraId="394F228E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beta3-alpha3</w:t>
            </w:r>
          </w:p>
        </w:tc>
        <w:tc>
          <w:tcPr>
            <w:tcW w:w="3509" w:type="dxa"/>
            <w:tcBorders>
              <w:top w:val="single" w:sz="6" w:space="0" w:color="999999"/>
              <w:bottom w:val="single" w:sz="16" w:space="0" w:color="000000"/>
            </w:tcBorders>
            <w:vAlign w:val="bottom"/>
          </w:tcPr>
          <w:p w14:paraId="2BED7E6C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41.05</w:t>
            </w:r>
          </w:p>
        </w:tc>
        <w:tc>
          <w:tcPr>
            <w:tcW w:w="3150" w:type="dxa"/>
            <w:tcBorders>
              <w:top w:val="single" w:sz="6" w:space="0" w:color="999999"/>
              <w:bottom w:val="single" w:sz="16" w:space="0" w:color="000000"/>
            </w:tcBorders>
            <w:vAlign w:val="bottom"/>
          </w:tcPr>
          <w:p w14:paraId="5117D119" w14:textId="77777777" w:rsidR="00FA1503" w:rsidRPr="00840757" w:rsidRDefault="000000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0757">
              <w:rPr>
                <w:rFonts w:ascii="Arial" w:hAnsi="Arial" w:cs="Arial"/>
                <w:color w:val="000000"/>
                <w:sz w:val="24"/>
                <w:szCs w:val="24"/>
              </w:rPr>
              <w:t>27.19</w:t>
            </w:r>
          </w:p>
        </w:tc>
      </w:tr>
    </w:tbl>
    <w:p w14:paraId="150154D8" w14:textId="77777777" w:rsidR="00FA1503" w:rsidRPr="00840757" w:rsidRDefault="00FA1503">
      <w:pPr>
        <w:rPr>
          <w:rFonts w:ascii="Arial" w:hAnsi="Arial" w:cs="Arial"/>
        </w:rPr>
      </w:pPr>
    </w:p>
    <w:p w14:paraId="6F209472" w14:textId="77777777" w:rsidR="00FA1503" w:rsidRPr="00840757" w:rsidRDefault="00FA1503">
      <w:pPr>
        <w:spacing w:after="210" w:line="360" w:lineRule="auto"/>
        <w:rPr>
          <w:rFonts w:ascii="Arial" w:eastAsia="inter" w:hAnsi="Arial" w:cs="Arial"/>
          <w:color w:val="000000"/>
        </w:rPr>
      </w:pPr>
    </w:p>
    <w:p w14:paraId="4FEBB92C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Role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of α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Subunits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in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Determining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GABA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Current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Kinetics</w:t>
      </w:r>
      <w:proofErr w:type="spellEnd"/>
    </w:p>
    <w:p w14:paraId="2737D1AC" w14:textId="77777777" w:rsidR="008D3660" w:rsidRPr="00840757" w:rsidRDefault="00000000" w:rsidP="008D3660">
      <w:pPr>
        <w:numPr>
          <w:ilvl w:val="0"/>
          <w:numId w:val="5"/>
        </w:numPr>
        <w:spacing w:after="210" w:line="360" w:lineRule="auto"/>
        <w:rPr>
          <w:rFonts w:ascii="Arial" w:hAnsi="Arial" w:cs="Arial"/>
        </w:rPr>
      </w:pPr>
      <w:r w:rsidRPr="00840757">
        <w:rPr>
          <w:rFonts w:ascii="Arial" w:eastAsia="inter" w:hAnsi="Arial" w:cs="Arial"/>
          <w:color w:val="000000"/>
        </w:rPr>
        <w:t xml:space="preserve">The α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isoform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plays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 </w:t>
      </w:r>
      <w:proofErr w:type="spellStart"/>
      <w:r w:rsidRPr="00840757">
        <w:rPr>
          <w:rFonts w:ascii="Arial" w:eastAsia="inter" w:hAnsi="Arial" w:cs="Arial"/>
          <w:color w:val="000000"/>
        </w:rPr>
        <w:t>critical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role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</w:t>
      </w:r>
      <w:proofErr w:type="spellStart"/>
      <w:r w:rsidRPr="00840757">
        <w:rPr>
          <w:rFonts w:ascii="Arial" w:eastAsia="inter" w:hAnsi="Arial" w:cs="Arial"/>
          <w:color w:val="000000"/>
        </w:rPr>
        <w:t>determining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</w:t>
      </w:r>
      <w:proofErr w:type="spellStart"/>
      <w:r w:rsidRPr="00840757">
        <w:rPr>
          <w:rFonts w:ascii="Arial" w:eastAsia="inter" w:hAnsi="Arial" w:cs="Arial"/>
          <w:color w:val="000000"/>
        </w:rPr>
        <w:t>temporal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characteristics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GABAA </w:t>
      </w:r>
      <w:proofErr w:type="spellStart"/>
      <w:r w:rsidRPr="00840757">
        <w:rPr>
          <w:rFonts w:ascii="Arial" w:eastAsia="inter" w:hAnsi="Arial" w:cs="Arial"/>
          <w:color w:val="000000"/>
        </w:rPr>
        <w:t>receptor-mediated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Different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confer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distinct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kinetic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properties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</w:t>
      </w:r>
      <w:proofErr w:type="spellStart"/>
      <w:r w:rsidRPr="00840757">
        <w:rPr>
          <w:rFonts w:ascii="Arial" w:eastAsia="inter" w:hAnsi="Arial" w:cs="Arial"/>
          <w:color w:val="000000"/>
        </w:rPr>
        <w:t>assembled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receptors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  <w:r w:rsidR="008D3660">
        <w:rPr>
          <w:rFonts w:ascii="Arial" w:eastAsia="inter" w:hAnsi="Arial" w:cs="Arial"/>
          <w:color w:val="000000"/>
          <w:lang w:val="en-US"/>
        </w:rPr>
        <w:t xml:space="preserve"> </w:t>
      </w:r>
      <w:hyperlink r:id="rId7">
        <w:r w:rsidR="008D3660" w:rsidRPr="00840757">
          <w:rPr>
            <w:rFonts w:ascii="Arial" w:eastAsia="inter" w:hAnsi="Arial" w:cs="Arial"/>
            <w:sz w:val="18"/>
            <w:u w:val="single"/>
          </w:rPr>
          <w:t>https://pmc.ncbi.nlm.nih.gov/articles/PMC3937617/</w:t>
        </w:r>
      </w:hyperlink>
      <w:r w:rsidR="008D3660" w:rsidRPr="00840757">
        <w:rPr>
          <w:rFonts w:ascii="Arial" w:eastAsia="inter" w:hAnsi="Arial" w:cs="Arial"/>
          <w:color w:val="000000"/>
          <w:sz w:val="18"/>
        </w:rPr>
        <w:t xml:space="preserve">   </w:t>
      </w:r>
      <w:bookmarkStart w:id="1" w:name="fn3"/>
      <w:bookmarkEnd w:id="1"/>
    </w:p>
    <w:p w14:paraId="212BAC12" w14:textId="23737C77" w:rsidR="00FA1503" w:rsidRPr="008D3660" w:rsidRDefault="00FA1503">
      <w:pPr>
        <w:spacing w:after="210" w:line="360" w:lineRule="auto"/>
        <w:rPr>
          <w:rFonts w:ascii="Arial" w:hAnsi="Arial" w:cs="Arial"/>
          <w:lang w:val="en-US"/>
        </w:rPr>
      </w:pPr>
    </w:p>
    <w:p w14:paraId="2374F546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r w:rsidRPr="00840757">
        <w:rPr>
          <w:rFonts w:ascii="Arial" w:eastAsia="inter" w:hAnsi="Arial" w:cs="Arial"/>
          <w:b/>
          <w:color w:val="000000"/>
          <w:sz w:val="24"/>
        </w:rPr>
        <w:t xml:space="preserve">α5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Subunit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as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a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Primary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Mediator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of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GABAslow</w:t>
      </w:r>
      <w:proofErr w:type="spellEnd"/>
    </w:p>
    <w:p w14:paraId="58F243E3" w14:textId="64F11C30" w:rsidR="00FA1503" w:rsidRPr="00840757" w:rsidRDefault="00000000">
      <w:pPr>
        <w:spacing w:after="210" w:line="360" w:lineRule="auto"/>
        <w:rPr>
          <w:rFonts w:ascii="Arial" w:hAnsi="Arial" w:cs="Arial"/>
        </w:rPr>
      </w:pPr>
      <w:r w:rsidRPr="00840757">
        <w:rPr>
          <w:rFonts w:ascii="Arial" w:eastAsia="inter" w:hAnsi="Arial" w:cs="Arial"/>
          <w:color w:val="000000"/>
        </w:rPr>
        <w:t xml:space="preserve">The α5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has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been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directly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implicated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</w:t>
      </w:r>
      <w:proofErr w:type="spellStart"/>
      <w:r w:rsidRPr="00840757">
        <w:rPr>
          <w:rFonts w:ascii="Arial" w:eastAsia="inter" w:hAnsi="Arial" w:cs="Arial"/>
          <w:color w:val="000000"/>
        </w:rPr>
        <w:t>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transmission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Research </w:t>
      </w:r>
      <w:proofErr w:type="spellStart"/>
      <w:r w:rsidRPr="00840757">
        <w:rPr>
          <w:rFonts w:ascii="Arial" w:eastAsia="inter" w:hAnsi="Arial" w:cs="Arial"/>
          <w:color w:val="000000"/>
        </w:rPr>
        <w:t>indicates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that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α5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make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 </w:t>
      </w:r>
      <w:proofErr w:type="spellStart"/>
      <w:r w:rsidRPr="00840757">
        <w:rPr>
          <w:rFonts w:ascii="Arial" w:eastAsia="inter" w:hAnsi="Arial" w:cs="Arial"/>
          <w:color w:val="000000"/>
        </w:rPr>
        <w:t>significant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contribution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 </w:t>
      </w:r>
      <w:proofErr w:type="spellStart"/>
      <w:r w:rsidRPr="00840757">
        <w:rPr>
          <w:rFonts w:ascii="Arial" w:eastAsia="inter" w:hAnsi="Arial" w:cs="Arial"/>
          <w:color w:val="000000"/>
        </w:rPr>
        <w:t>large-amplitude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subset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</w:t>
      </w:r>
      <w:proofErr w:type="spellStart"/>
      <w:r w:rsidRPr="00840757">
        <w:rPr>
          <w:rFonts w:ascii="Arial" w:eastAsia="inter" w:hAnsi="Arial" w:cs="Arial"/>
          <w:color w:val="000000"/>
        </w:rPr>
        <w:t>GABAA,slow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synapses</w:t>
      </w:r>
      <w:proofErr w:type="spellEnd"/>
      <w:r w:rsidR="00FA1503">
        <w:fldChar w:fldCharType="begin"/>
      </w:r>
      <w:r w:rsidR="00FA1503">
        <w:instrText>HYPERLINK \l "fn1" \h</w:instrText>
      </w:r>
      <w:r w:rsidR="00FA1503">
        <w:fldChar w:fldCharType="separate"/>
      </w:r>
      <w:bookmarkStart w:id="2" w:name="fnref1"/>
      <w:bookmarkEnd w:id="2"/>
      <w:r w:rsidR="00FA1503" w:rsidRPr="00840757">
        <w:rPr>
          <w:rFonts w:ascii="Arial" w:eastAsia="inter" w:hAnsi="Arial" w:cs="Arial"/>
          <w:u w:val="single"/>
          <w:vertAlign w:val="superscript"/>
        </w:rPr>
        <w:t>[1]</w:t>
      </w:r>
      <w:r w:rsidR="00FA1503">
        <w:fldChar w:fldCharType="end"/>
      </w:r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Among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listed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alpha5-alpha3 and beta2-alpha5 </w:t>
      </w:r>
      <w:proofErr w:type="spellStart"/>
      <w:r w:rsidRPr="00840757">
        <w:rPr>
          <w:rFonts w:ascii="Arial" w:eastAsia="inter" w:hAnsi="Arial" w:cs="Arial"/>
          <w:color w:val="000000"/>
        </w:rPr>
        <w:t>contain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this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critical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making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them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promising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candidates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for </w:t>
      </w:r>
      <w:proofErr w:type="spellStart"/>
      <w:r w:rsidRPr="00840757">
        <w:rPr>
          <w:rFonts w:ascii="Arial" w:eastAsia="inter" w:hAnsi="Arial" w:cs="Arial"/>
          <w:color w:val="000000"/>
        </w:rPr>
        <w:t>GABAslow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expression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</w:p>
    <w:p w14:paraId="612343EA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r w:rsidRPr="00840757">
        <w:rPr>
          <w:rFonts w:ascii="Arial" w:eastAsia="inter" w:hAnsi="Arial" w:cs="Arial"/>
          <w:b/>
          <w:color w:val="000000"/>
          <w:sz w:val="24"/>
        </w:rPr>
        <w:t xml:space="preserve">α2 and α3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Subunits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and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Slowed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Deactivation</w:t>
      </w:r>
      <w:proofErr w:type="spellEnd"/>
    </w:p>
    <w:p w14:paraId="20F149CB" w14:textId="197B101E" w:rsidR="00FA1503" w:rsidRPr="00840757" w:rsidRDefault="00000000">
      <w:pPr>
        <w:spacing w:after="210" w:line="360" w:lineRule="auto"/>
        <w:rPr>
          <w:rFonts w:ascii="Arial" w:hAnsi="Arial" w:cs="Arial"/>
        </w:rPr>
      </w:pPr>
      <w:r w:rsidRPr="00840757">
        <w:rPr>
          <w:rFonts w:ascii="Arial" w:eastAsia="inter" w:hAnsi="Arial" w:cs="Arial"/>
          <w:color w:val="000000"/>
        </w:rPr>
        <w:lastRenderedPageBreak/>
        <w:t xml:space="preserve">The α2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significantly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affects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receptor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kinetics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increasing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GABA </w:t>
      </w:r>
      <w:proofErr w:type="spellStart"/>
      <w:r w:rsidRPr="00840757">
        <w:rPr>
          <w:rFonts w:ascii="Arial" w:eastAsia="inter" w:hAnsi="Arial" w:cs="Arial"/>
          <w:color w:val="000000"/>
        </w:rPr>
        <w:t>affinity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thereby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deactivation</w:t>
      </w:r>
      <w:proofErr w:type="spellEnd"/>
      <w:r w:rsidR="00FA1503">
        <w:fldChar w:fldCharType="begin"/>
      </w:r>
      <w:r w:rsidR="00FA1503">
        <w:instrText>HYPERLINK \l "fn2" \h</w:instrText>
      </w:r>
      <w:r w:rsidR="00FA1503">
        <w:fldChar w:fldCharType="separate"/>
      </w:r>
      <w:bookmarkStart w:id="3" w:name="fnref2"/>
      <w:bookmarkEnd w:id="3"/>
      <w:r w:rsidR="00FA1503" w:rsidRPr="00840757">
        <w:rPr>
          <w:rFonts w:ascii="Arial" w:eastAsia="inter" w:hAnsi="Arial" w:cs="Arial"/>
          <w:u w:val="single"/>
          <w:vertAlign w:val="superscript"/>
        </w:rPr>
        <w:t>[2]</w:t>
      </w:r>
      <w:r w:rsidR="00FA1503">
        <w:fldChar w:fldCharType="end"/>
      </w:r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Compared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α1-containing </w:t>
      </w:r>
      <w:proofErr w:type="spellStart"/>
      <w:r w:rsidRPr="00840757">
        <w:rPr>
          <w:rFonts w:ascii="Arial" w:eastAsia="inter" w:hAnsi="Arial" w:cs="Arial"/>
          <w:color w:val="000000"/>
        </w:rPr>
        <w:t>receptors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those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with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α2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consistently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deactivate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approximately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10-fold </w:t>
      </w:r>
      <w:proofErr w:type="spellStart"/>
      <w:r w:rsidRPr="00840757">
        <w:rPr>
          <w:rFonts w:ascii="Arial" w:eastAsia="inter" w:hAnsi="Arial" w:cs="Arial"/>
          <w:color w:val="000000"/>
        </w:rPr>
        <w:t>more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Single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channel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analysis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has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revealed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that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this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decay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attributable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longer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burst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durations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GABA </w:t>
      </w:r>
      <w:proofErr w:type="spellStart"/>
      <w:r w:rsidRPr="00840757">
        <w:rPr>
          <w:rFonts w:ascii="Arial" w:eastAsia="inter" w:hAnsi="Arial" w:cs="Arial"/>
          <w:color w:val="000000"/>
        </w:rPr>
        <w:t>concentrations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corresponding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 </w:t>
      </w:r>
      <w:proofErr w:type="spellStart"/>
      <w:r w:rsidRPr="00840757">
        <w:rPr>
          <w:rFonts w:ascii="Arial" w:eastAsia="inter" w:hAnsi="Arial" w:cs="Arial"/>
          <w:color w:val="000000"/>
        </w:rPr>
        <w:t>roughly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4-fold </w:t>
      </w:r>
      <w:proofErr w:type="spellStart"/>
      <w:r w:rsidRPr="00840757">
        <w:rPr>
          <w:rFonts w:ascii="Arial" w:eastAsia="inter" w:hAnsi="Arial" w:cs="Arial"/>
          <w:color w:val="000000"/>
        </w:rPr>
        <w:t>higher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affinity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for GABA</w:t>
      </w:r>
      <w:hyperlink w:anchor="fn2">
        <w:bookmarkStart w:id="4" w:name="fnref2%3A1"/>
        <w:bookmarkEnd w:id="4"/>
        <w:r w:rsidR="00FA1503" w:rsidRPr="00840757">
          <w:rPr>
            <w:rFonts w:ascii="Arial" w:eastAsia="inter" w:hAnsi="Arial" w:cs="Arial"/>
            <w:u w:val="single"/>
            <w:vertAlign w:val="superscript"/>
          </w:rPr>
          <w:t>[2]</w:t>
        </w:r>
      </w:hyperlink>
      <w:r w:rsidRPr="00840757">
        <w:rPr>
          <w:rFonts w:ascii="Arial" w:eastAsia="inter" w:hAnsi="Arial" w:cs="Arial"/>
          <w:color w:val="000000"/>
        </w:rPr>
        <w:t>.</w:t>
      </w:r>
    </w:p>
    <w:p w14:paraId="63A8A5CB" w14:textId="501C0114" w:rsidR="00FA1503" w:rsidRPr="00840757" w:rsidRDefault="00000000">
      <w:pPr>
        <w:spacing w:after="210" w:line="360" w:lineRule="auto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color w:val="000000"/>
        </w:rPr>
        <w:t>Similarly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receptors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containing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α3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demonstrate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substantially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kinetics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than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those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with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α1. The </w:t>
      </w:r>
      <w:proofErr w:type="spellStart"/>
      <w:r w:rsidRPr="00840757">
        <w:rPr>
          <w:rFonts w:ascii="Arial" w:eastAsia="inter" w:hAnsi="Arial" w:cs="Arial"/>
          <w:color w:val="000000"/>
        </w:rPr>
        <w:t>presence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α3 </w:t>
      </w:r>
      <w:proofErr w:type="spellStart"/>
      <w:r w:rsidRPr="00840757">
        <w:rPr>
          <w:rFonts w:ascii="Arial" w:eastAsia="inter" w:hAnsi="Arial" w:cs="Arial"/>
          <w:color w:val="000000"/>
        </w:rPr>
        <w:t>has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been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shown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activation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fourfold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desensitization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nearly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twofold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and </w:t>
      </w:r>
      <w:proofErr w:type="spellStart"/>
      <w:r w:rsidRPr="00840757">
        <w:rPr>
          <w:rFonts w:ascii="Arial" w:eastAsia="inter" w:hAnsi="Arial" w:cs="Arial"/>
          <w:color w:val="000000"/>
        </w:rPr>
        <w:t>deactivation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threefold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compared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α1-containing </w:t>
      </w:r>
      <w:proofErr w:type="spellStart"/>
      <w:r w:rsidRPr="00840757">
        <w:rPr>
          <w:rFonts w:ascii="Arial" w:eastAsia="inter" w:hAnsi="Arial" w:cs="Arial"/>
          <w:color w:val="000000"/>
        </w:rPr>
        <w:t>receptors</w:t>
      </w:r>
      <w:proofErr w:type="spellEnd"/>
      <w:r w:rsidR="00FA1503">
        <w:fldChar w:fldCharType="begin"/>
      </w:r>
      <w:r w:rsidR="00FA1503">
        <w:instrText>HYPERLINK \l "fn3" \h</w:instrText>
      </w:r>
      <w:r w:rsidR="00FA1503">
        <w:fldChar w:fldCharType="separate"/>
      </w:r>
      <w:bookmarkStart w:id="5" w:name="fnref3"/>
      <w:bookmarkEnd w:id="5"/>
      <w:r w:rsidR="00FA1503" w:rsidRPr="00840757">
        <w:rPr>
          <w:rFonts w:ascii="Arial" w:eastAsia="inter" w:hAnsi="Arial" w:cs="Arial"/>
          <w:u w:val="single"/>
          <w:vertAlign w:val="superscript"/>
        </w:rPr>
        <w:t>[3]</w:t>
      </w:r>
      <w:r w:rsidR="00FA1503">
        <w:fldChar w:fldCharType="end"/>
      </w:r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These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alterations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</w:t>
      </w:r>
      <w:proofErr w:type="spellStart"/>
      <w:r w:rsidRPr="00840757">
        <w:rPr>
          <w:rFonts w:ascii="Arial" w:eastAsia="inter" w:hAnsi="Arial" w:cs="Arial"/>
          <w:color w:val="000000"/>
        </w:rPr>
        <w:t>transition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involved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</w:t>
      </w:r>
      <w:proofErr w:type="spellStart"/>
      <w:r w:rsidRPr="00840757">
        <w:rPr>
          <w:rFonts w:ascii="Arial" w:eastAsia="inter" w:hAnsi="Arial" w:cs="Arial"/>
          <w:color w:val="000000"/>
        </w:rPr>
        <w:t>ligand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binding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underlie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changes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</w:t>
      </w:r>
      <w:proofErr w:type="spellStart"/>
      <w:r w:rsidRPr="00840757">
        <w:rPr>
          <w:rFonts w:ascii="Arial" w:eastAsia="inter" w:hAnsi="Arial" w:cs="Arial"/>
          <w:color w:val="000000"/>
        </w:rPr>
        <w:t>apparent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activating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site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affinity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and </w:t>
      </w:r>
      <w:proofErr w:type="spellStart"/>
      <w:r w:rsidRPr="00840757">
        <w:rPr>
          <w:rFonts w:ascii="Arial" w:eastAsia="inter" w:hAnsi="Arial" w:cs="Arial"/>
          <w:color w:val="000000"/>
        </w:rPr>
        <w:t>macroscopic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gating</w:t>
      </w:r>
      <w:proofErr w:type="spellEnd"/>
      <w:r w:rsidR="00FA1503">
        <w:fldChar w:fldCharType="begin"/>
      </w:r>
      <w:r w:rsidR="00FA1503">
        <w:instrText>HYPERLINK \l "fn3" \h</w:instrText>
      </w:r>
      <w:r w:rsidR="00FA1503">
        <w:fldChar w:fldCharType="separate"/>
      </w:r>
      <w:bookmarkStart w:id="6" w:name="fnref3%3A1"/>
      <w:bookmarkEnd w:id="6"/>
      <w:r w:rsidR="00FA1503" w:rsidRPr="00840757">
        <w:rPr>
          <w:rFonts w:ascii="Arial" w:eastAsia="inter" w:hAnsi="Arial" w:cs="Arial"/>
          <w:u w:val="single"/>
          <w:vertAlign w:val="superscript"/>
        </w:rPr>
        <w:t>[3]</w:t>
      </w:r>
      <w:r w:rsidR="00FA1503">
        <w:fldChar w:fldCharType="end"/>
      </w:r>
      <w:r w:rsidRPr="00840757">
        <w:rPr>
          <w:rFonts w:ascii="Arial" w:eastAsia="inter" w:hAnsi="Arial" w:cs="Arial"/>
          <w:color w:val="000000"/>
        </w:rPr>
        <w:t>.</w:t>
      </w:r>
    </w:p>
    <w:p w14:paraId="57ED4DA9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Critical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Role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of β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Subunits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in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Receptor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Function</w:t>
      </w:r>
      <w:proofErr w:type="spellEnd"/>
    </w:p>
    <w:p w14:paraId="45C94255" w14:textId="77777777" w:rsidR="00FA1503" w:rsidRPr="00840757" w:rsidRDefault="00000000">
      <w:pPr>
        <w:spacing w:after="210" w:line="360" w:lineRule="auto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color w:val="000000"/>
        </w:rPr>
        <w:t>While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largely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determine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kinetic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properties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β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are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crucial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for </w:t>
      </w:r>
      <w:proofErr w:type="spellStart"/>
      <w:r w:rsidRPr="00840757">
        <w:rPr>
          <w:rFonts w:ascii="Arial" w:eastAsia="inter" w:hAnsi="Arial" w:cs="Arial"/>
          <w:color w:val="000000"/>
        </w:rPr>
        <w:t>receptor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assembly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and </w:t>
      </w:r>
      <w:proofErr w:type="spellStart"/>
      <w:r w:rsidRPr="00840757">
        <w:rPr>
          <w:rFonts w:ascii="Arial" w:eastAsia="inter" w:hAnsi="Arial" w:cs="Arial"/>
          <w:color w:val="000000"/>
        </w:rPr>
        <w:t>function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</w:p>
    <w:p w14:paraId="55028CF8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Importance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of the β3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Subunit</w:t>
      </w:r>
      <w:proofErr w:type="spellEnd"/>
    </w:p>
    <w:p w14:paraId="5DE6FAFB" w14:textId="4F508292" w:rsidR="00FA1503" w:rsidRPr="00840757" w:rsidRDefault="00000000">
      <w:pPr>
        <w:spacing w:after="210" w:line="360" w:lineRule="auto"/>
        <w:rPr>
          <w:rFonts w:ascii="Arial" w:hAnsi="Arial" w:cs="Arial"/>
        </w:rPr>
      </w:pPr>
      <w:r w:rsidRPr="00840757">
        <w:rPr>
          <w:rFonts w:ascii="Arial" w:eastAsia="inter" w:hAnsi="Arial" w:cs="Arial"/>
          <w:color w:val="000000"/>
        </w:rPr>
        <w:t xml:space="preserve">The β3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specifically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plays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 </w:t>
      </w:r>
      <w:proofErr w:type="spellStart"/>
      <w:r w:rsidRPr="00840757">
        <w:rPr>
          <w:rFonts w:ascii="Arial" w:eastAsia="inter" w:hAnsi="Arial" w:cs="Arial"/>
          <w:color w:val="000000"/>
        </w:rPr>
        <w:t>crucial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role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transmission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Research </w:t>
      </w:r>
      <w:proofErr w:type="spellStart"/>
      <w:r w:rsidRPr="00840757">
        <w:rPr>
          <w:rFonts w:ascii="Arial" w:eastAsia="inter" w:hAnsi="Arial" w:cs="Arial"/>
          <w:color w:val="000000"/>
        </w:rPr>
        <w:t>shows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that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knockout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β3 </w:t>
      </w:r>
      <w:proofErr w:type="spellStart"/>
      <w:r w:rsidRPr="00840757">
        <w:rPr>
          <w:rFonts w:ascii="Arial" w:eastAsia="inter" w:hAnsi="Arial" w:cs="Arial"/>
          <w:color w:val="000000"/>
        </w:rPr>
        <w:t>impairs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transmission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particularly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affecting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inputs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from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parvalbumin-expressing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interneurons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onto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pyramidal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cells</w:t>
      </w:r>
      <w:proofErr w:type="spellEnd"/>
      <w:r w:rsidR="00FA1503">
        <w:fldChar w:fldCharType="begin"/>
      </w:r>
      <w:r w:rsidR="00FA1503">
        <w:instrText>HYPERLINK \l "fn4" \h</w:instrText>
      </w:r>
      <w:r w:rsidR="00FA1503">
        <w:fldChar w:fldCharType="separate"/>
      </w:r>
      <w:bookmarkStart w:id="7" w:name="fnref4"/>
      <w:bookmarkEnd w:id="7"/>
      <w:r w:rsidR="00FA1503" w:rsidRPr="00840757">
        <w:rPr>
          <w:rFonts w:ascii="Arial" w:eastAsia="inter" w:hAnsi="Arial" w:cs="Arial"/>
          <w:u w:val="single"/>
          <w:vertAlign w:val="superscript"/>
        </w:rPr>
        <w:t>[4]</w:t>
      </w:r>
      <w:r w:rsidR="00FA1503">
        <w:fldChar w:fldCharType="end"/>
      </w:r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Expression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β3 </w:t>
      </w:r>
      <w:proofErr w:type="spellStart"/>
      <w:r w:rsidRPr="00840757">
        <w:rPr>
          <w:rFonts w:ascii="Arial" w:eastAsia="inter" w:hAnsi="Arial" w:cs="Arial"/>
          <w:color w:val="000000"/>
        </w:rPr>
        <w:t>alone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sufficient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rescue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the </w:t>
      </w:r>
      <w:proofErr w:type="spellStart"/>
      <w:r w:rsidRPr="00840757">
        <w:rPr>
          <w:rFonts w:ascii="Arial" w:eastAsia="inter" w:hAnsi="Arial" w:cs="Arial"/>
          <w:color w:val="000000"/>
        </w:rPr>
        <w:t>context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a β1-3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knockout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highlighting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unique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importance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GABAA </w:t>
      </w:r>
      <w:proofErr w:type="spellStart"/>
      <w:r w:rsidRPr="00840757">
        <w:rPr>
          <w:rFonts w:ascii="Arial" w:eastAsia="inter" w:hAnsi="Arial" w:cs="Arial"/>
          <w:color w:val="000000"/>
        </w:rPr>
        <w:t>receptor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function</w:t>
      </w:r>
      <w:proofErr w:type="spellEnd"/>
      <w:r w:rsidR="00FA1503">
        <w:fldChar w:fldCharType="begin"/>
      </w:r>
      <w:r w:rsidR="00FA1503">
        <w:instrText>HYPERLINK \l "fn4" \h</w:instrText>
      </w:r>
      <w:r w:rsidR="00FA1503">
        <w:fldChar w:fldCharType="separate"/>
      </w:r>
      <w:bookmarkStart w:id="8" w:name="fnref4%3A1"/>
      <w:bookmarkEnd w:id="8"/>
      <w:r w:rsidR="00FA1503" w:rsidRPr="00840757">
        <w:rPr>
          <w:rFonts w:ascii="Arial" w:eastAsia="inter" w:hAnsi="Arial" w:cs="Arial"/>
          <w:u w:val="single"/>
          <w:vertAlign w:val="superscript"/>
        </w:rPr>
        <w:t>[4]</w:t>
      </w:r>
      <w:r w:rsidR="00FA1503">
        <w:fldChar w:fldCharType="end"/>
      </w:r>
      <w:r w:rsidRPr="00840757">
        <w:rPr>
          <w:rFonts w:ascii="Arial" w:eastAsia="inter" w:hAnsi="Arial" w:cs="Arial"/>
          <w:color w:val="000000"/>
        </w:rPr>
        <w:t>.</w:t>
      </w:r>
    </w:p>
    <w:p w14:paraId="013756D0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Analysis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of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Specific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Dimer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Candidates</w:t>
      </w:r>
      <w:proofErr w:type="spellEnd"/>
    </w:p>
    <w:p w14:paraId="430A250E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r w:rsidRPr="00840757">
        <w:rPr>
          <w:rFonts w:ascii="Arial" w:eastAsia="inter" w:hAnsi="Arial" w:cs="Arial"/>
          <w:b/>
          <w:color w:val="000000"/>
          <w:sz w:val="24"/>
        </w:rPr>
        <w:t xml:space="preserve">α5-Containing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Combinations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(α5-α3, β2-α5)</w:t>
      </w:r>
    </w:p>
    <w:p w14:paraId="5ED81579" w14:textId="77777777" w:rsidR="008D3660" w:rsidRPr="00840757" w:rsidRDefault="00000000" w:rsidP="008D3660">
      <w:pPr>
        <w:numPr>
          <w:ilvl w:val="0"/>
          <w:numId w:val="6"/>
        </w:numPr>
        <w:spacing w:after="210" w:line="360" w:lineRule="auto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color w:val="000000"/>
        </w:rPr>
        <w:t>These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represent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</w:t>
      </w:r>
      <w:proofErr w:type="spellStart"/>
      <w:r w:rsidRPr="00840757">
        <w:rPr>
          <w:rFonts w:ascii="Arial" w:eastAsia="inter" w:hAnsi="Arial" w:cs="Arial"/>
          <w:color w:val="000000"/>
        </w:rPr>
        <w:t>strongest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candidates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for </w:t>
      </w:r>
      <w:proofErr w:type="spellStart"/>
      <w:r w:rsidRPr="00840757">
        <w:rPr>
          <w:rFonts w:ascii="Arial" w:eastAsia="inter" w:hAnsi="Arial" w:cs="Arial"/>
          <w:color w:val="000000"/>
        </w:rPr>
        <w:t>GABAslow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expression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based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on </w:t>
      </w:r>
      <w:proofErr w:type="spellStart"/>
      <w:r w:rsidRPr="00840757">
        <w:rPr>
          <w:rFonts w:ascii="Arial" w:eastAsia="inter" w:hAnsi="Arial" w:cs="Arial"/>
          <w:color w:val="000000"/>
        </w:rPr>
        <w:t>direct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evidence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linking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α5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currents</w:t>
      </w:r>
      <w:proofErr w:type="spellEnd"/>
      <w:r w:rsidR="008D3660">
        <w:fldChar w:fldCharType="begin"/>
      </w:r>
      <w:r w:rsidR="008D3660">
        <w:instrText>HYPERLINK \l "fn1" \h</w:instrText>
      </w:r>
      <w:r w:rsidR="008D3660">
        <w:fldChar w:fldCharType="separate"/>
      </w:r>
      <w:bookmarkStart w:id="9" w:name="fnref1%3A1"/>
      <w:bookmarkEnd w:id="9"/>
      <w:r w:rsidR="008D3660" w:rsidRPr="00840757">
        <w:rPr>
          <w:rFonts w:ascii="Arial" w:eastAsia="inter" w:hAnsi="Arial" w:cs="Arial"/>
          <w:u w:val="single"/>
          <w:vertAlign w:val="superscript"/>
        </w:rPr>
        <w:t>[1]</w:t>
      </w:r>
      <w:r w:rsidR="008D3660">
        <w:fldChar w:fldCharType="end"/>
      </w:r>
      <w:r w:rsidRPr="00840757">
        <w:rPr>
          <w:rFonts w:ascii="Arial" w:eastAsia="inter" w:hAnsi="Arial" w:cs="Arial"/>
          <w:color w:val="000000"/>
        </w:rPr>
        <w:t xml:space="preserve">. The α5-α3 </w:t>
      </w:r>
      <w:proofErr w:type="spellStart"/>
      <w:r w:rsidRPr="00840757">
        <w:rPr>
          <w:rFonts w:ascii="Arial" w:eastAsia="inter" w:hAnsi="Arial" w:cs="Arial"/>
          <w:color w:val="000000"/>
        </w:rPr>
        <w:t>combination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particularly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interesting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incorporates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two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associated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with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kinetics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  <w:r w:rsidR="008D3660">
        <w:rPr>
          <w:rFonts w:ascii="Arial" w:eastAsia="inter" w:hAnsi="Arial" w:cs="Arial"/>
          <w:color w:val="000000"/>
          <w:lang w:val="en-US"/>
        </w:rPr>
        <w:t xml:space="preserve"> </w:t>
      </w:r>
      <w:hyperlink r:id="rId8">
        <w:r w:rsidR="008D3660" w:rsidRPr="00840757">
          <w:rPr>
            <w:rFonts w:ascii="Arial" w:eastAsia="inter" w:hAnsi="Arial" w:cs="Arial"/>
            <w:sz w:val="18"/>
            <w:u w:val="single"/>
          </w:rPr>
          <w:t>https://pmc.ncbi.nlm.nih.gov/articles/PMC1156777/</w:t>
        </w:r>
      </w:hyperlink>
      <w:r w:rsidR="008D3660" w:rsidRPr="00840757">
        <w:rPr>
          <w:rFonts w:ascii="Arial" w:eastAsia="inter" w:hAnsi="Arial" w:cs="Arial"/>
          <w:color w:val="000000"/>
          <w:sz w:val="18"/>
        </w:rPr>
        <w:t xml:space="preserve">   </w:t>
      </w:r>
      <w:bookmarkStart w:id="10" w:name="fn4"/>
      <w:bookmarkEnd w:id="10"/>
    </w:p>
    <w:p w14:paraId="773C6C77" w14:textId="22BCAB56" w:rsidR="00FA1503" w:rsidRPr="008D3660" w:rsidRDefault="00FA1503">
      <w:pPr>
        <w:spacing w:after="210" w:line="360" w:lineRule="auto"/>
        <w:rPr>
          <w:rFonts w:ascii="Arial" w:hAnsi="Arial" w:cs="Arial"/>
          <w:lang w:val="en-US"/>
        </w:rPr>
      </w:pPr>
    </w:p>
    <w:p w14:paraId="641A097D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r w:rsidRPr="00840757">
        <w:rPr>
          <w:rFonts w:ascii="Arial" w:eastAsia="inter" w:hAnsi="Arial" w:cs="Arial"/>
          <w:b/>
          <w:color w:val="000000"/>
          <w:sz w:val="24"/>
        </w:rPr>
        <w:t xml:space="preserve">α2-Containing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Combinations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(α2-α3, α2-β1, α2-β3, α2-β4, α2-α4)</w:t>
      </w:r>
    </w:p>
    <w:p w14:paraId="776138C3" w14:textId="77777777" w:rsidR="008D3660" w:rsidRPr="00840757" w:rsidRDefault="00000000" w:rsidP="008D3660">
      <w:pPr>
        <w:numPr>
          <w:ilvl w:val="0"/>
          <w:numId w:val="7"/>
        </w:numPr>
        <w:spacing w:after="210" w:line="360" w:lineRule="auto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featuring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α2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show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significant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potential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for </w:t>
      </w:r>
      <w:proofErr w:type="spellStart"/>
      <w:r w:rsidRPr="00840757">
        <w:rPr>
          <w:rFonts w:ascii="Arial" w:eastAsia="inter" w:hAnsi="Arial" w:cs="Arial"/>
          <w:color w:val="000000"/>
        </w:rPr>
        <w:t>mediating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due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α2's </w:t>
      </w:r>
      <w:proofErr w:type="spellStart"/>
      <w:r w:rsidRPr="00840757">
        <w:rPr>
          <w:rFonts w:ascii="Arial" w:eastAsia="inter" w:hAnsi="Arial" w:cs="Arial"/>
          <w:color w:val="000000"/>
        </w:rPr>
        <w:t>documented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effect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on </w:t>
      </w:r>
      <w:proofErr w:type="spellStart"/>
      <w:r w:rsidRPr="00840757">
        <w:rPr>
          <w:rFonts w:ascii="Arial" w:eastAsia="inter" w:hAnsi="Arial" w:cs="Arial"/>
          <w:color w:val="000000"/>
        </w:rPr>
        <w:t>deactivation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kinetics</w:t>
      </w:r>
      <w:proofErr w:type="spellEnd"/>
      <w:r w:rsidR="008D3660">
        <w:fldChar w:fldCharType="begin"/>
      </w:r>
      <w:r w:rsidR="008D3660">
        <w:instrText>HYPERLINK \l "fn2" \h</w:instrText>
      </w:r>
      <w:r w:rsidR="008D3660">
        <w:fldChar w:fldCharType="separate"/>
      </w:r>
      <w:bookmarkStart w:id="11" w:name="fnref2%3A2"/>
      <w:bookmarkEnd w:id="11"/>
      <w:r w:rsidR="008D3660" w:rsidRPr="00840757">
        <w:rPr>
          <w:rFonts w:ascii="Arial" w:eastAsia="inter" w:hAnsi="Arial" w:cs="Arial"/>
          <w:u w:val="single"/>
          <w:vertAlign w:val="superscript"/>
        </w:rPr>
        <w:t>[2]</w:t>
      </w:r>
      <w:r w:rsidR="008D3660">
        <w:fldChar w:fldCharType="end"/>
      </w:r>
      <w:r w:rsidRPr="00840757">
        <w:rPr>
          <w:rFonts w:ascii="Arial" w:eastAsia="inter" w:hAnsi="Arial" w:cs="Arial"/>
          <w:color w:val="000000"/>
        </w:rPr>
        <w:t xml:space="preserve">. The α2-β3 </w:t>
      </w:r>
      <w:proofErr w:type="spellStart"/>
      <w:r w:rsidRPr="00840757">
        <w:rPr>
          <w:rFonts w:ascii="Arial" w:eastAsia="inter" w:hAnsi="Arial" w:cs="Arial"/>
          <w:color w:val="000000"/>
        </w:rPr>
        <w:t>pairing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may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lastRenderedPageBreak/>
        <w:t>especially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relevant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given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both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' </w:t>
      </w:r>
      <w:proofErr w:type="spellStart"/>
      <w:r w:rsidRPr="00840757">
        <w:rPr>
          <w:rFonts w:ascii="Arial" w:eastAsia="inter" w:hAnsi="Arial" w:cs="Arial"/>
          <w:color w:val="000000"/>
        </w:rPr>
        <w:t>important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roles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transmission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  <w:r w:rsidR="008D3660">
        <w:rPr>
          <w:rFonts w:ascii="Arial" w:eastAsia="inter" w:hAnsi="Arial" w:cs="Arial"/>
          <w:color w:val="000000"/>
          <w:lang w:val="en-US"/>
        </w:rPr>
        <w:t xml:space="preserve"> </w:t>
      </w:r>
      <w:hyperlink r:id="rId9">
        <w:r w:rsidR="008D3660" w:rsidRPr="00840757">
          <w:rPr>
            <w:rFonts w:ascii="Arial" w:eastAsia="inter" w:hAnsi="Arial" w:cs="Arial"/>
            <w:sz w:val="18"/>
            <w:u w:val="single"/>
          </w:rPr>
          <w:t>https://pmc.ncbi.nlm.nih.gov/articles/PMC6089239/</w:t>
        </w:r>
      </w:hyperlink>
      <w:r w:rsidR="008D3660" w:rsidRPr="00840757">
        <w:rPr>
          <w:rFonts w:ascii="Arial" w:eastAsia="inter" w:hAnsi="Arial" w:cs="Arial"/>
          <w:color w:val="000000"/>
          <w:sz w:val="18"/>
        </w:rPr>
        <w:t xml:space="preserve">  </w:t>
      </w:r>
      <w:bookmarkStart w:id="12" w:name="fn5"/>
      <w:bookmarkEnd w:id="12"/>
    </w:p>
    <w:p w14:paraId="55EAEEC7" w14:textId="67CB917D" w:rsidR="00FA1503" w:rsidRPr="008D3660" w:rsidRDefault="00FA1503">
      <w:pPr>
        <w:spacing w:after="210" w:line="360" w:lineRule="auto"/>
        <w:rPr>
          <w:rFonts w:ascii="Arial" w:hAnsi="Arial" w:cs="Arial"/>
          <w:lang w:val="en-US"/>
        </w:rPr>
      </w:pPr>
    </w:p>
    <w:p w14:paraId="30D7377D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r w:rsidRPr="00840757">
        <w:rPr>
          <w:rFonts w:ascii="Arial" w:eastAsia="inter" w:hAnsi="Arial" w:cs="Arial"/>
          <w:b/>
          <w:color w:val="000000"/>
          <w:sz w:val="24"/>
        </w:rPr>
        <w:t xml:space="preserve">α3-Containing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Combinations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(β1-α3, β3-α3)</w:t>
      </w:r>
    </w:p>
    <w:p w14:paraId="4B787F2A" w14:textId="7F87838A" w:rsidR="00FA1503" w:rsidRPr="00454243" w:rsidRDefault="00000000">
      <w:pPr>
        <w:spacing w:after="210" w:line="360" w:lineRule="auto"/>
        <w:rPr>
          <w:rFonts w:ascii="Arial" w:hAnsi="Arial" w:cs="Arial"/>
          <w:lang w:val="en-US"/>
        </w:rPr>
      </w:pPr>
      <w:proofErr w:type="spellStart"/>
      <w:r w:rsidRPr="00840757">
        <w:rPr>
          <w:rFonts w:ascii="Arial" w:eastAsia="inter" w:hAnsi="Arial" w:cs="Arial"/>
          <w:color w:val="000000"/>
        </w:rPr>
        <w:t>These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incorporate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α3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which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confers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activation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desensitization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and </w:t>
      </w:r>
      <w:proofErr w:type="spellStart"/>
      <w:r w:rsidRPr="00840757">
        <w:rPr>
          <w:rFonts w:ascii="Arial" w:eastAsia="inter" w:hAnsi="Arial" w:cs="Arial"/>
          <w:color w:val="000000"/>
        </w:rPr>
        <w:t>deactivation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properties</w:t>
      </w:r>
      <w:proofErr w:type="spellEnd"/>
      <w:r w:rsidR="00FA1503">
        <w:fldChar w:fldCharType="begin"/>
      </w:r>
      <w:r w:rsidR="00FA1503">
        <w:instrText>HYPERLINK \l "fn5" \h</w:instrText>
      </w:r>
      <w:r w:rsidR="00FA1503">
        <w:fldChar w:fldCharType="separate"/>
      </w:r>
      <w:bookmarkStart w:id="13" w:name="fnref5"/>
      <w:bookmarkEnd w:id="13"/>
      <w:r w:rsidR="00FA1503" w:rsidRPr="00840757">
        <w:rPr>
          <w:rFonts w:ascii="Arial" w:eastAsia="inter" w:hAnsi="Arial" w:cs="Arial"/>
          <w:u w:val="single"/>
          <w:vertAlign w:val="superscript"/>
        </w:rPr>
        <w:t>[5]</w:t>
      </w:r>
      <w:r w:rsidR="00FA1503">
        <w:fldChar w:fldCharType="end"/>
      </w:r>
      <w:hyperlink w:anchor="fn3">
        <w:bookmarkStart w:id="14" w:name="fnref3%3A2"/>
        <w:bookmarkEnd w:id="14"/>
        <w:r w:rsidR="00FA1503" w:rsidRPr="00840757">
          <w:rPr>
            <w:rFonts w:ascii="Arial" w:eastAsia="inter" w:hAnsi="Arial" w:cs="Arial"/>
            <w:u w:val="single"/>
            <w:vertAlign w:val="superscript"/>
          </w:rPr>
          <w:t>[3]</w:t>
        </w:r>
      </w:hyperlink>
      <w:r w:rsidRPr="00840757">
        <w:rPr>
          <w:rFonts w:ascii="Arial" w:eastAsia="inter" w:hAnsi="Arial" w:cs="Arial"/>
          <w:color w:val="000000"/>
        </w:rPr>
        <w:t xml:space="preserve">. The β3-α3 </w:t>
      </w:r>
      <w:proofErr w:type="spellStart"/>
      <w:r w:rsidRPr="00840757">
        <w:rPr>
          <w:rFonts w:ascii="Arial" w:eastAsia="inter" w:hAnsi="Arial" w:cs="Arial"/>
          <w:color w:val="000000"/>
        </w:rPr>
        <w:t>combination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merits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particular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attention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two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individually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linked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important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aspects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transmission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  <w:r w:rsidR="00454243">
        <w:rPr>
          <w:rFonts w:ascii="Arial" w:eastAsia="inter" w:hAnsi="Arial" w:cs="Arial"/>
          <w:color w:val="000000"/>
          <w:lang w:val="en-US"/>
        </w:rPr>
        <w:t xml:space="preserve"> </w:t>
      </w:r>
      <w:r w:rsidR="00454243">
        <w:rPr>
          <w:rFonts w:ascii="Segoe UI" w:hAnsi="Segoe UI" w:cs="Segoe UI"/>
          <w:color w:val="222222"/>
          <w:shd w:val="clear" w:color="auto" w:fill="FFFFFF"/>
        </w:rPr>
        <w:t>https://doi.org/10.1038/s41467-022-32212-4</w:t>
      </w:r>
    </w:p>
    <w:p w14:paraId="68B35668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r w:rsidRPr="00840757">
        <w:rPr>
          <w:rFonts w:ascii="Arial" w:eastAsia="inter" w:hAnsi="Arial" w:cs="Arial"/>
          <w:b/>
          <w:color w:val="000000"/>
          <w:sz w:val="24"/>
        </w:rPr>
        <w:t xml:space="preserve">α1-Containing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Combinations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(α1-β1, α1-β2)</w:t>
      </w:r>
    </w:p>
    <w:p w14:paraId="4306C00E" w14:textId="7C1B8B1D" w:rsidR="00FA1503" w:rsidRPr="00840757" w:rsidRDefault="00000000">
      <w:pPr>
        <w:spacing w:after="210" w:line="360" w:lineRule="auto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color w:val="000000"/>
        </w:rPr>
        <w:t>These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are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less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likely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contribute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significantly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GABAslow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expression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Developmental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studies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show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that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 </w:t>
      </w:r>
      <w:proofErr w:type="spellStart"/>
      <w:r w:rsidRPr="00840757">
        <w:rPr>
          <w:rFonts w:ascii="Arial" w:eastAsia="inter" w:hAnsi="Arial" w:cs="Arial"/>
          <w:color w:val="000000"/>
        </w:rPr>
        <w:t>switch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from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α2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α1 </w:t>
      </w:r>
      <w:proofErr w:type="spellStart"/>
      <w:r w:rsidRPr="00840757">
        <w:rPr>
          <w:rFonts w:ascii="Arial" w:eastAsia="inter" w:hAnsi="Arial" w:cs="Arial"/>
          <w:color w:val="000000"/>
        </w:rPr>
        <w:t>expression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correlates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with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faster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IPSC </w:t>
      </w:r>
      <w:proofErr w:type="spellStart"/>
      <w:r w:rsidRPr="00840757">
        <w:rPr>
          <w:rFonts w:ascii="Arial" w:eastAsia="inter" w:hAnsi="Arial" w:cs="Arial"/>
          <w:color w:val="000000"/>
        </w:rPr>
        <w:t>decay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times</w:t>
      </w:r>
      <w:proofErr w:type="spellEnd"/>
      <w:r w:rsidR="00FA1503">
        <w:fldChar w:fldCharType="begin"/>
      </w:r>
      <w:r w:rsidR="00FA1503">
        <w:instrText>HYPERLINK \l "fn6" \h</w:instrText>
      </w:r>
      <w:r w:rsidR="00FA1503">
        <w:fldChar w:fldCharType="separate"/>
      </w:r>
      <w:bookmarkStart w:id="15" w:name="fnref6"/>
      <w:bookmarkEnd w:id="15"/>
      <w:r w:rsidR="00FA1503" w:rsidRPr="00840757">
        <w:rPr>
          <w:rFonts w:ascii="Arial" w:eastAsia="inter" w:hAnsi="Arial" w:cs="Arial"/>
          <w:u w:val="single"/>
          <w:vertAlign w:val="superscript"/>
        </w:rPr>
        <w:t>[6]</w:t>
      </w:r>
      <w:r w:rsidR="00FA1503">
        <w:fldChar w:fldCharType="end"/>
      </w:r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suggesting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α1-containing </w:t>
      </w:r>
      <w:proofErr w:type="spellStart"/>
      <w:r w:rsidRPr="00840757">
        <w:rPr>
          <w:rFonts w:ascii="Arial" w:eastAsia="inter" w:hAnsi="Arial" w:cs="Arial"/>
          <w:color w:val="000000"/>
        </w:rPr>
        <w:t>receptors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typically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mediate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faster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currents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</w:p>
    <w:p w14:paraId="75029E9E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Pentameric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Structure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and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Functional</w:t>
      </w:r>
      <w:proofErr w:type="spellEnd"/>
      <w:r w:rsidRPr="00840757">
        <w:rPr>
          <w:rFonts w:ascii="Arial" w:eastAsia="inter" w:hAnsi="Arial" w:cs="Arial"/>
          <w:b/>
          <w:color w:val="000000"/>
          <w:sz w:val="24"/>
        </w:rPr>
        <w:t xml:space="preserve"> </w:t>
      </w: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Implications</w:t>
      </w:r>
      <w:proofErr w:type="spellEnd"/>
    </w:p>
    <w:p w14:paraId="008C02D2" w14:textId="77777777" w:rsidR="00FA1503" w:rsidRPr="00840757" w:rsidRDefault="00000000">
      <w:pPr>
        <w:spacing w:after="210" w:line="360" w:lineRule="auto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color w:val="000000"/>
        </w:rPr>
        <w:t>It's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important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note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that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functional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GABAA </w:t>
      </w:r>
      <w:proofErr w:type="spellStart"/>
      <w:r w:rsidRPr="00840757">
        <w:rPr>
          <w:rFonts w:ascii="Arial" w:eastAsia="inter" w:hAnsi="Arial" w:cs="Arial"/>
          <w:color w:val="000000"/>
        </w:rPr>
        <w:t>receptors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are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pentamers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typically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composed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2α, 2β, and 1γ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The </w:t>
      </w:r>
      <w:proofErr w:type="spellStart"/>
      <w:r w:rsidRPr="00840757">
        <w:rPr>
          <w:rFonts w:ascii="Arial" w:eastAsia="inter" w:hAnsi="Arial" w:cs="Arial"/>
          <w:color w:val="000000"/>
        </w:rPr>
        <w:t>dimeric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listed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likely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represent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building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blocks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</w:t>
      </w:r>
      <w:proofErr w:type="spellStart"/>
      <w:r w:rsidRPr="00840757">
        <w:rPr>
          <w:rFonts w:ascii="Arial" w:eastAsia="inter" w:hAnsi="Arial" w:cs="Arial"/>
          <w:color w:val="000000"/>
        </w:rPr>
        <w:t>complete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receptors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rather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than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functional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themselves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</w:p>
    <w:p w14:paraId="1654E9AA" w14:textId="6E0A6091" w:rsidR="00FA1503" w:rsidRPr="00840757" w:rsidRDefault="00000000">
      <w:pPr>
        <w:spacing w:after="210" w:line="360" w:lineRule="auto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color w:val="000000"/>
        </w:rPr>
        <w:t>Experimental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evidence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indicates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that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receptor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properties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are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dramatically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influenced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</w:t>
      </w:r>
      <w:proofErr w:type="spellStart"/>
      <w:r w:rsidRPr="00840757">
        <w:rPr>
          <w:rFonts w:ascii="Arial" w:eastAsia="inter" w:hAnsi="Arial" w:cs="Arial"/>
          <w:color w:val="000000"/>
        </w:rPr>
        <w:t>full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composition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For </w:t>
      </w:r>
      <w:proofErr w:type="spellStart"/>
      <w:r w:rsidRPr="00840757">
        <w:rPr>
          <w:rFonts w:ascii="Arial" w:eastAsia="inter" w:hAnsi="Arial" w:cs="Arial"/>
          <w:color w:val="000000"/>
        </w:rPr>
        <w:t>example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α1β1 and α1β1γ2S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produce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distinct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channels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with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different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conductance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and </w:t>
      </w:r>
      <w:proofErr w:type="spellStart"/>
      <w:r w:rsidRPr="00840757">
        <w:rPr>
          <w:rFonts w:ascii="Arial" w:eastAsia="inter" w:hAnsi="Arial" w:cs="Arial"/>
          <w:color w:val="000000"/>
        </w:rPr>
        <w:t>gating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properties</w:t>
      </w:r>
      <w:proofErr w:type="spellEnd"/>
      <w:r w:rsidR="00FA1503">
        <w:fldChar w:fldCharType="begin"/>
      </w:r>
      <w:r w:rsidR="00FA1503">
        <w:instrText>HYPERLINK \l "fn7" \h</w:instrText>
      </w:r>
      <w:r w:rsidR="00FA1503">
        <w:fldChar w:fldCharType="separate"/>
      </w:r>
      <w:bookmarkStart w:id="16" w:name="fnref7"/>
      <w:bookmarkEnd w:id="16"/>
      <w:r w:rsidR="00FA1503" w:rsidRPr="00840757">
        <w:rPr>
          <w:rFonts w:ascii="Arial" w:eastAsia="inter" w:hAnsi="Arial" w:cs="Arial"/>
          <w:u w:val="single"/>
          <w:vertAlign w:val="superscript"/>
        </w:rPr>
        <w:t>[7]</w:t>
      </w:r>
      <w:r w:rsidR="00FA1503">
        <w:fldChar w:fldCharType="end"/>
      </w:r>
      <w:r w:rsidRPr="00840757">
        <w:rPr>
          <w:rFonts w:ascii="Arial" w:eastAsia="inter" w:hAnsi="Arial" w:cs="Arial"/>
          <w:color w:val="000000"/>
        </w:rPr>
        <w:t xml:space="preserve">. α1β1γ2S </w:t>
      </w:r>
      <w:proofErr w:type="spellStart"/>
      <w:r w:rsidRPr="00840757">
        <w:rPr>
          <w:rFonts w:ascii="Arial" w:eastAsia="inter" w:hAnsi="Arial" w:cs="Arial"/>
          <w:color w:val="000000"/>
        </w:rPr>
        <w:t>GABARs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opened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for </w:t>
      </w:r>
      <w:proofErr w:type="spellStart"/>
      <w:r w:rsidRPr="00840757">
        <w:rPr>
          <w:rFonts w:ascii="Arial" w:eastAsia="inter" w:hAnsi="Arial" w:cs="Arial"/>
          <w:color w:val="000000"/>
        </w:rPr>
        <w:t>almost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three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times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</w:t>
      </w:r>
      <w:proofErr w:type="spellStart"/>
      <w:r w:rsidRPr="00840757">
        <w:rPr>
          <w:rFonts w:ascii="Arial" w:eastAsia="inter" w:hAnsi="Arial" w:cs="Arial"/>
          <w:color w:val="000000"/>
        </w:rPr>
        <w:t>duration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α1β1 </w:t>
      </w:r>
      <w:proofErr w:type="spellStart"/>
      <w:r w:rsidRPr="00840757">
        <w:rPr>
          <w:rFonts w:ascii="Arial" w:eastAsia="inter" w:hAnsi="Arial" w:cs="Arial"/>
          <w:color w:val="000000"/>
        </w:rPr>
        <w:t>GABARs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(6.0 </w:t>
      </w:r>
      <w:proofErr w:type="spellStart"/>
      <w:r w:rsidRPr="00840757">
        <w:rPr>
          <w:rFonts w:ascii="Arial" w:eastAsia="inter" w:hAnsi="Arial" w:cs="Arial"/>
          <w:color w:val="000000"/>
        </w:rPr>
        <w:t>vs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2.3 </w:t>
      </w:r>
      <w:proofErr w:type="spellStart"/>
      <w:r w:rsidRPr="00840757">
        <w:rPr>
          <w:rFonts w:ascii="Arial" w:eastAsia="inter" w:hAnsi="Arial" w:cs="Arial"/>
          <w:color w:val="000000"/>
        </w:rPr>
        <w:t>msec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respectively</w:t>
      </w:r>
      <w:proofErr w:type="spellEnd"/>
      <w:r w:rsidRPr="00840757">
        <w:rPr>
          <w:rFonts w:ascii="Arial" w:eastAsia="inter" w:hAnsi="Arial" w:cs="Arial"/>
          <w:color w:val="000000"/>
        </w:rPr>
        <w:t>)</w:t>
      </w:r>
      <w:hyperlink w:anchor="fn7">
        <w:bookmarkStart w:id="17" w:name="fnref7%3A1"/>
        <w:bookmarkEnd w:id="17"/>
        <w:r w:rsidR="00FA1503" w:rsidRPr="00840757">
          <w:rPr>
            <w:rFonts w:ascii="Arial" w:eastAsia="inter" w:hAnsi="Arial" w:cs="Arial"/>
            <w:u w:val="single"/>
            <w:vertAlign w:val="superscript"/>
          </w:rPr>
          <w:t>[7]</w:t>
        </w:r>
      </w:hyperlink>
      <w:r w:rsidRPr="00840757">
        <w:rPr>
          <w:rFonts w:ascii="Arial" w:eastAsia="inter" w:hAnsi="Arial" w:cs="Arial"/>
          <w:color w:val="000000"/>
        </w:rPr>
        <w:t>.</w:t>
      </w:r>
    </w:p>
    <w:p w14:paraId="5294DB26" w14:textId="77777777" w:rsidR="00FA1503" w:rsidRPr="00840757" w:rsidRDefault="00000000">
      <w:pPr>
        <w:spacing w:before="315" w:after="105" w:line="360" w:lineRule="auto"/>
        <w:ind w:left="-30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b/>
          <w:color w:val="000000"/>
          <w:sz w:val="24"/>
        </w:rPr>
        <w:t>Conclusion</w:t>
      </w:r>
      <w:proofErr w:type="spellEnd"/>
    </w:p>
    <w:p w14:paraId="33A83595" w14:textId="77777777" w:rsidR="00FA1503" w:rsidRPr="00840757" w:rsidRDefault="00000000">
      <w:pPr>
        <w:spacing w:after="210" w:line="360" w:lineRule="auto"/>
        <w:rPr>
          <w:rFonts w:ascii="Arial" w:hAnsi="Arial" w:cs="Arial"/>
        </w:rPr>
      </w:pPr>
      <w:proofErr w:type="spellStart"/>
      <w:r w:rsidRPr="00840757">
        <w:rPr>
          <w:rFonts w:ascii="Arial" w:eastAsia="inter" w:hAnsi="Arial" w:cs="Arial"/>
          <w:color w:val="000000"/>
        </w:rPr>
        <w:t>Based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on the </w:t>
      </w:r>
      <w:proofErr w:type="spellStart"/>
      <w:r w:rsidRPr="00840757">
        <w:rPr>
          <w:rFonts w:ascii="Arial" w:eastAsia="inter" w:hAnsi="Arial" w:cs="Arial"/>
          <w:color w:val="000000"/>
        </w:rPr>
        <w:t>available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evidence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certain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emerge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more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likely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candidates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for </w:t>
      </w:r>
      <w:proofErr w:type="spellStart"/>
      <w:r w:rsidRPr="00840757">
        <w:rPr>
          <w:rFonts w:ascii="Arial" w:eastAsia="inter" w:hAnsi="Arial" w:cs="Arial"/>
          <w:color w:val="000000"/>
        </w:rPr>
        <w:t>GABAslow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expression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The </w:t>
      </w:r>
      <w:proofErr w:type="spellStart"/>
      <w:r w:rsidRPr="00840757">
        <w:rPr>
          <w:rFonts w:ascii="Arial" w:eastAsia="inter" w:hAnsi="Arial" w:cs="Arial"/>
          <w:color w:val="000000"/>
        </w:rPr>
        <w:t>most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promising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candidates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include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those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containing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α5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(α5-α3, β2-α5), </w:t>
      </w:r>
      <w:proofErr w:type="spellStart"/>
      <w:r w:rsidRPr="00840757">
        <w:rPr>
          <w:rFonts w:ascii="Arial" w:eastAsia="inter" w:hAnsi="Arial" w:cs="Arial"/>
          <w:color w:val="000000"/>
        </w:rPr>
        <w:t>followed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featuring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α2 </w:t>
      </w:r>
      <w:proofErr w:type="spellStart"/>
      <w:r w:rsidRPr="00840757">
        <w:rPr>
          <w:rFonts w:ascii="Arial" w:eastAsia="inter" w:hAnsi="Arial" w:cs="Arial"/>
          <w:color w:val="000000"/>
        </w:rPr>
        <w:t>or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α3 </w:t>
      </w:r>
      <w:proofErr w:type="spellStart"/>
      <w:r w:rsidRPr="00840757">
        <w:rPr>
          <w:rFonts w:ascii="Arial" w:eastAsia="inter" w:hAnsi="Arial" w:cs="Arial"/>
          <w:color w:val="000000"/>
        </w:rPr>
        <w:t>subunits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particularly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when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paired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with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β3 (α2-β3, β3-α3).</w:t>
      </w:r>
    </w:p>
    <w:p w14:paraId="13DA92AD" w14:textId="77777777" w:rsidR="008D3660" w:rsidRDefault="00000000" w:rsidP="008D3660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121"/>
          <w:sz w:val="24"/>
        </w:rPr>
      </w:pPr>
      <w:r w:rsidRPr="00840757">
        <w:rPr>
          <w:rFonts w:ascii="Arial" w:eastAsia="inter" w:hAnsi="Arial" w:cs="Arial"/>
          <w:color w:val="000000"/>
        </w:rPr>
        <w:t xml:space="preserve">The α1-containing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(α1-β1, α1-β2) </w:t>
      </w:r>
      <w:proofErr w:type="spellStart"/>
      <w:r w:rsidRPr="00840757">
        <w:rPr>
          <w:rFonts w:ascii="Arial" w:eastAsia="inter" w:hAnsi="Arial" w:cs="Arial"/>
          <w:color w:val="000000"/>
        </w:rPr>
        <w:t>are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less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likely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contribute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inhibitory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currents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. </w:t>
      </w:r>
      <w:proofErr w:type="spellStart"/>
      <w:r w:rsidRPr="00840757">
        <w:rPr>
          <w:rFonts w:ascii="Arial" w:eastAsia="inter" w:hAnsi="Arial" w:cs="Arial"/>
          <w:color w:val="000000"/>
        </w:rPr>
        <w:t>However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the </w:t>
      </w:r>
      <w:proofErr w:type="spellStart"/>
      <w:r w:rsidRPr="00840757">
        <w:rPr>
          <w:rFonts w:ascii="Arial" w:eastAsia="inter" w:hAnsi="Arial" w:cs="Arial"/>
          <w:color w:val="000000"/>
        </w:rPr>
        <w:t>actual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contribution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</w:t>
      </w:r>
      <w:proofErr w:type="spellStart"/>
      <w:r w:rsidRPr="00840757">
        <w:rPr>
          <w:rFonts w:ascii="Arial" w:eastAsia="inter" w:hAnsi="Arial" w:cs="Arial"/>
          <w:color w:val="000000"/>
        </w:rPr>
        <w:t>any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subunit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GABAslow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would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depend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on </w:t>
      </w:r>
      <w:proofErr w:type="spellStart"/>
      <w:r w:rsidRPr="00840757">
        <w:rPr>
          <w:rFonts w:ascii="Arial" w:eastAsia="inter" w:hAnsi="Arial" w:cs="Arial"/>
          <w:color w:val="000000"/>
        </w:rPr>
        <w:t>their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incorporation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functional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pentameric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receptors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and </w:t>
      </w:r>
      <w:proofErr w:type="spellStart"/>
      <w:r w:rsidRPr="00840757">
        <w:rPr>
          <w:rFonts w:ascii="Arial" w:eastAsia="inter" w:hAnsi="Arial" w:cs="Arial"/>
          <w:color w:val="000000"/>
        </w:rPr>
        <w:t>their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specific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synaptic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localization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, </w:t>
      </w:r>
      <w:proofErr w:type="spellStart"/>
      <w:r w:rsidRPr="00840757">
        <w:rPr>
          <w:rFonts w:ascii="Arial" w:eastAsia="inter" w:hAnsi="Arial" w:cs="Arial"/>
          <w:color w:val="000000"/>
        </w:rPr>
        <w:t>which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cannot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definitively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determined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solely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from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the </w:t>
      </w:r>
      <w:proofErr w:type="spellStart"/>
      <w:r w:rsidRPr="00840757">
        <w:rPr>
          <w:rFonts w:ascii="Arial" w:eastAsia="inter" w:hAnsi="Arial" w:cs="Arial"/>
          <w:color w:val="000000"/>
        </w:rPr>
        <w:t>dimeric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listed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  <w:r w:rsidR="008D3660">
        <w:rPr>
          <w:rFonts w:ascii="Arial" w:eastAsia="inter" w:hAnsi="Arial" w:cs="Arial"/>
          <w:color w:val="000000"/>
          <w:lang w:val="en-US"/>
        </w:rPr>
        <w:t xml:space="preserve"> </w:t>
      </w:r>
      <w:hyperlink r:id="rId10" w:tgtFrame="_blank" w:history="1">
        <w:r w:rsidR="008D3660">
          <w:rPr>
            <w:rStyle w:val="Hyperlink"/>
            <w:rFonts w:ascii="Segoe UI" w:hAnsi="Segoe UI" w:cs="Segoe UI"/>
            <w:color w:val="0071BC"/>
          </w:rPr>
          <w:t>10.1113/jphysiol.1995.sp021070</w:t>
        </w:r>
      </w:hyperlink>
    </w:p>
    <w:p w14:paraId="571C5F28" w14:textId="4339A155" w:rsidR="00FA1503" w:rsidRPr="008D3660" w:rsidRDefault="00FA1503">
      <w:pPr>
        <w:spacing w:after="210" w:line="360" w:lineRule="auto"/>
        <w:rPr>
          <w:rFonts w:ascii="Arial" w:hAnsi="Arial" w:cs="Arial"/>
          <w:lang w:val="en-US"/>
        </w:rPr>
      </w:pPr>
    </w:p>
    <w:p w14:paraId="09C87E5E" w14:textId="582AD9AB" w:rsidR="00FA1503" w:rsidRPr="008D3660" w:rsidRDefault="00000000" w:rsidP="008D3660">
      <w:pPr>
        <w:spacing w:after="210" w:line="360" w:lineRule="auto"/>
        <w:rPr>
          <w:rFonts w:ascii="Arial" w:hAnsi="Arial" w:cs="Arial"/>
          <w:lang w:val="en-US"/>
        </w:rPr>
      </w:pPr>
      <w:proofErr w:type="spellStart"/>
      <w:r w:rsidRPr="00840757">
        <w:rPr>
          <w:rFonts w:ascii="Arial" w:eastAsia="inter" w:hAnsi="Arial" w:cs="Arial"/>
          <w:color w:val="000000"/>
        </w:rPr>
        <w:t>Further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experimental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investigation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using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techniques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such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as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targeted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genetic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manipulation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and </w:t>
      </w:r>
      <w:proofErr w:type="spellStart"/>
      <w:r w:rsidRPr="00840757">
        <w:rPr>
          <w:rFonts w:ascii="Arial" w:eastAsia="inter" w:hAnsi="Arial" w:cs="Arial"/>
          <w:color w:val="000000"/>
        </w:rPr>
        <w:t>electrophysiological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recording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would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be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necessary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conclusively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determine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which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of </w:t>
      </w:r>
      <w:proofErr w:type="spellStart"/>
      <w:r w:rsidRPr="00840757">
        <w:rPr>
          <w:rFonts w:ascii="Arial" w:eastAsia="inter" w:hAnsi="Arial" w:cs="Arial"/>
          <w:color w:val="000000"/>
        </w:rPr>
        <w:t>these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combinations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contribute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most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significantly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to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GABAslow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</w:t>
      </w:r>
      <w:proofErr w:type="spellStart"/>
      <w:r w:rsidRPr="00840757">
        <w:rPr>
          <w:rFonts w:ascii="Arial" w:eastAsia="inter" w:hAnsi="Arial" w:cs="Arial"/>
          <w:color w:val="000000"/>
        </w:rPr>
        <w:t>expression</w:t>
      </w:r>
      <w:proofErr w:type="spellEnd"/>
      <w:r w:rsidRPr="00840757">
        <w:rPr>
          <w:rFonts w:ascii="Arial" w:eastAsia="inter" w:hAnsi="Arial" w:cs="Arial"/>
          <w:color w:val="000000"/>
        </w:rPr>
        <w:t xml:space="preserve"> in </w:t>
      </w:r>
      <w:proofErr w:type="spellStart"/>
      <w:r w:rsidRPr="00840757">
        <w:rPr>
          <w:rFonts w:ascii="Arial" w:eastAsia="inter" w:hAnsi="Arial" w:cs="Arial"/>
          <w:color w:val="000000"/>
        </w:rPr>
        <w:t>vivo</w:t>
      </w:r>
      <w:proofErr w:type="spellEnd"/>
      <w:r w:rsidRPr="00840757">
        <w:rPr>
          <w:rFonts w:ascii="Arial" w:eastAsia="inter" w:hAnsi="Arial" w:cs="Arial"/>
          <w:color w:val="000000"/>
        </w:rPr>
        <w:t>.</w:t>
      </w:r>
      <w:r w:rsidR="008D3660">
        <w:rPr>
          <w:rFonts w:ascii="Arial" w:eastAsia="inter" w:hAnsi="Arial" w:cs="Arial"/>
          <w:color w:val="000000"/>
          <w:lang w:val="en-US"/>
        </w:rPr>
        <w:t xml:space="preserve"> </w:t>
      </w:r>
      <w:r w:rsidR="008D3660">
        <w:rPr>
          <w:rStyle w:val="apple-converted-space"/>
          <w:rFonts w:ascii="Helvetica Neue" w:hAnsi="Helvetica Neue"/>
          <w:color w:val="000000"/>
          <w:sz w:val="18"/>
          <w:szCs w:val="18"/>
          <w:bdr w:val="none" w:sz="0" w:space="0" w:color="auto" w:frame="1"/>
        </w:rPr>
        <w:t> </w:t>
      </w:r>
      <w:hyperlink r:id="rId11" w:history="1">
        <w:r w:rsidR="008D3660" w:rsidRPr="00520688">
          <w:rPr>
            <w:rStyle w:val="Hyperlink"/>
            <w:rFonts w:ascii="Helvetica Neue" w:hAnsi="Helvetica Neue"/>
            <w:sz w:val="18"/>
            <w:szCs w:val="18"/>
            <w:bdr w:val="none" w:sz="0" w:space="0" w:color="auto" w:frame="1"/>
          </w:rPr>
          <w:t>https://doi.org/10.1523/JNEUROSCI.20-06-02202.2000</w:t>
        </w:r>
      </w:hyperlink>
      <w:r w:rsidR="008D3660">
        <w:rPr>
          <w:rStyle w:val="highwire-cite-metadata-doi"/>
          <w:rFonts w:ascii="Helvetica Neue" w:hAnsi="Helvetica Neu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hyperlink r:id="rId12" w:history="1">
        <w:r w:rsidR="008D3660" w:rsidRPr="00520688">
          <w:rPr>
            <w:rStyle w:val="Hyperlink"/>
            <w:rFonts w:ascii="Helvetica Neue" w:hAnsi="Helvetica Neue"/>
            <w:sz w:val="18"/>
            <w:szCs w:val="18"/>
            <w:shd w:val="clear" w:color="auto" w:fill="FFFFFF"/>
          </w:rPr>
          <w:t>https://doi.org/10.1523/JNEUROSCI.13-04-01429.1993</w:t>
        </w:r>
      </w:hyperlink>
      <w:r w:rsidR="008D3660">
        <w:rPr>
          <w:rFonts w:ascii="Helvetica Neue" w:hAnsi="Helvetica Neue"/>
          <w:color w:val="000000"/>
          <w:sz w:val="18"/>
          <w:szCs w:val="18"/>
          <w:shd w:val="clear" w:color="auto" w:fill="FFFFFF"/>
          <w:lang w:val="en-US"/>
        </w:rPr>
        <w:t xml:space="preserve"> </w:t>
      </w:r>
      <w:bookmarkStart w:id="18" w:name="fn1"/>
      <w:bookmarkEnd w:id="18"/>
      <w:r w:rsidRPr="00840757">
        <w:rPr>
          <w:rFonts w:ascii="Arial" w:eastAsia="inter" w:hAnsi="Arial" w:cs="Arial"/>
          <w:color w:val="000000"/>
          <w:sz w:val="18"/>
        </w:rPr>
        <w:t xml:space="preserve"> </w:t>
      </w:r>
    </w:p>
    <w:sectPr w:rsidR="00FA1503" w:rsidRPr="008D3660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Cambria"/>
    <w:panose1 w:val="020B06040202020202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6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7"/>
  </w:num>
  <w:num w:numId="7" w16cid:durableId="477037015">
    <w:abstractNumId w:val="0"/>
  </w:num>
  <w:num w:numId="8" w16cid:durableId="132751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424373"/>
    <w:rsid w:val="00454243"/>
    <w:rsid w:val="005B1BDE"/>
    <w:rsid w:val="00840757"/>
    <w:rsid w:val="008D3660"/>
    <w:rsid w:val="009E74A4"/>
    <w:rsid w:val="00DD668F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115677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3937617/" TargetMode="External"/><Relationship Id="rId12" Type="http://schemas.openxmlformats.org/officeDocument/2006/relationships/hyperlink" Target="https://doi.org/10.1523/JNEUROSCI.13-04-01429.19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2666407/" TargetMode="External"/><Relationship Id="rId11" Type="http://schemas.openxmlformats.org/officeDocument/2006/relationships/hyperlink" Target="https://doi.org/10.1523/JNEUROSCI.20-06-02202.2000" TargetMode="External"/><Relationship Id="rId5" Type="http://schemas.openxmlformats.org/officeDocument/2006/relationships/hyperlink" Target="https://pmc.ncbi.nlm.nih.gov/articles/PMC2666407/" TargetMode="External"/><Relationship Id="rId10" Type="http://schemas.openxmlformats.org/officeDocument/2006/relationships/hyperlink" Target="https://doi.org/10.1113/jphysiol.1995.sp0210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608923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10</cp:revision>
  <dcterms:created xsi:type="dcterms:W3CDTF">2025-04-29T14:09:00Z</dcterms:created>
  <dcterms:modified xsi:type="dcterms:W3CDTF">2025-05-08T12:48:00Z</dcterms:modified>
  <dc:language>en-US</dc:language>
</cp:coreProperties>
</file>