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0" w:lineRule="auto"/>
        <w:jc w:val="center"/>
        <w:rPr/>
      </w:pPr>
      <w:r w:rsidDel="00000000" w:rsidR="00000000" w:rsidRPr="00000000">
        <w:rPr>
          <w:b w:val="1"/>
          <w:bCs w:val="1"/>
          <w:color w:val="1f4e79"/>
          <w:sz w:val="44"/>
          <w:szCs w:val="44"/>
          <w:rtl w:val="0"/>
        </w:rPr>
        <w:t xml:space="preserve">Cross-Agent Verifiable Information Provenance</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color w:val="555555"/>
          <w:sz w:val="26"/>
          <w:szCs w:val="26"/>
          <w:rtl w:val="0"/>
        </w:rPr>
        <w:t xml:space="preserve">A Defense Design Built on the 2024–2026 State of the Art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i w:val="1"/>
          <w:iCs w:val="1"/>
          <w:sz w:val="22"/>
          <w:szCs w:val="22"/>
          <w:rtl w:val="0"/>
        </w:rPr>
        <w:t xml:space="preserve">Problem-Statement and Design Sketch — Working Document v0.1</w:t>
      </w:r>
      <w:r w:rsidDel="00000000" w:rsidR="00000000" w:rsidRPr="00000000">
        <w:rPr>
          <w:rtl w:val="0"/>
        </w:rPr>
      </w:r>
    </w:p>
    <w:p w:rsidR="00000000" w:rsidDel="00000000" w:rsidP="00000000" w:rsidRDefault="00000000" w:rsidRPr="00000000" w14:paraId="00000004">
      <w:pPr>
        <w:spacing w:after="60" w:before="0" w:lineRule="auto"/>
        <w:jc w:val="center"/>
        <w:rPr>
          <w:b w:val="1"/>
          <w:bCs w:val="1"/>
          <w:i w:val="1"/>
          <w:iCs w:val="1"/>
          <w:color w:val="1f4e79"/>
          <w:sz w:val="22"/>
          <w:szCs w:val="22"/>
        </w:rPr>
      </w:pPr>
      <w:r w:rsidDel="00000000" w:rsidR="00000000" w:rsidRPr="00000000">
        <w:rPr>
          <w:rtl w:val="0"/>
        </w:rPr>
      </w:r>
    </w:p>
    <w:p w:rsidR="00000000" w:rsidDel="00000000" w:rsidP="00000000" w:rsidRDefault="00000000" w:rsidRPr="00000000" w14:paraId="00000005">
      <w:pPr>
        <w:spacing w:after="1200" w:before="0" w:lineRule="auto"/>
        <w:jc w:val="center"/>
        <w:rPr/>
      </w:pPr>
      <w:r w:rsidDel="00000000" w:rsidR="00000000" w:rsidRPr="00000000">
        <w:rPr>
          <w:i w:val="1"/>
          <w:iCs w:val="1"/>
          <w:sz w:val="22"/>
          <w:szCs w:val="22"/>
          <w:rtl w:val="0"/>
        </w:rPr>
        <w:t xml:space="preserve">We build the missing Plane-2 mechanism: a defense that makes information provenance survive the agent-to-agent, cross-organisational boundary with verifiable preservation, binding the warrant of a claim to the cryptographic identity of the agent that emitted it.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0.  Executive summary</w:t>
      </w:r>
    </w:p>
    <w:p w:rsidR="00000000" w:rsidDel="00000000" w:rsidP="00000000" w:rsidRDefault="00000000" w:rsidRPr="00000000" w14:paraId="00000008">
      <w:pPr>
        <w:spacing w:after="160" w:before="0" w:line="276" w:lineRule="auto"/>
        <w:rPr/>
      </w:pPr>
      <w:r w:rsidDel="00000000" w:rsidR="00000000" w:rsidRPr="00000000">
        <w:rPr>
          <w:b w:val="0"/>
          <w:bCs w:val="0"/>
          <w:i w:val="0"/>
          <w:iCs w:val="0"/>
          <w:rtl w:val="0"/>
        </w:rPr>
        <w:t xml:space="preserve">This document does one thing: it selects a single, already-proven problem from the state of the art and specifies a defense for it. We do not re-establish the problem. We take every relevant SOTA work as our foundation and stand a mechanism on top of them.</w:t>
      </w:r>
      <w:r w:rsidDel="00000000" w:rsidR="00000000" w:rsidRPr="00000000">
        <w:rPr>
          <w:rtl w:val="0"/>
        </w:rPr>
      </w:r>
    </w:p>
    <w:p w:rsidR="00000000" w:rsidDel="00000000" w:rsidP="00000000" w:rsidRDefault="00000000" w:rsidRPr="00000000" w14:paraId="00000009">
      <w:pPr>
        <w:spacing w:after="160" w:before="0" w:line="276" w:lineRule="auto"/>
        <w:rPr/>
      </w:pPr>
      <w:r w:rsidDel="00000000" w:rsidR="00000000" w:rsidRPr="00000000">
        <w:rPr>
          <w:b w:val="1"/>
          <w:bCs w:val="1"/>
          <w:i w:val="0"/>
          <w:iCs w:val="0"/>
          <w:rtl w:val="0"/>
        </w:rPr>
        <w:t xml:space="preserve">The seam we occupy.</w:t>
      </w:r>
      <w:r w:rsidDel="00000000" w:rsidR="00000000" w:rsidRPr="00000000">
        <w:rPr>
          <w:b w:val="0"/>
          <w:bCs w:val="0"/>
          <w:i w:val="0"/>
          <w:iCs w:val="0"/>
          <w:rtl w:val="0"/>
        </w:rPr>
        <w:t xml:space="preserve"> Every existing constructive defense — CaMeL, ARM, the LLMbda calculus, AgentArmor, the capability-enhanced MCP work — operates inside a single trust domain. Every provenance model — PROV-AGENT, ProvSEEK — assumes honest participants and a single workflow. No system carries verifiable information provenance across the agent-to-agent, cross-organisational boundary. That boundary is exactly where the problem statement of the foundational document locates the gap, and exactly where the standards bodies (W3C Agent Identity CG, OpenID AIIM) are converging without yet having a mechanism. We build that mechanism.</w:t>
      </w:r>
      <w:r w:rsidDel="00000000" w:rsidR="00000000" w:rsidRPr="00000000">
        <w:rPr>
          <w:rtl w:val="0"/>
        </w:rPr>
      </w:r>
    </w:p>
    <w:tbl>
      <w:tblPr>
        <w:tblStyle w:val="Table1"/>
        <w:tblW w:w="9360.0" w:type="dxa"/>
        <w:jc w:val="left"/>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ef4fa" w:val="clear"/>
          </w:tcPr>
          <w:p w:rsidR="00000000" w:rsidDel="00000000" w:rsidP="00000000" w:rsidRDefault="00000000" w:rsidRPr="00000000" w14:paraId="0000000A">
            <w:pPr>
              <w:widowControl w:val="0"/>
              <w:spacing w:after="80" w:before="0" w:lineRule="auto"/>
              <w:rPr/>
            </w:pPr>
            <w:r w:rsidDel="00000000" w:rsidR="00000000" w:rsidRPr="00000000">
              <w:rPr>
                <w:b w:val="1"/>
                <w:bCs w:val="1"/>
                <w:color w:val="1f4e79"/>
                <w:rtl w:val="0"/>
              </w:rPr>
              <w:t xml:space="preserve">What this defense is, in one paragraph</w:t>
            </w:r>
            <w:r w:rsidDel="00000000" w:rsidR="00000000" w:rsidRPr="00000000">
              <w:rPr>
                <w:rtl w:val="0"/>
              </w:rPr>
            </w:r>
          </w:p>
          <w:p w:rsidR="00000000" w:rsidDel="00000000" w:rsidP="00000000" w:rsidRDefault="00000000" w:rsidRPr="00000000" w14:paraId="0000000B">
            <w:pPr>
              <w:widowControl w:val="0"/>
              <w:spacing w:after="80" w:before="0" w:line="276" w:lineRule="auto"/>
              <w:rPr/>
            </w:pPr>
            <w:r w:rsidDel="00000000" w:rsidR="00000000" w:rsidRPr="00000000">
              <w:rPr>
                <w:b w:val="0"/>
                <w:bCs w:val="0"/>
                <w:i w:val="0"/>
                <w:iCs w:val="0"/>
                <w:rtl w:val="0"/>
              </w:rPr>
              <w:t xml:space="preserve">When an agent emits a claim across an organisational boundary, it attaches a signed, field-level provenance manifest — a cross-org extension of the PROV-AGENT ontology, carried in a C2PA-style container, and cryptographically bound to the emitting agent’s Verifiable Credential. A receiving agent verifies the manifest before forming beliefs on the claim, computes a warrant score from the verified provenance chain rather than from the identity of the sender, and down-weights or quarantines low-warrant content. Warrant-checking happens outside the parametric layer of the model, which is what the Semantic Laundering negative result requires of any sound defense.</w:t>
            </w:r>
            <w:r w:rsidDel="00000000" w:rsidR="00000000" w:rsidRPr="00000000">
              <w:rPr>
                <w:rtl w:val="0"/>
              </w:rPr>
            </w:r>
          </w:p>
        </w:tc>
      </w:tr>
    </w:tbl>
    <w:p w:rsidR="00000000" w:rsidDel="00000000" w:rsidP="00000000" w:rsidRDefault="00000000" w:rsidRPr="00000000" w14:paraId="0000000C">
      <w:pPr>
        <w:pStyle w:val="Heading1"/>
        <w:rPr/>
      </w:pPr>
      <w:r w:rsidDel="00000000" w:rsidR="00000000" w:rsidRPr="00000000">
        <w:rPr>
          <w:rtl w:val="0"/>
        </w:rPr>
        <w:t xml:space="preserve">1.  The problem we are picking (and why it is already proven)</w:t>
      </w:r>
    </w:p>
    <w:p w:rsidR="00000000" w:rsidDel="00000000" w:rsidP="00000000" w:rsidRDefault="00000000" w:rsidRPr="00000000" w14:paraId="0000000D">
      <w:pPr>
        <w:spacing w:after="160" w:before="0" w:line="276" w:lineRule="auto"/>
        <w:rPr/>
      </w:pPr>
      <w:r w:rsidDel="00000000" w:rsidR="00000000" w:rsidRPr="00000000">
        <w:rPr>
          <w:b w:val="0"/>
          <w:bCs w:val="0"/>
          <w:i w:val="0"/>
          <w:iCs w:val="0"/>
          <w:rtl w:val="0"/>
        </w:rPr>
        <w:t xml:space="preserve">We adopt, without re-arguing, the problem statement established in the foundational document and formalised across the SoK literature: </w:t>
      </w:r>
      <w:r w:rsidDel="00000000" w:rsidR="00000000" w:rsidRPr="00000000">
        <w:rPr>
          <w:rtl w:val="0"/>
        </w:rPr>
      </w:r>
    </w:p>
    <w:tbl>
      <w:tblPr>
        <w:tblStyle w:val="Table2"/>
        <w:tblW w:w="9360.0" w:type="dxa"/>
        <w:jc w:val="left"/>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ef4fa" w:val="clear"/>
          </w:tcPr>
          <w:p w:rsidR="00000000" w:rsidDel="00000000" w:rsidP="00000000" w:rsidRDefault="00000000" w:rsidRPr="00000000" w14:paraId="0000000E">
            <w:pPr>
              <w:widowControl w:val="0"/>
              <w:spacing w:after="80" w:before="0" w:lineRule="auto"/>
              <w:rPr/>
            </w:pPr>
            <w:r w:rsidDel="00000000" w:rsidR="00000000" w:rsidRPr="00000000">
              <w:rPr>
                <w:b w:val="1"/>
                <w:bCs w:val="1"/>
                <w:color w:val="1f4e79"/>
                <w:rtl w:val="0"/>
              </w:rPr>
              <w:t xml:space="preserve">Adopted problem statement</w:t>
            </w:r>
            <w:r w:rsidDel="00000000" w:rsidR="00000000" w:rsidRPr="00000000">
              <w:rPr>
                <w:rtl w:val="0"/>
              </w:rPr>
            </w:r>
          </w:p>
          <w:p w:rsidR="00000000" w:rsidDel="00000000" w:rsidP="00000000" w:rsidRDefault="00000000" w:rsidRPr="00000000" w14:paraId="0000000F">
            <w:pPr>
              <w:widowControl w:val="0"/>
              <w:spacing w:after="80" w:before="0" w:line="276" w:lineRule="auto"/>
              <w:rPr/>
            </w:pPr>
            <w:r w:rsidDel="00000000" w:rsidR="00000000" w:rsidRPr="00000000">
              <w:rPr>
                <w:b w:val="0"/>
                <w:bCs w:val="0"/>
                <w:i w:val="1"/>
                <w:iCs w:val="1"/>
                <w:rtl w:val="0"/>
              </w:rPr>
              <w:t xml:space="preserve">In a multi-hop agentic interaction, the cryptographic substrate authenticates the identity of each agent in the chain (Plane 1) but does not authenticate the provenance of the information flowing through that chain (Plane 2). The trust an upstream principal places in a downstream response is therefore structurally decoupled from the actual epistemic warrant of that response. No current system provides cross-organisational, cross-agent information provenance that survives the agent-to-agent communication boundary with verifiable preservation guarantees.</w:t>
            </w:r>
            <w:r w:rsidDel="00000000" w:rsidR="00000000" w:rsidRPr="00000000">
              <w:rPr>
                <w:rtl w:val="0"/>
              </w:rPr>
            </w:r>
          </w:p>
        </w:tc>
      </w:tr>
    </w:tbl>
    <w:p w:rsidR="00000000" w:rsidDel="00000000" w:rsidP="00000000" w:rsidRDefault="00000000" w:rsidRPr="00000000" w14:paraId="00000010">
      <w:pPr>
        <w:spacing w:after="160" w:before="0" w:line="276" w:lineRule="auto"/>
        <w:rPr/>
      </w:pPr>
      <w:r w:rsidDel="00000000" w:rsidR="00000000" w:rsidRPr="00000000">
        <w:rPr>
          <w:b w:val="1"/>
          <w:bCs w:val="1"/>
          <w:i w:val="0"/>
          <w:iCs w:val="0"/>
          <w:rtl w:val="0"/>
        </w:rPr>
        <w:t xml:space="preserve">This is proven, not hypothesised. </w:t>
      </w:r>
      <w:r w:rsidDel="00000000" w:rsidR="00000000" w:rsidRPr="00000000">
        <w:rPr>
          <w:b w:val="0"/>
          <w:bCs w:val="0"/>
          <w:i w:val="0"/>
          <w:iCs w:val="0"/>
          <w:rtl w:val="0"/>
        </w:rPr>
        <w:t xml:space="preserve">The table below maps the claim to the SOTA evidence already in hand. Each row is a load-bearing citation we inherit rather than a result we must produce.</w:t>
      </w:r>
      <w:r w:rsidDel="00000000" w:rsidR="00000000" w:rsidRPr="00000000">
        <w:rPr>
          <w:rtl w:val="0"/>
        </w:rPr>
      </w:r>
    </w:p>
    <w:p w:rsidR="00000000" w:rsidDel="00000000" w:rsidP="00000000" w:rsidRDefault="00000000" w:rsidRPr="00000000" w14:paraId="00000011">
      <w:pPr>
        <w:spacing w:after="60" w:before="0" w:lineRule="auto"/>
        <w:rPr/>
      </w:pPr>
      <w:r w:rsidDel="00000000" w:rsidR="00000000" w:rsidRPr="00000000">
        <w:rPr>
          <w:rtl w:val="0"/>
        </w:rPr>
      </w:r>
    </w:p>
    <w:tbl>
      <w:tblPr>
        <w:tblStyle w:val="Table3"/>
        <w:tblW w:w="9360.0" w:type="dxa"/>
        <w:jc w:val="left"/>
        <w:tblLayout w:type="fixed"/>
        <w:tblLook w:val="0000"/>
      </w:tblPr>
      <w:tblGrid>
        <w:gridCol w:w="2600"/>
        <w:gridCol w:w="4360"/>
        <w:gridCol w:w="2400"/>
        <w:tblGridChange w:id="0">
          <w:tblGrid>
            <w:gridCol w:w="2600"/>
            <w:gridCol w:w="43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12">
            <w:pPr>
              <w:widowControl w:val="0"/>
              <w:spacing w:after="0" w:before="0" w:line="260" w:lineRule="auto"/>
              <w:rPr/>
            </w:pPr>
            <w:r w:rsidDel="00000000" w:rsidR="00000000" w:rsidRPr="00000000">
              <w:rPr>
                <w:b w:val="1"/>
                <w:bCs w:val="1"/>
                <w:i w:val="0"/>
                <w:iCs w:val="0"/>
                <w:color w:val="ffffff"/>
                <w:sz w:val="20"/>
                <w:szCs w:val="20"/>
                <w:rtl w:val="0"/>
              </w:rPr>
              <w:t xml:space="preserve">Sub-claim of the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13">
            <w:pPr>
              <w:widowControl w:val="0"/>
              <w:spacing w:after="0" w:before="0" w:line="260" w:lineRule="auto"/>
              <w:rPr/>
            </w:pPr>
            <w:r w:rsidDel="00000000" w:rsidR="00000000" w:rsidRPr="00000000">
              <w:rPr>
                <w:b w:val="1"/>
                <w:bCs w:val="1"/>
                <w:i w:val="0"/>
                <w:iCs w:val="0"/>
                <w:color w:val="ffffff"/>
                <w:sz w:val="20"/>
                <w:szCs w:val="20"/>
                <w:rtl w:val="0"/>
              </w:rPr>
              <w:t xml:space="preserve">What the SOTA work already establishes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14">
            <w:pPr>
              <w:widowControl w:val="0"/>
              <w:spacing w:after="0" w:before="0" w:line="260" w:lineRule="auto"/>
              <w:rPr/>
            </w:pPr>
            <w:r w:rsidDel="00000000" w:rsidR="00000000" w:rsidRPr="00000000">
              <w:rPr>
                <w:b w:val="1"/>
                <w:bCs w:val="1"/>
                <w:i w:val="0"/>
                <w:iCs w:val="0"/>
                <w:color w:val="ffffff"/>
                <w:sz w:val="20"/>
                <w:szCs w:val="20"/>
                <w:rtl w:val="0"/>
              </w:rPr>
              <w:t xml:space="preserve">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5">
            <w:pPr>
              <w:widowControl w:val="0"/>
              <w:spacing w:after="0" w:before="0" w:line="260" w:lineRule="auto"/>
              <w:rPr/>
            </w:pPr>
            <w:r w:rsidDel="00000000" w:rsidR="00000000" w:rsidRPr="00000000">
              <w:rPr>
                <w:b w:val="0"/>
                <w:bCs w:val="0"/>
                <w:i w:val="0"/>
                <w:iCs w:val="0"/>
                <w:sz w:val="20"/>
                <w:szCs w:val="20"/>
                <w:rtl w:val="0"/>
              </w:rPr>
              <w:t xml:space="preserve">Warrant loss is architecturally inevitable, not an implementation 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6">
            <w:pPr>
              <w:widowControl w:val="0"/>
              <w:spacing w:after="0" w:before="0" w:line="260" w:lineRule="auto"/>
              <w:rPr/>
            </w:pPr>
            <w:r w:rsidDel="00000000" w:rsidR="00000000" w:rsidRPr="00000000">
              <w:rPr>
                <w:b w:val="0"/>
                <w:bCs w:val="0"/>
                <w:i w:val="0"/>
                <w:iCs w:val="0"/>
                <w:sz w:val="20"/>
                <w:szCs w:val="20"/>
                <w:rtl w:val="0"/>
              </w:rPr>
              <w:t xml:space="preserve">Negative result: under standard architectural assumptions, circular self-licensing of warrant cannot be eliminated by scaling, better models, or LLM-as-judge. Warrant erodes at every boundary even with honest 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7">
            <w:pPr>
              <w:widowControl w:val="0"/>
              <w:spacing w:after="0" w:before="0" w:line="260" w:lineRule="auto"/>
              <w:rPr/>
            </w:pPr>
            <w:r w:rsidDel="00000000" w:rsidR="00000000" w:rsidRPr="00000000">
              <w:rPr>
                <w:b w:val="0"/>
                <w:bCs w:val="0"/>
                <w:i w:val="0"/>
                <w:iCs w:val="0"/>
                <w:sz w:val="20"/>
                <w:szCs w:val="20"/>
                <w:rtl w:val="0"/>
              </w:rPr>
              <w:t xml:space="preserve">Semantic Laundering (2601.08333)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18">
            <w:pPr>
              <w:widowControl w:val="0"/>
              <w:spacing w:after="0" w:before="0" w:line="260" w:lineRule="auto"/>
              <w:rPr/>
            </w:pPr>
            <w:r w:rsidDel="00000000" w:rsidR="00000000" w:rsidRPr="00000000">
              <w:rPr>
                <w:b w:val="0"/>
                <w:bCs w:val="0"/>
                <w:i w:val="0"/>
                <w:iCs w:val="0"/>
                <w:sz w:val="20"/>
                <w:szCs w:val="20"/>
                <w:rtl w:val="0"/>
              </w:rPr>
              <w:t xml:space="preserve">The mismatch has a precise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19">
            <w:pPr>
              <w:widowControl w:val="0"/>
              <w:spacing w:after="0" w:before="0" w:line="260" w:lineRule="auto"/>
              <w:rPr/>
            </w:pPr>
            <w:r w:rsidDel="00000000" w:rsidR="00000000" w:rsidRPr="00000000">
              <w:rPr>
                <w:b w:val="0"/>
                <w:bCs w:val="0"/>
                <w:i w:val="0"/>
                <w:iCs w:val="0"/>
                <w:sz w:val="20"/>
                <w:szCs w:val="20"/>
                <w:rtl w:val="0"/>
              </w:rPr>
              <w:t xml:space="preserve">Belief–Intention–Permission: dynamic belief formation is invisible to static permission grants. Surveys 200+ papers; this is the field’s shared vocabulary.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1A">
            <w:pPr>
              <w:widowControl w:val="0"/>
              <w:spacing w:after="0" w:before="0" w:line="260" w:lineRule="auto"/>
              <w:rPr/>
            </w:pPr>
            <w:r w:rsidDel="00000000" w:rsidR="00000000" w:rsidRPr="00000000">
              <w:rPr>
                <w:b w:val="0"/>
                <w:bCs w:val="0"/>
                <w:i w:val="0"/>
                <w:iCs w:val="0"/>
                <w:sz w:val="20"/>
                <w:szCs w:val="20"/>
                <w:rtl w:val="0"/>
              </w:rPr>
              <w:t xml:space="preserve">Trust–Authorization Mismatch SoK (2512.06914)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B">
            <w:pPr>
              <w:widowControl w:val="0"/>
              <w:spacing w:after="0" w:before="0" w:line="260" w:lineRule="auto"/>
              <w:rPr/>
            </w:pPr>
            <w:r w:rsidDel="00000000" w:rsidR="00000000" w:rsidRPr="00000000">
              <w:rPr>
                <w:b w:val="0"/>
                <w:bCs w:val="0"/>
                <w:i w:val="0"/>
                <w:iCs w:val="0"/>
                <w:sz w:val="20"/>
                <w:szCs w:val="20"/>
                <w:rtl w:val="0"/>
              </w:rPr>
              <w:t xml:space="preserve">Low-warrant content propagates and persists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C">
            <w:pPr>
              <w:widowControl w:val="0"/>
              <w:spacing w:after="0" w:before="0" w:line="260" w:lineRule="auto"/>
              <w:rPr/>
            </w:pPr>
            <w:r w:rsidDel="00000000" w:rsidR="00000000" w:rsidRPr="00000000">
              <w:rPr>
                <w:b w:val="0"/>
                <w:bCs w:val="0"/>
                <w:i w:val="0"/>
                <w:iCs w:val="0"/>
                <w:sz w:val="20"/>
                <w:szCs w:val="20"/>
                <w:rtl w:val="0"/>
              </w:rPr>
              <w:t xml:space="preserve">Manipulated knowledge spreads through multi-agent communities and survives in RAG memory, influencing benign agents after the injection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D">
            <w:pPr>
              <w:widowControl w:val="0"/>
              <w:spacing w:after="0" w:before="0" w:line="260" w:lineRule="auto"/>
              <w:rPr/>
            </w:pPr>
            <w:r w:rsidDel="00000000" w:rsidR="00000000" w:rsidRPr="00000000">
              <w:rPr>
                <w:b w:val="0"/>
                <w:bCs w:val="0"/>
                <w:i w:val="0"/>
                <w:iCs w:val="0"/>
                <w:sz w:val="20"/>
                <w:szCs w:val="20"/>
                <w:rtl w:val="0"/>
              </w:rPr>
              <w:t xml:space="preserve">Flooding Spread (2407.07791)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1E">
            <w:pPr>
              <w:widowControl w:val="0"/>
              <w:spacing w:after="0" w:before="0" w:line="260" w:lineRule="auto"/>
              <w:rPr/>
            </w:pPr>
            <w:r w:rsidDel="00000000" w:rsidR="00000000" w:rsidRPr="00000000">
              <w:rPr>
                <w:b w:val="0"/>
                <w:bCs w:val="0"/>
                <w:i w:val="0"/>
                <w:iCs w:val="0"/>
                <w:sz w:val="20"/>
                <w:szCs w:val="20"/>
                <w:rtl w:val="0"/>
              </w:rPr>
              <w:t xml:space="preserve">Lightweight provenance defenses fall to tiny poisoning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1F">
            <w:pPr>
              <w:widowControl w:val="0"/>
              <w:spacing w:after="0" w:before="0" w:line="260" w:lineRule="auto"/>
              <w:rPr/>
            </w:pPr>
            <w:r w:rsidDel="00000000" w:rsidR="00000000" w:rsidRPr="00000000">
              <w:rPr>
                <w:b w:val="0"/>
                <w:bCs w:val="0"/>
                <w:i w:val="0"/>
                <w:iCs w:val="0"/>
                <w:sz w:val="20"/>
                <w:szCs w:val="20"/>
                <w:rtl w:val="0"/>
              </w:rPr>
              <w:t xml:space="preserve">86% attack success at a poisoning rate of ~0.93×10⁻⁶ against RAG-based fact-checking — the closest existing provenance-verification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20">
            <w:pPr>
              <w:widowControl w:val="0"/>
              <w:spacing w:after="0" w:before="0" w:line="260" w:lineRule="auto"/>
              <w:rPr/>
            </w:pPr>
            <w:r w:rsidDel="00000000" w:rsidR="00000000" w:rsidRPr="00000000">
              <w:rPr>
                <w:b w:val="0"/>
                <w:bCs w:val="0"/>
                <w:i w:val="0"/>
                <w:iCs w:val="0"/>
                <w:sz w:val="20"/>
                <w:szCs w:val="20"/>
                <w:rtl w:val="0"/>
              </w:rPr>
              <w:t xml:space="preserve">ADMIT (2510.13842)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1">
            <w:pPr>
              <w:widowControl w:val="0"/>
              <w:spacing w:after="0" w:before="0" w:line="260" w:lineRule="auto"/>
              <w:rPr/>
            </w:pPr>
            <w:r w:rsidDel="00000000" w:rsidR="00000000" w:rsidRPr="00000000">
              <w:rPr>
                <w:b w:val="0"/>
                <w:bCs w:val="0"/>
                <w:i w:val="0"/>
                <w:iCs w:val="0"/>
                <w:sz w:val="20"/>
                <w:szCs w:val="20"/>
                <w:rtl w:val="0"/>
              </w:rPr>
              <w:t xml:space="preserve">Information crosses boundaries by causal influence, not just data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2">
            <w:pPr>
              <w:widowControl w:val="0"/>
              <w:spacing w:after="0" w:before="0" w:line="260" w:lineRule="auto"/>
              <w:rPr/>
            </w:pPr>
            <w:r w:rsidDel="00000000" w:rsidR="00000000" w:rsidRPr="00000000">
              <w:rPr>
                <w:b w:val="0"/>
                <w:bCs w:val="0"/>
                <w:i w:val="0"/>
                <w:iCs w:val="0"/>
                <w:sz w:val="20"/>
                <w:szCs w:val="20"/>
                <w:rtl w:val="0"/>
              </w:rPr>
              <w:t xml:space="preserve">Denial-feedback leakage: flat provenance tracking misses laundering that travels through causal edges.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3">
            <w:pPr>
              <w:widowControl w:val="0"/>
              <w:spacing w:after="0" w:before="0" w:line="260" w:lineRule="auto"/>
              <w:rPr/>
            </w:pPr>
            <w:r w:rsidDel="00000000" w:rsidR="00000000" w:rsidRPr="00000000">
              <w:rPr>
                <w:b w:val="0"/>
                <w:bCs w:val="0"/>
                <w:i w:val="0"/>
                <w:iCs w:val="0"/>
                <w:sz w:val="20"/>
                <w:szCs w:val="20"/>
                <w:rtl w:val="0"/>
              </w:rPr>
              <w:t xml:space="preserve">Causality Laundering / ARM (2604.04035)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24">
            <w:pPr>
              <w:widowControl w:val="0"/>
              <w:spacing w:after="0" w:before="0" w:line="260" w:lineRule="auto"/>
              <w:rPr/>
            </w:pPr>
            <w:r w:rsidDel="00000000" w:rsidR="00000000" w:rsidRPr="00000000">
              <w:rPr>
                <w:b w:val="0"/>
                <w:bCs w:val="0"/>
                <w:i w:val="0"/>
                <w:iCs w:val="0"/>
                <w:sz w:val="20"/>
                <w:szCs w:val="20"/>
                <w:rtl w:val="0"/>
              </w:rPr>
              <w:t xml:space="preserve">Agents cannot be trusted to self-report origins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25">
            <w:pPr>
              <w:widowControl w:val="0"/>
              <w:spacing w:after="0" w:before="0" w:line="260" w:lineRule="auto"/>
              <w:rPr/>
            </w:pPr>
            <w:r w:rsidDel="00000000" w:rsidR="00000000" w:rsidRPr="00000000">
              <w:rPr>
                <w:b w:val="0"/>
                <w:bCs w:val="0"/>
                <w:i w:val="0"/>
                <w:iCs w:val="0"/>
                <w:sz w:val="20"/>
                <w:szCs w:val="20"/>
                <w:rtl w:val="0"/>
              </w:rPr>
              <w:t xml:space="preserve">Chain-of-thought faithfulness measured well below 50%, worsening as chains lengthen and models grow more capable.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26">
            <w:pPr>
              <w:widowControl w:val="0"/>
              <w:spacing w:after="0" w:before="0" w:line="260" w:lineRule="auto"/>
              <w:rPr/>
            </w:pPr>
            <w:r w:rsidDel="00000000" w:rsidR="00000000" w:rsidRPr="00000000">
              <w:rPr>
                <w:b w:val="0"/>
                <w:bCs w:val="0"/>
                <w:i w:val="0"/>
                <w:iCs w:val="0"/>
                <w:sz w:val="20"/>
                <w:szCs w:val="20"/>
                <w:rtl w:val="0"/>
              </w:rPr>
              <w:t xml:space="preserve">Lie to Me (2603.22582); Lanham et al. (2307.13702)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7">
            <w:pPr>
              <w:widowControl w:val="0"/>
              <w:spacing w:after="0" w:before="0" w:line="260" w:lineRule="auto"/>
              <w:rPr/>
            </w:pPr>
            <w:r w:rsidDel="00000000" w:rsidR="00000000" w:rsidRPr="00000000">
              <w:rPr>
                <w:b w:val="0"/>
                <w:bCs w:val="0"/>
                <w:i w:val="0"/>
                <w:iCs w:val="0"/>
                <w:sz w:val="20"/>
                <w:szCs w:val="20"/>
                <w:rtl w:val="0"/>
              </w:rPr>
              <w:t xml:space="preserve">Citations produced by agents cannot be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8">
            <w:pPr>
              <w:widowControl w:val="0"/>
              <w:spacing w:after="0" w:before="0" w:line="260" w:lineRule="auto"/>
              <w:rPr/>
            </w:pPr>
            <w:r w:rsidDel="00000000" w:rsidR="00000000" w:rsidRPr="00000000">
              <w:rPr>
                <w:b w:val="0"/>
                <w:bCs w:val="0"/>
                <w:i w:val="0"/>
                <w:iCs w:val="0"/>
                <w:sz w:val="20"/>
                <w:szCs w:val="20"/>
                <w:rtl w:val="0"/>
              </w:rPr>
              <w:t xml:space="preserve">Deep-research agents emit citations that are unverifiable, inaccessible, or factually inconsistent with the claims they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9">
            <w:pPr>
              <w:widowControl w:val="0"/>
              <w:spacing w:after="0" w:before="0" w:line="260" w:lineRule="auto"/>
              <w:rPr/>
            </w:pPr>
            <w:r w:rsidDel="00000000" w:rsidR="00000000" w:rsidRPr="00000000">
              <w:rPr>
                <w:b w:val="0"/>
                <w:bCs w:val="0"/>
                <w:i w:val="0"/>
                <w:iCs w:val="0"/>
                <w:sz w:val="20"/>
                <w:szCs w:val="20"/>
                <w:rtl w:val="0"/>
              </w:rPr>
              <w:t xml:space="preserve">Cited but Not Verified (2605.06635)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2A">
            <w:pPr>
              <w:widowControl w:val="0"/>
              <w:spacing w:after="0" w:before="0" w:line="260" w:lineRule="auto"/>
              <w:rPr/>
            </w:pPr>
            <w:r w:rsidDel="00000000" w:rsidR="00000000" w:rsidRPr="00000000">
              <w:rPr>
                <w:b w:val="0"/>
                <w:bCs w:val="0"/>
                <w:i w:val="0"/>
                <w:iCs w:val="0"/>
                <w:sz w:val="20"/>
                <w:szCs w:val="20"/>
                <w:rtl w:val="0"/>
              </w:rPr>
              <w:t xml:space="preserve">Provenance is severed once text leaves the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2B">
            <w:pPr>
              <w:widowControl w:val="0"/>
              <w:spacing w:after="0" w:before="0" w:line="260" w:lineRule="auto"/>
              <w:rPr/>
            </w:pPr>
            <w:r w:rsidDel="00000000" w:rsidR="00000000" w:rsidRPr="00000000">
              <w:rPr>
                <w:b w:val="0"/>
                <w:bCs w:val="0"/>
                <w:i w:val="0"/>
                <w:iCs w:val="0"/>
                <w:sz w:val="20"/>
                <w:szCs w:val="20"/>
                <w:rtl w:val="0"/>
              </w:rPr>
              <w:t xml:space="preserve">When only the final text survives, the link to execution metadata is permanently broken; intrinsic, self-verifying mechanisms are called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2C">
            <w:pPr>
              <w:widowControl w:val="0"/>
              <w:spacing w:after="0" w:before="0" w:line="260" w:lineRule="auto"/>
              <w:rPr/>
            </w:pPr>
            <w:r w:rsidDel="00000000" w:rsidR="00000000" w:rsidRPr="00000000">
              <w:rPr>
                <w:b w:val="0"/>
                <w:bCs w:val="0"/>
                <w:i w:val="0"/>
                <w:iCs w:val="0"/>
                <w:sz w:val="20"/>
                <w:szCs w:val="20"/>
                <w:rtl w:val="0"/>
              </w:rPr>
              <w:t xml:space="preserve">When Only the Final Text Survives (2603.17445)</w:t>
            </w:r>
            <w:r w:rsidDel="00000000" w:rsidR="00000000" w:rsidRPr="00000000">
              <w:rPr>
                <w:rtl w:val="0"/>
              </w:rPr>
            </w:r>
          </w:p>
        </w:tc>
      </w:tr>
    </w:tbl>
    <w:p w:rsidR="00000000" w:rsidDel="00000000" w:rsidP="00000000" w:rsidRDefault="00000000" w:rsidRPr="00000000" w14:paraId="0000002D">
      <w:pPr>
        <w:spacing w:after="80" w:before="0" w:lineRule="auto"/>
        <w:rPr/>
      </w:pPr>
      <w:r w:rsidDel="00000000" w:rsidR="00000000" w:rsidRPr="00000000">
        <w:rPr>
          <w:rtl w:val="0"/>
        </w:rPr>
      </w:r>
    </w:p>
    <w:p w:rsidR="00000000" w:rsidDel="00000000" w:rsidP="00000000" w:rsidRDefault="00000000" w:rsidRPr="00000000" w14:paraId="0000002E">
      <w:pPr>
        <w:spacing w:after="160" w:before="0" w:line="276" w:lineRule="auto"/>
        <w:rPr/>
      </w:pPr>
      <w:r w:rsidDel="00000000" w:rsidR="00000000" w:rsidRPr="00000000">
        <w:rPr>
          <w:b w:val="1"/>
          <w:bCs w:val="1"/>
          <w:i w:val="0"/>
          <w:iCs w:val="0"/>
          <w:rtl w:val="0"/>
        </w:rPr>
        <w:t xml:space="preserve">Conclusion of Part 1.</w:t>
      </w:r>
      <w:r w:rsidDel="00000000" w:rsidR="00000000" w:rsidRPr="00000000">
        <w:rPr>
          <w:b w:val="0"/>
          <w:bCs w:val="0"/>
          <w:i w:val="0"/>
          <w:iCs w:val="0"/>
          <w:rtl w:val="0"/>
        </w:rPr>
        <w:t xml:space="preserve"> We do not need to demonstrate the problem. We need to build the defense the literature explicitly says does not yet exist.</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2.  The foundation: what we build on, and where each piece stops</w:t>
      </w:r>
    </w:p>
    <w:p w:rsidR="00000000" w:rsidDel="00000000" w:rsidP="00000000" w:rsidRDefault="00000000" w:rsidRPr="00000000" w14:paraId="00000030">
      <w:pPr>
        <w:spacing w:after="160" w:before="0" w:line="276" w:lineRule="auto"/>
        <w:rPr/>
      </w:pPr>
      <w:r w:rsidDel="00000000" w:rsidR="00000000" w:rsidRPr="00000000">
        <w:rPr>
          <w:b w:val="0"/>
          <w:bCs w:val="0"/>
          <w:i w:val="0"/>
          <w:iCs w:val="0"/>
          <w:rtl w:val="0"/>
        </w:rPr>
        <w:t xml:space="preserve">Our design is deliberately not greenfield. Each component below is a mature SOTA artifact; our contribution is the composition across the boundary where each one currently stops.</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2.1  Defenses we extend</w:t>
      </w:r>
    </w:p>
    <w:tbl>
      <w:tblPr>
        <w:tblStyle w:val="Table4"/>
        <w:tblW w:w="9360.0" w:type="dxa"/>
        <w:jc w:val="left"/>
        <w:tblLayout w:type="fixed"/>
        <w:tblLook w:val="0000"/>
      </w:tblPr>
      <w:tblGrid>
        <w:gridCol w:w="2299"/>
        <w:gridCol w:w="4200"/>
        <w:gridCol w:w="2861"/>
        <w:tblGridChange w:id="0">
          <w:tblGrid>
            <w:gridCol w:w="2299"/>
            <w:gridCol w:w="4200"/>
            <w:gridCol w:w="286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2">
            <w:pPr>
              <w:widowControl w:val="0"/>
              <w:spacing w:after="0" w:before="0" w:line="260" w:lineRule="auto"/>
              <w:rPr/>
            </w:pPr>
            <w:r w:rsidDel="00000000" w:rsidR="00000000" w:rsidRPr="00000000">
              <w:rPr>
                <w:b w:val="1"/>
                <w:bCs w:val="1"/>
                <w:i w:val="0"/>
                <w:iCs w:val="0"/>
                <w:color w:val="ffffff"/>
                <w:sz w:val="20"/>
                <w:szCs w:val="20"/>
                <w:rtl w:val="0"/>
              </w:rPr>
              <w:t xml:space="preserve">SOTA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3">
            <w:pPr>
              <w:widowControl w:val="0"/>
              <w:spacing w:after="0" w:before="0" w:line="260" w:lineRule="auto"/>
              <w:rPr/>
            </w:pPr>
            <w:r w:rsidDel="00000000" w:rsidR="00000000" w:rsidRPr="00000000">
              <w:rPr>
                <w:b w:val="1"/>
                <w:bCs w:val="1"/>
                <w:i w:val="0"/>
                <w:iCs w:val="0"/>
                <w:color w:val="ffffff"/>
                <w:sz w:val="20"/>
                <w:szCs w:val="20"/>
                <w:rtl w:val="0"/>
              </w:rPr>
              <w:t xml:space="preserve">What it gives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4">
            <w:pPr>
              <w:widowControl w:val="0"/>
              <w:spacing w:after="0" w:before="0" w:line="260" w:lineRule="auto"/>
              <w:rPr/>
            </w:pPr>
            <w:r w:rsidDel="00000000" w:rsidR="00000000" w:rsidRPr="00000000">
              <w:rPr>
                <w:b w:val="1"/>
                <w:bCs w:val="1"/>
                <w:i w:val="0"/>
                <w:iCs w:val="0"/>
                <w:color w:val="ffffff"/>
                <w:sz w:val="20"/>
                <w:szCs w:val="20"/>
                <w:rtl w:val="0"/>
              </w:rPr>
              <w:t xml:space="preserve">Where it stops (our opening)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5">
            <w:pPr>
              <w:widowControl w:val="0"/>
              <w:spacing w:after="0" w:before="0" w:line="260" w:lineRule="auto"/>
              <w:rPr/>
            </w:pPr>
            <w:r w:rsidDel="00000000" w:rsidR="00000000" w:rsidRPr="00000000">
              <w:rPr>
                <w:b w:val="0"/>
                <w:bCs w:val="0"/>
                <w:i w:val="0"/>
                <w:iCs w:val="0"/>
                <w:sz w:val="20"/>
                <w:szCs w:val="20"/>
                <w:rtl w:val="0"/>
              </w:rPr>
              <w:t xml:space="preserve">CaMeL (2503.18813)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6">
            <w:pPr>
              <w:widowControl w:val="0"/>
              <w:spacing w:after="0" w:before="0" w:line="260" w:lineRule="auto"/>
              <w:rPr/>
            </w:pPr>
            <w:r w:rsidDel="00000000" w:rsidR="00000000" w:rsidRPr="00000000">
              <w:rPr>
                <w:b w:val="0"/>
                <w:bCs w:val="0"/>
                <w:i w:val="0"/>
                <w:iCs w:val="0"/>
                <w:sz w:val="20"/>
                <w:szCs w:val="20"/>
                <w:rtl w:val="0"/>
              </w:rPr>
              <w:t xml:space="preserve">Capability labels on every value; privileged/quarantined LLM split; policy checks at tool-call time. The closest thing to a provenance-aware 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7">
            <w:pPr>
              <w:widowControl w:val="0"/>
              <w:spacing w:after="0" w:before="0" w:line="260" w:lineRule="auto"/>
              <w:rPr/>
            </w:pPr>
            <w:r w:rsidDel="00000000" w:rsidR="00000000" w:rsidRPr="00000000">
              <w:rPr>
                <w:b w:val="0"/>
                <w:bCs w:val="0"/>
                <w:i w:val="0"/>
                <w:iCs w:val="0"/>
                <w:sz w:val="20"/>
                <w:szCs w:val="20"/>
                <w:rtl w:val="0"/>
              </w:rPr>
              <w:t xml:space="preserve">Single runtime. Capabilities do not propagate across the agent-to-agent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38">
            <w:pPr>
              <w:widowControl w:val="0"/>
              <w:spacing w:after="0" w:before="0" w:line="260" w:lineRule="auto"/>
              <w:rPr/>
            </w:pPr>
            <w:r w:rsidDel="00000000" w:rsidR="00000000" w:rsidRPr="00000000">
              <w:rPr>
                <w:b w:val="0"/>
                <w:bCs w:val="0"/>
                <w:i w:val="0"/>
                <w:iCs w:val="0"/>
                <w:sz w:val="20"/>
                <w:szCs w:val="20"/>
                <w:rtl w:val="0"/>
              </w:rPr>
              <w:t xml:space="preserve">ARM / Causality Laundering (2604.04035)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39">
            <w:pPr>
              <w:widowControl w:val="0"/>
              <w:spacing w:after="0" w:before="0" w:line="260" w:lineRule="auto"/>
              <w:rPr/>
            </w:pPr>
            <w:r w:rsidDel="00000000" w:rsidR="00000000" w:rsidRPr="00000000">
              <w:rPr>
                <w:b w:val="0"/>
                <w:bCs w:val="0"/>
                <w:i w:val="0"/>
                <w:iCs w:val="0"/>
                <w:sz w:val="20"/>
                <w:szCs w:val="20"/>
                <w:rtl w:val="0"/>
              </w:rPr>
              <w:t xml:space="preserve">Runtime reference monitor over a provenance graph with field-level provenance and counterfactual edges; sub-ms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3A">
            <w:pPr>
              <w:widowControl w:val="0"/>
              <w:spacing w:after="0" w:before="0" w:line="260" w:lineRule="auto"/>
              <w:rPr/>
            </w:pPr>
            <w:r w:rsidDel="00000000" w:rsidR="00000000" w:rsidRPr="00000000">
              <w:rPr>
                <w:b w:val="0"/>
                <w:bCs w:val="0"/>
                <w:i w:val="0"/>
                <w:iCs w:val="0"/>
                <w:sz w:val="20"/>
                <w:szCs w:val="20"/>
                <w:rtl w:val="0"/>
              </w:rPr>
              <w:t xml:space="preserve">Provenance graph is over one agent’s own tool calls; no cross-org semantics.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B">
            <w:pPr>
              <w:widowControl w:val="0"/>
              <w:spacing w:after="0" w:before="0" w:line="260" w:lineRule="auto"/>
              <w:rPr/>
            </w:pPr>
            <w:r w:rsidDel="00000000" w:rsidR="00000000" w:rsidRPr="00000000">
              <w:rPr>
                <w:b w:val="0"/>
                <w:bCs w:val="0"/>
                <w:i w:val="0"/>
                <w:iCs w:val="0"/>
                <w:sz w:val="20"/>
                <w:szCs w:val="20"/>
                <w:rtl w:val="0"/>
              </w:rPr>
              <w:t xml:space="preserve">LLMbda Calculus (2602.20064)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C">
            <w:pPr>
              <w:widowControl w:val="0"/>
              <w:spacing w:after="0" w:before="0" w:line="260" w:lineRule="auto"/>
              <w:rPr/>
            </w:pPr>
            <w:r w:rsidDel="00000000" w:rsidR="00000000" w:rsidRPr="00000000">
              <w:rPr>
                <w:b w:val="0"/>
                <w:bCs w:val="0"/>
                <w:i w:val="0"/>
                <w:iCs w:val="0"/>
                <w:sz w:val="20"/>
                <w:szCs w:val="20"/>
                <w:rtl w:val="0"/>
              </w:rPr>
              <w:t xml:space="preserve">Formal calculus for information flow in agentic conversations — the proof apparatus CaMeL lacks.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D">
            <w:pPr>
              <w:widowControl w:val="0"/>
              <w:spacing w:after="0" w:before="0" w:line="260" w:lineRule="auto"/>
              <w:rPr/>
            </w:pPr>
            <w:r w:rsidDel="00000000" w:rsidR="00000000" w:rsidRPr="00000000">
              <w:rPr>
                <w:b w:val="0"/>
                <w:bCs w:val="0"/>
                <w:i w:val="0"/>
                <w:iCs w:val="0"/>
                <w:sz w:val="20"/>
                <w:szCs w:val="20"/>
                <w:rtl w:val="0"/>
              </w:rPr>
              <w:t xml:space="preserve">Within-runtime; no notion of a signed cross-org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3E">
            <w:pPr>
              <w:widowControl w:val="0"/>
              <w:spacing w:after="0" w:before="0" w:line="260" w:lineRule="auto"/>
              <w:rPr/>
            </w:pPr>
            <w:r w:rsidDel="00000000" w:rsidR="00000000" w:rsidRPr="00000000">
              <w:rPr>
                <w:b w:val="0"/>
                <w:bCs w:val="0"/>
                <w:i w:val="0"/>
                <w:iCs w:val="0"/>
                <w:sz w:val="20"/>
                <w:szCs w:val="20"/>
                <w:rtl w:val="0"/>
              </w:rPr>
              <w:t xml:space="preserve">Capability-enhanced MCP (2601.08012)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3F">
            <w:pPr>
              <w:widowControl w:val="0"/>
              <w:spacing w:after="0" w:before="0" w:line="260" w:lineRule="auto"/>
              <w:rPr/>
            </w:pPr>
            <w:r w:rsidDel="00000000" w:rsidR="00000000" w:rsidRPr="00000000">
              <w:rPr>
                <w:b w:val="0"/>
                <w:bCs w:val="0"/>
                <w:i w:val="0"/>
                <w:iCs w:val="0"/>
                <w:sz w:val="20"/>
                <w:szCs w:val="20"/>
                <w:rtl w:val="0"/>
              </w:rPr>
              <w:t xml:space="preserve">STPA-derived safety requirements; structured labels on capability, confidentiality, trust level. Closest to ‘MCP with provenance built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0">
            <w:pPr>
              <w:widowControl w:val="0"/>
              <w:spacing w:after="0" w:before="0" w:line="260" w:lineRule="auto"/>
              <w:rPr/>
            </w:pPr>
            <w:r w:rsidDel="00000000" w:rsidR="00000000" w:rsidRPr="00000000">
              <w:rPr>
                <w:b w:val="0"/>
                <w:bCs w:val="0"/>
                <w:i w:val="0"/>
                <w:iCs w:val="0"/>
                <w:sz w:val="20"/>
                <w:szCs w:val="20"/>
                <w:rtl w:val="0"/>
              </w:rPr>
              <w:t xml:space="preserve">Labels are local; not bound to a portable agent identity or preserved across a hop.</w:t>
            </w:r>
            <w:r w:rsidDel="00000000" w:rsidR="00000000" w:rsidRPr="00000000">
              <w:rPr>
                <w:rtl w:val="0"/>
              </w:rPr>
            </w:r>
          </w:p>
        </w:tc>
      </w:tr>
    </w:tbl>
    <w:p w:rsidR="00000000" w:rsidDel="00000000" w:rsidP="00000000" w:rsidRDefault="00000000" w:rsidRPr="00000000" w14:paraId="00000041">
      <w:pPr>
        <w:pStyle w:val="Heading2"/>
        <w:rPr/>
      </w:pPr>
      <w:r w:rsidDel="00000000" w:rsidR="00000000" w:rsidRPr="00000000">
        <w:rPr>
          <w:rtl w:val="0"/>
        </w:rPr>
        <w:t xml:space="preserve">2.2  Provenance and identity substrate we reuse</w:t>
      </w:r>
    </w:p>
    <w:tbl>
      <w:tblPr>
        <w:tblStyle w:val="Table5"/>
        <w:tblW w:w="9360.0" w:type="dxa"/>
        <w:jc w:val="left"/>
        <w:tblLayout w:type="fixed"/>
        <w:tblLook w:val="0000"/>
      </w:tblPr>
      <w:tblGrid>
        <w:gridCol w:w="2299"/>
        <w:gridCol w:w="4200"/>
        <w:gridCol w:w="2861"/>
        <w:tblGridChange w:id="0">
          <w:tblGrid>
            <w:gridCol w:w="2299"/>
            <w:gridCol w:w="4200"/>
            <w:gridCol w:w="286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42">
            <w:pPr>
              <w:widowControl w:val="0"/>
              <w:spacing w:after="0" w:before="0" w:line="260" w:lineRule="auto"/>
              <w:rPr/>
            </w:pPr>
            <w:r w:rsidDel="00000000" w:rsidR="00000000" w:rsidRPr="00000000">
              <w:rPr>
                <w:b w:val="1"/>
                <w:bCs w:val="1"/>
                <w:i w:val="0"/>
                <w:iCs w:val="0"/>
                <w:color w:val="ffffff"/>
                <w:sz w:val="20"/>
                <w:szCs w:val="20"/>
                <w:rtl w:val="0"/>
              </w:rPr>
              <w:t xml:space="preserve">SOTA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43">
            <w:pPr>
              <w:widowControl w:val="0"/>
              <w:spacing w:after="0" w:before="0" w:line="260" w:lineRule="auto"/>
              <w:rPr/>
            </w:pPr>
            <w:r w:rsidDel="00000000" w:rsidR="00000000" w:rsidRPr="00000000">
              <w:rPr>
                <w:b w:val="1"/>
                <w:bCs w:val="1"/>
                <w:i w:val="0"/>
                <w:iCs w:val="0"/>
                <w:color w:val="ffffff"/>
                <w:sz w:val="20"/>
                <w:szCs w:val="20"/>
                <w:rtl w:val="0"/>
              </w:rPr>
              <w:t xml:space="preserve">What it gives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44">
            <w:pPr>
              <w:widowControl w:val="0"/>
              <w:spacing w:after="0" w:before="0" w:line="260" w:lineRule="auto"/>
              <w:rPr/>
            </w:pPr>
            <w:r w:rsidDel="00000000" w:rsidR="00000000" w:rsidRPr="00000000">
              <w:rPr>
                <w:b w:val="1"/>
                <w:bCs w:val="1"/>
                <w:i w:val="0"/>
                <w:iCs w:val="0"/>
                <w:color w:val="ffffff"/>
                <w:sz w:val="20"/>
                <w:szCs w:val="20"/>
                <w:rtl w:val="0"/>
              </w:rPr>
              <w:t xml:space="preserve">Where it stops (our opening)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5">
            <w:pPr>
              <w:widowControl w:val="0"/>
              <w:spacing w:after="0" w:before="0" w:line="260" w:lineRule="auto"/>
              <w:rPr/>
            </w:pPr>
            <w:r w:rsidDel="00000000" w:rsidR="00000000" w:rsidRPr="00000000">
              <w:rPr>
                <w:b w:val="0"/>
                <w:bCs w:val="0"/>
                <w:i w:val="0"/>
                <w:iCs w:val="0"/>
                <w:sz w:val="20"/>
                <w:szCs w:val="20"/>
                <w:rtl w:val="0"/>
              </w:rPr>
              <w:t xml:space="preserve">PROV-AGENT (2508.02866)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6">
            <w:pPr>
              <w:widowControl w:val="0"/>
              <w:spacing w:after="0" w:before="0" w:line="260" w:lineRule="auto"/>
              <w:rPr/>
            </w:pPr>
            <w:r w:rsidDel="00000000" w:rsidR="00000000" w:rsidRPr="00000000">
              <w:rPr>
                <w:b w:val="0"/>
                <w:bCs w:val="0"/>
                <w:i w:val="0"/>
                <w:iCs w:val="0"/>
                <w:sz w:val="20"/>
                <w:szCs w:val="20"/>
                <w:rtl w:val="0"/>
              </w:rPr>
              <w:t xml:space="preserve">W3C PROV-DM/PROV-O extended to AI agents; AIAgent as a PROV Agent subclass; MCP concepts in the ontology.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7">
            <w:pPr>
              <w:widowControl w:val="0"/>
              <w:spacing w:after="0" w:before="0" w:line="260" w:lineRule="auto"/>
              <w:rPr/>
            </w:pPr>
            <w:r w:rsidDel="00000000" w:rsidR="00000000" w:rsidRPr="00000000">
              <w:rPr>
                <w:b w:val="0"/>
                <w:bCs w:val="0"/>
                <w:i w:val="0"/>
                <w:iCs w:val="0"/>
                <w:sz w:val="20"/>
                <w:szCs w:val="20"/>
                <w:rtl w:val="0"/>
              </w:rPr>
              <w:t xml:space="preserve">Scoped to honest single-workflow scientific computing. No adversarial or cross-org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8">
            <w:pPr>
              <w:widowControl w:val="0"/>
              <w:spacing w:after="0" w:before="0" w:line="260" w:lineRule="auto"/>
              <w:rPr/>
            </w:pPr>
            <w:r w:rsidDel="00000000" w:rsidR="00000000" w:rsidRPr="00000000">
              <w:rPr>
                <w:b w:val="0"/>
                <w:bCs w:val="0"/>
                <w:i w:val="0"/>
                <w:iCs w:val="0"/>
                <w:sz w:val="20"/>
                <w:szCs w:val="20"/>
                <w:rtl w:val="0"/>
              </w:rPr>
              <w:t xml:space="preserve">DIDs/VCs for AI Agents (2511.02841)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9">
            <w:pPr>
              <w:widowControl w:val="0"/>
              <w:spacing w:after="0" w:before="0" w:line="260" w:lineRule="auto"/>
              <w:rPr/>
            </w:pPr>
            <w:r w:rsidDel="00000000" w:rsidR="00000000" w:rsidRPr="00000000">
              <w:rPr>
                <w:b w:val="0"/>
                <w:bCs w:val="0"/>
                <w:i w:val="0"/>
                <w:iCs w:val="0"/>
                <w:sz w:val="20"/>
                <w:szCs w:val="20"/>
                <w:rtl w:val="0"/>
              </w:rPr>
              <w:t xml:space="preserve">Two-plane identity model (delegation identity + peer identity); ledger-anchored self-controlled agent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A">
            <w:pPr>
              <w:widowControl w:val="0"/>
              <w:spacing w:after="0" w:before="0" w:line="260" w:lineRule="auto"/>
              <w:rPr/>
            </w:pPr>
            <w:r w:rsidDel="00000000" w:rsidR="00000000" w:rsidRPr="00000000">
              <w:rPr>
                <w:b w:val="0"/>
                <w:bCs w:val="0"/>
                <w:i w:val="0"/>
                <w:iCs w:val="0"/>
                <w:sz w:val="20"/>
                <w:szCs w:val="20"/>
                <w:rtl w:val="0"/>
              </w:rPr>
              <w:t xml:space="preserve">Plane 1 only. No binding between identity and the provenance of claims the agent reports (their own I6).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B">
            <w:pPr>
              <w:widowControl w:val="0"/>
              <w:spacing w:after="0" w:before="0" w:line="260" w:lineRule="auto"/>
              <w:rPr/>
            </w:pPr>
            <w:r w:rsidDel="00000000" w:rsidR="00000000" w:rsidRPr="00000000">
              <w:rPr>
                <w:b w:val="0"/>
                <w:bCs w:val="0"/>
                <w:i w:val="0"/>
                <w:iCs w:val="0"/>
                <w:sz w:val="20"/>
                <w:szCs w:val="20"/>
                <w:rtl w:val="0"/>
              </w:rPr>
              <w:t xml:space="preserve">C2PA v2.3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C">
            <w:pPr>
              <w:widowControl w:val="0"/>
              <w:spacing w:after="0" w:before="0" w:line="260" w:lineRule="auto"/>
              <w:rPr/>
            </w:pPr>
            <w:r w:rsidDel="00000000" w:rsidR="00000000" w:rsidRPr="00000000">
              <w:rPr>
                <w:b w:val="0"/>
                <w:bCs w:val="0"/>
                <w:i w:val="0"/>
                <w:iCs w:val="0"/>
                <w:sz w:val="20"/>
                <w:szCs w:val="20"/>
                <w:rtl w:val="0"/>
              </w:rPr>
              <w:t xml:space="preserve">Cryptographically signed manifests: claim + assertions + X.509 signature; hard- and soft-binding; deployed at media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D">
            <w:pPr>
              <w:widowControl w:val="0"/>
              <w:spacing w:after="0" w:before="0" w:line="260" w:lineRule="auto"/>
              <w:rPr/>
            </w:pPr>
            <w:r w:rsidDel="00000000" w:rsidR="00000000" w:rsidRPr="00000000">
              <w:rPr>
                <w:b w:val="0"/>
                <w:bCs w:val="0"/>
                <w:i w:val="0"/>
                <w:iCs w:val="0"/>
                <w:sz w:val="20"/>
                <w:szCs w:val="20"/>
                <w:rtl w:val="0"/>
              </w:rPr>
              <w:t xml:space="preserve">Designed for media, single-author. No chained, multi-agent derivation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E">
            <w:pPr>
              <w:widowControl w:val="0"/>
              <w:spacing w:after="0" w:before="0" w:line="260" w:lineRule="auto"/>
              <w:rPr/>
            </w:pPr>
            <w:r w:rsidDel="00000000" w:rsidR="00000000" w:rsidRPr="00000000">
              <w:rPr>
                <w:b w:val="0"/>
                <w:bCs w:val="0"/>
                <w:i w:val="0"/>
                <w:iCs w:val="0"/>
                <w:sz w:val="20"/>
                <w:szCs w:val="20"/>
                <w:rtl w:val="0"/>
              </w:rPr>
              <w:t xml:space="preserve">OpenID AIIM (2510.25819)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F">
            <w:pPr>
              <w:widowControl w:val="0"/>
              <w:spacing w:after="0" w:before="0" w:line="260" w:lineRule="auto"/>
              <w:rPr/>
            </w:pPr>
            <w:r w:rsidDel="00000000" w:rsidR="00000000" w:rsidRPr="00000000">
              <w:rPr>
                <w:b w:val="0"/>
                <w:bCs w:val="0"/>
                <w:i w:val="0"/>
                <w:iCs w:val="0"/>
                <w:sz w:val="20"/>
                <w:szCs w:val="20"/>
                <w:rtl w:val="0"/>
              </w:rPr>
              <w:t xml:space="preserve">Ten enumerated open challenges incl. cross-enterprise operation and recursive delegation; standards-body legitimacy.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50">
            <w:pPr>
              <w:widowControl w:val="0"/>
              <w:spacing w:after="0" w:before="0" w:line="260" w:lineRule="auto"/>
              <w:rPr/>
            </w:pPr>
            <w:r w:rsidDel="00000000" w:rsidR="00000000" w:rsidRPr="00000000">
              <w:rPr>
                <w:b w:val="0"/>
                <w:bCs w:val="0"/>
                <w:i w:val="0"/>
                <w:iCs w:val="0"/>
                <w:sz w:val="20"/>
                <w:szCs w:val="20"/>
                <w:rtl w:val="0"/>
              </w:rPr>
              <w:t xml:space="preserve">Enumerates the gaps; does not specify the Plane-2 mechanism.</w:t>
            </w:r>
            <w:r w:rsidDel="00000000" w:rsidR="00000000" w:rsidRPr="00000000">
              <w:rPr>
                <w:rtl w:val="0"/>
              </w:rPr>
            </w:r>
          </w:p>
        </w:tc>
      </w:tr>
    </w:tbl>
    <w:p w:rsidR="00000000" w:rsidDel="00000000" w:rsidP="00000000" w:rsidRDefault="00000000" w:rsidRPr="00000000" w14:paraId="00000051">
      <w:pPr>
        <w:pStyle w:val="Heading2"/>
        <w:rPr/>
      </w:pPr>
      <w:r w:rsidDel="00000000" w:rsidR="00000000" w:rsidRPr="00000000">
        <w:rPr>
          <w:rtl w:val="0"/>
        </w:rPr>
        <w:t xml:space="preserve">2.3  Signals we consume for the warrant score</w:t>
      </w:r>
    </w:p>
    <w:tbl>
      <w:tblPr>
        <w:tblStyle w:val="Table6"/>
        <w:tblW w:w="9360.0" w:type="dxa"/>
        <w:jc w:val="left"/>
        <w:tblLayout w:type="fixed"/>
        <w:tblLook w:val="0000"/>
      </w:tblPr>
      <w:tblGrid>
        <w:gridCol w:w="2299"/>
        <w:gridCol w:w="4200"/>
        <w:gridCol w:w="2861"/>
        <w:tblGridChange w:id="0">
          <w:tblGrid>
            <w:gridCol w:w="2299"/>
            <w:gridCol w:w="4200"/>
            <w:gridCol w:w="286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52">
            <w:pPr>
              <w:widowControl w:val="0"/>
              <w:spacing w:after="0" w:before="0" w:line="260" w:lineRule="auto"/>
              <w:rPr/>
            </w:pPr>
            <w:r w:rsidDel="00000000" w:rsidR="00000000" w:rsidRPr="00000000">
              <w:rPr>
                <w:b w:val="1"/>
                <w:bCs w:val="1"/>
                <w:i w:val="0"/>
                <w:iCs w:val="0"/>
                <w:color w:val="ffffff"/>
                <w:sz w:val="20"/>
                <w:szCs w:val="20"/>
                <w:rtl w:val="0"/>
              </w:rPr>
              <w:t xml:space="preserve">SOTA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53">
            <w:pPr>
              <w:widowControl w:val="0"/>
              <w:spacing w:after="0" w:before="0" w:line="260" w:lineRule="auto"/>
              <w:rPr/>
            </w:pPr>
            <w:r w:rsidDel="00000000" w:rsidR="00000000" w:rsidRPr="00000000">
              <w:rPr>
                <w:b w:val="1"/>
                <w:bCs w:val="1"/>
                <w:i w:val="0"/>
                <w:iCs w:val="0"/>
                <w:color w:val="ffffff"/>
                <w:sz w:val="20"/>
                <w:szCs w:val="20"/>
                <w:rtl w:val="0"/>
              </w:rPr>
              <w:t xml:space="preserve">What it gives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54">
            <w:pPr>
              <w:widowControl w:val="0"/>
              <w:spacing w:after="0" w:before="0" w:line="260" w:lineRule="auto"/>
              <w:rPr/>
            </w:pPr>
            <w:r w:rsidDel="00000000" w:rsidR="00000000" w:rsidRPr="00000000">
              <w:rPr>
                <w:b w:val="1"/>
                <w:bCs w:val="1"/>
                <w:i w:val="0"/>
                <w:iCs w:val="0"/>
                <w:color w:val="ffffff"/>
                <w:sz w:val="20"/>
                <w:szCs w:val="20"/>
                <w:rtl w:val="0"/>
              </w:rPr>
              <w:t xml:space="preserve">Where it stops (our opening)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5">
            <w:pPr>
              <w:widowControl w:val="0"/>
              <w:spacing w:after="0" w:before="0" w:line="260" w:lineRule="auto"/>
              <w:rPr/>
            </w:pPr>
            <w:r w:rsidDel="00000000" w:rsidR="00000000" w:rsidRPr="00000000">
              <w:rPr>
                <w:b w:val="0"/>
                <w:bCs w:val="0"/>
                <w:i w:val="0"/>
                <w:iCs w:val="0"/>
                <w:sz w:val="20"/>
                <w:szCs w:val="20"/>
                <w:rtl w:val="0"/>
              </w:rPr>
              <w:t xml:space="preserve">Attention Knows Whom to Trust (2506.02546)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6">
            <w:pPr>
              <w:widowControl w:val="0"/>
              <w:spacing w:after="0" w:before="0" w:line="260" w:lineRule="auto"/>
              <w:rPr/>
            </w:pPr>
            <w:r w:rsidDel="00000000" w:rsidR="00000000" w:rsidRPr="00000000">
              <w:rPr>
                <w:b w:val="0"/>
                <w:bCs w:val="0"/>
                <w:i w:val="0"/>
                <w:iCs w:val="0"/>
                <w:sz w:val="20"/>
                <w:szCs w:val="20"/>
                <w:rtl w:val="0"/>
              </w:rPr>
              <w:t xml:space="preserve">An inside-the-model per-message trust signal from attention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7">
            <w:pPr>
              <w:widowControl w:val="0"/>
              <w:spacing w:after="0" w:before="0" w:line="260" w:lineRule="auto"/>
              <w:rPr/>
            </w:pPr>
            <w:r w:rsidDel="00000000" w:rsidR="00000000" w:rsidRPr="00000000">
              <w:rPr>
                <w:b w:val="0"/>
                <w:bCs w:val="0"/>
                <w:i w:val="0"/>
                <w:iCs w:val="0"/>
                <w:sz w:val="20"/>
                <w:szCs w:val="20"/>
                <w:rtl w:val="0"/>
              </w:rPr>
              <w:t xml:space="preserve">Within-agent only; no cross-hop composition; not a structured, verifiable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58">
            <w:pPr>
              <w:widowControl w:val="0"/>
              <w:spacing w:after="0" w:before="0" w:line="260" w:lineRule="auto"/>
              <w:rPr/>
            </w:pPr>
            <w:r w:rsidDel="00000000" w:rsidR="00000000" w:rsidRPr="00000000">
              <w:rPr>
                <w:b w:val="0"/>
                <w:bCs w:val="0"/>
                <w:i w:val="0"/>
                <w:iCs w:val="0"/>
                <w:sz w:val="20"/>
                <w:szCs w:val="20"/>
                <w:rtl w:val="0"/>
              </w:rPr>
              <w:t xml:space="preserve">Latent Source Preferences (2602.15456)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59">
            <w:pPr>
              <w:widowControl w:val="0"/>
              <w:spacing w:after="0" w:before="0" w:line="260" w:lineRule="auto"/>
              <w:rPr/>
            </w:pPr>
            <w:r w:rsidDel="00000000" w:rsidR="00000000" w:rsidRPr="00000000">
              <w:rPr>
                <w:b w:val="0"/>
                <w:bCs w:val="0"/>
                <w:i w:val="0"/>
                <w:iCs w:val="0"/>
                <w:sz w:val="20"/>
                <w:szCs w:val="20"/>
                <w:rtl w:val="0"/>
              </w:rPr>
              <w:t xml:space="preserve">Evidence that models have systematic, exploitable, hidden source biases.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5A">
            <w:pPr>
              <w:widowControl w:val="0"/>
              <w:spacing w:after="0" w:before="0" w:line="260" w:lineRule="auto"/>
              <w:rPr/>
            </w:pPr>
            <w:r w:rsidDel="00000000" w:rsidR="00000000" w:rsidRPr="00000000">
              <w:rPr>
                <w:b w:val="0"/>
                <w:bCs w:val="0"/>
                <w:i w:val="0"/>
                <w:iCs w:val="0"/>
                <w:sz w:val="20"/>
                <w:szCs w:val="20"/>
                <w:rtl w:val="0"/>
              </w:rPr>
              <w:t xml:space="preserve">Diagnoses the bias; no external correction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B">
            <w:pPr>
              <w:widowControl w:val="0"/>
              <w:spacing w:after="0" w:before="0" w:line="260" w:lineRule="auto"/>
              <w:rPr/>
            </w:pPr>
            <w:r w:rsidDel="00000000" w:rsidR="00000000" w:rsidRPr="00000000">
              <w:rPr>
                <w:b w:val="0"/>
                <w:bCs w:val="0"/>
                <w:i w:val="0"/>
                <w:iCs w:val="0"/>
                <w:sz w:val="20"/>
                <w:szCs w:val="20"/>
                <w:rtl w:val="0"/>
              </w:rPr>
              <w:t xml:space="preserve">Watermarking line (Nature 2024; WorldCup 2602.01752)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C">
            <w:pPr>
              <w:widowControl w:val="0"/>
              <w:spacing w:after="0" w:before="0" w:line="260" w:lineRule="auto"/>
              <w:rPr/>
            </w:pPr>
            <w:r w:rsidDel="00000000" w:rsidR="00000000" w:rsidRPr="00000000">
              <w:rPr>
                <w:b w:val="0"/>
                <w:bCs w:val="0"/>
                <w:i w:val="0"/>
                <w:iCs w:val="0"/>
                <w:sz w:val="20"/>
                <w:szCs w:val="20"/>
                <w:rtl w:val="0"/>
              </w:rPr>
              <w:t xml:space="preserve">Distortion-free, multi-bit, production-scale text watermarking — intrinsic provenance that survives copy-paste.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D">
            <w:pPr>
              <w:widowControl w:val="0"/>
              <w:spacing w:after="0" w:before="0" w:line="260" w:lineRule="auto"/>
              <w:rPr/>
            </w:pPr>
            <w:r w:rsidDel="00000000" w:rsidR="00000000" w:rsidRPr="00000000">
              <w:rPr>
                <w:b w:val="0"/>
                <w:bCs w:val="0"/>
                <w:i w:val="0"/>
                <w:iCs w:val="0"/>
                <w:sz w:val="20"/>
                <w:szCs w:val="20"/>
                <w:rtl w:val="0"/>
              </w:rPr>
              <w:t xml:space="preserve">Marks which model, not which sources; not yet fused with citation/provenance metadata.</w:t>
            </w:r>
            <w:r w:rsidDel="00000000" w:rsidR="00000000" w:rsidRPr="00000000">
              <w:rPr>
                <w:rtl w:val="0"/>
              </w:rPr>
            </w:r>
          </w:p>
        </w:tc>
      </w:tr>
    </w:tbl>
    <w:p w:rsidR="00000000" w:rsidDel="00000000" w:rsidP="00000000" w:rsidRDefault="00000000" w:rsidRPr="00000000" w14:paraId="0000005E">
      <w:pPr>
        <w:spacing w:after="60" w:before="0" w:lineRule="auto"/>
        <w:rPr/>
      </w:pPr>
      <w:r w:rsidDel="00000000" w:rsidR="00000000" w:rsidRPr="00000000">
        <w:rPr>
          <w:rtl w:val="0"/>
        </w:rPr>
      </w:r>
    </w:p>
    <w:tbl>
      <w:tblPr>
        <w:tblStyle w:val="Table7"/>
        <w:tblW w:w="9360.0" w:type="dxa"/>
        <w:jc w:val="left"/>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ef4fa" w:val="clear"/>
          </w:tcPr>
          <w:p w:rsidR="00000000" w:rsidDel="00000000" w:rsidP="00000000" w:rsidRDefault="00000000" w:rsidRPr="00000000" w14:paraId="0000005F">
            <w:pPr>
              <w:widowControl w:val="0"/>
              <w:spacing w:after="80" w:before="0" w:lineRule="auto"/>
              <w:rPr/>
            </w:pPr>
            <w:r w:rsidDel="00000000" w:rsidR="00000000" w:rsidRPr="00000000">
              <w:rPr>
                <w:b w:val="1"/>
                <w:bCs w:val="1"/>
                <w:color w:val="1f4e79"/>
                <w:rtl w:val="0"/>
              </w:rPr>
              <w:t xml:space="preserve">The pattern across all three tables</w:t>
            </w:r>
            <w:r w:rsidDel="00000000" w:rsidR="00000000" w:rsidRPr="00000000">
              <w:rPr>
                <w:rtl w:val="0"/>
              </w:rPr>
            </w:r>
          </w:p>
          <w:p w:rsidR="00000000" w:rsidDel="00000000" w:rsidP="00000000" w:rsidRDefault="00000000" w:rsidRPr="00000000" w14:paraId="00000060">
            <w:pPr>
              <w:widowControl w:val="0"/>
              <w:spacing w:after="80" w:before="0" w:line="276" w:lineRule="auto"/>
              <w:rPr/>
            </w:pPr>
            <w:r w:rsidDel="00000000" w:rsidR="00000000" w:rsidRPr="00000000">
              <w:rPr>
                <w:b w:val="0"/>
                <w:bCs w:val="0"/>
                <w:i w:val="0"/>
                <w:iCs w:val="0"/>
                <w:rtl w:val="0"/>
              </w:rPr>
              <w:t xml:space="preserve">Every component stops at exactly one of two boundaries: the agent-to-agent boundary (capabilities and provenance graphs do not cross it) or the identity-content boundary (Plane 1 is not bound to Plane 2). Our defense is the device that crosses both.</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rtl w:val="0"/>
        </w:rPr>
        <w:t xml:space="preserve">3.  Our stance on the negative result</w:t>
      </w:r>
    </w:p>
    <w:p w:rsidR="00000000" w:rsidDel="00000000" w:rsidP="00000000" w:rsidRDefault="00000000" w:rsidRPr="00000000" w14:paraId="00000062">
      <w:pPr>
        <w:spacing w:after="160" w:before="0" w:line="276" w:lineRule="auto"/>
        <w:rPr/>
      </w:pPr>
      <w:r w:rsidDel="00000000" w:rsidR="00000000" w:rsidRPr="00000000">
        <w:rPr>
          <w:b w:val="0"/>
          <w:bCs w:val="0"/>
          <w:i w:val="0"/>
          <w:iCs w:val="0"/>
          <w:rtl w:val="0"/>
        </w:rPr>
        <w:t xml:space="preserve">The Semantic Laundering theorem (Theorem of Inevitable Self-Licensing) is the constraint every defense in this space must answer. It says you cannot use the LLM’s own parametric judgement to confer warrant on content the LLM received — the justification is circular. A defense has three honest options: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Move warrant-checking outside the parametric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an external, verifiable, architectural device rather than the model’s judgement.</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Accept and quantify a residual warrant 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 a bound on how much warrant degrades per hop under a stated architecture (this is open challenge T2, currently unclaimed).</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Avoid the theorem’s assumptions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construct an architecture that does not match the premises (T1, also open).</w:t>
      </w:r>
    </w:p>
    <w:p w:rsidR="00000000" w:rsidDel="00000000" w:rsidP="00000000" w:rsidRDefault="00000000" w:rsidRPr="00000000" w14:paraId="00000066">
      <w:pPr>
        <w:spacing w:after="160" w:before="0" w:line="276" w:lineRule="auto"/>
        <w:rPr/>
      </w:pPr>
      <w:r w:rsidDel="00000000" w:rsidR="00000000" w:rsidRPr="00000000">
        <w:rPr>
          <w:b w:val="1"/>
          <w:bCs w:val="1"/>
          <w:i w:val="0"/>
          <w:iCs w:val="0"/>
          <w:rtl w:val="0"/>
        </w:rPr>
        <w:t xml:space="preserve">We take option (a) as primary and option (b) as our evaluation lens. </w:t>
      </w:r>
      <w:r w:rsidDel="00000000" w:rsidR="00000000" w:rsidRPr="00000000">
        <w:rPr>
          <w:b w:val="0"/>
          <w:bCs w:val="0"/>
          <w:i w:val="0"/>
          <w:iCs w:val="0"/>
          <w:rtl w:val="0"/>
        </w:rPr>
        <w:t xml:space="preserve">Warrant is established by a cryptographically signed, externally verifiable provenance chain — not by any agent’s in-context judgement of whether the content ‘looks trustworthy’. The receiving model never self-licenses; it consults a verified external manifest. Where residual loss is unavoidable (e.g. an honest but lossy paraphrase), we measure it rather than hide it, which is a direct down-payment on the unclaimed T2 result.</w:t>
      </w:r>
      <w:r w:rsidDel="00000000" w:rsidR="00000000" w:rsidRPr="00000000">
        <w:rPr>
          <w:rtl w:val="0"/>
        </w:rPr>
      </w:r>
    </w:p>
    <w:tbl>
      <w:tblPr>
        <w:tblStyle w:val="Table8"/>
        <w:tblW w:w="9360.0" w:type="dxa"/>
        <w:jc w:val="left"/>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ef4fa" w:val="clear"/>
          </w:tcPr>
          <w:p w:rsidR="00000000" w:rsidDel="00000000" w:rsidP="00000000" w:rsidRDefault="00000000" w:rsidRPr="00000000" w14:paraId="00000067">
            <w:pPr>
              <w:widowControl w:val="0"/>
              <w:spacing w:after="80" w:before="0" w:lineRule="auto"/>
              <w:rPr/>
            </w:pPr>
            <w:r w:rsidDel="00000000" w:rsidR="00000000" w:rsidRPr="00000000">
              <w:rPr>
                <w:b w:val="1"/>
                <w:bCs w:val="1"/>
                <w:color w:val="1f4e79"/>
                <w:rtl w:val="0"/>
              </w:rPr>
              <w:t xml:space="preserve">Why this is the defensible stance</w:t>
            </w:r>
            <w:r w:rsidDel="00000000" w:rsidR="00000000" w:rsidRPr="00000000">
              <w:rPr>
                <w:rtl w:val="0"/>
              </w:rPr>
            </w:r>
          </w:p>
          <w:p w:rsidR="00000000" w:rsidDel="00000000" w:rsidP="00000000" w:rsidRDefault="00000000" w:rsidRPr="00000000" w14:paraId="00000068">
            <w:pPr>
              <w:widowControl w:val="0"/>
              <w:spacing w:after="80" w:before="0" w:line="276" w:lineRule="auto"/>
              <w:rPr/>
            </w:pPr>
            <w:r w:rsidDel="00000000" w:rsidR="00000000" w:rsidRPr="00000000">
              <w:rPr>
                <w:b w:val="0"/>
                <w:bCs w:val="0"/>
                <w:i w:val="0"/>
                <w:iCs w:val="0"/>
                <w:rtl w:val="0"/>
              </w:rPr>
              <w:t xml:space="preserve">Stating (a)+(b) up front signals to reviewers that the design has internalised the field’s sharpest result. A defense that relied on the model judging trustworthiness would be refuted on arrival by the self-licensing theorem. Ours cannot be, because the warrant decision is external and verifiable.</w:t>
            </w:r>
            <w:r w:rsidDel="00000000" w:rsidR="00000000" w:rsidRPr="00000000">
              <w:rPr>
                <w:rtl w:val="0"/>
              </w:rPr>
            </w:r>
          </w:p>
        </w:tc>
      </w:tr>
    </w:tbl>
    <w:p w:rsidR="00000000" w:rsidDel="00000000" w:rsidP="00000000" w:rsidRDefault="00000000" w:rsidRPr="00000000" w14:paraId="00000069">
      <w:pPr>
        <w:pStyle w:val="Heading1"/>
        <w:rPr/>
      </w:pPr>
      <w:r w:rsidDel="00000000" w:rsidR="00000000" w:rsidRPr="00000000">
        <w:rPr>
          <w:rtl w:val="0"/>
        </w:rPr>
        <w:t xml:space="preserve">4.  The defense: Cross-Agent Provenance Manifests (CAPM)</w:t>
      </w:r>
    </w:p>
    <w:p w:rsidR="00000000" w:rsidDel="00000000" w:rsidP="00000000" w:rsidRDefault="00000000" w:rsidRPr="00000000" w14:paraId="0000006A">
      <w:pPr>
        <w:spacing w:after="160" w:before="0" w:line="276" w:lineRule="auto"/>
        <w:rPr/>
      </w:pPr>
      <w:r w:rsidDel="00000000" w:rsidR="00000000" w:rsidRPr="00000000">
        <w:rPr>
          <w:b w:val="0"/>
          <w:bCs w:val="0"/>
          <w:i w:val="0"/>
          <w:iCs w:val="0"/>
          <w:rtl w:val="0"/>
        </w:rPr>
        <w:t xml:space="preserve">We name the mechanism Cross-Agent Provenance Manifests (CAPM) for reference. It has four parts, each grounded in a SOTA component.</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4.1  Component 1 — The cross-org provenance record (extends PROV-AGENT)</w:t>
      </w:r>
    </w:p>
    <w:p w:rsidR="00000000" w:rsidDel="00000000" w:rsidP="00000000" w:rsidRDefault="00000000" w:rsidRPr="00000000" w14:paraId="0000006C">
      <w:pPr>
        <w:spacing w:after="160" w:before="0" w:line="276" w:lineRule="auto"/>
        <w:rPr/>
      </w:pPr>
      <w:r w:rsidDel="00000000" w:rsidR="00000000" w:rsidRPr="00000000">
        <w:rPr>
          <w:b w:val="0"/>
          <w:bCs w:val="0"/>
          <w:i w:val="0"/>
          <w:iCs w:val="0"/>
          <w:rtl w:val="0"/>
        </w:rPr>
        <w:t xml:space="preserve">We extend the PROV-AGENT ontology with the two things it lacks for our setting: adversarial semantics and cross-organisational scope. Concretely, we add: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Field-level granularity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provenance attaches to spans/claims within a message, not to whole documents (consuming ARM’s field-level idea and the char-level granularity of the Anthropic Citations API). Closes P2.</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transformation type on every 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each hop records whether it was verbatim, summary, paraphrase, structured-extraction, or composition, so warrant erosion is attributable to a specific transformation.</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 organisational-boundary marker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edges that cross trust domains are first-class, because that is where verification and re-signing must occur.</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Source-warrant annotations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originating source carries an initial warrant label (e.g. authoritative API vs. publicly editable page), so downstream warrant is bounded by origin, not by who delivered it.</w:t>
      </w:r>
    </w:p>
    <w:p w:rsidR="00000000" w:rsidDel="00000000" w:rsidP="00000000" w:rsidRDefault="00000000" w:rsidRPr="00000000" w14:paraId="00000071">
      <w:pPr>
        <w:pStyle w:val="Heading2"/>
        <w:rPr/>
      </w:pPr>
      <w:r w:rsidDel="00000000" w:rsidR="00000000" w:rsidRPr="00000000">
        <w:rPr>
          <w:rtl w:val="0"/>
        </w:rPr>
        <w:t xml:space="preserve">4.2  Component 2 — The signed container (adapts C2PA)</w:t>
      </w:r>
    </w:p>
    <w:p w:rsidR="00000000" w:rsidDel="00000000" w:rsidP="00000000" w:rsidRDefault="00000000" w:rsidRPr="00000000" w14:paraId="00000072">
      <w:pPr>
        <w:spacing w:after="160" w:before="0" w:line="276" w:lineRule="auto"/>
        <w:rPr/>
      </w:pPr>
      <w:r w:rsidDel="00000000" w:rsidR="00000000" w:rsidRPr="00000000">
        <w:rPr>
          <w:b w:val="0"/>
          <w:bCs w:val="0"/>
          <w:i w:val="0"/>
          <w:iCs w:val="0"/>
          <w:rtl w:val="0"/>
        </w:rPr>
        <w:t xml:space="preserve">The provenance record is serialised into a C2PA-style manifest: a claim (what transformation this agent performed, when, on what inputs), structured assertions (source warrant, transformation type, boundary crossings), and an X.509 / VC-anchored signature over the claim. Tampering breaks the signature. We adopt C2PA’s hard-binding (embedded signature) and soft-binding (perceptual / watermark hash) so the manifest can be re-associated with text even after extrinsic metadata is stripped.</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4.3  Component 3 — The identity binding (uses DIDs/VCs; closes I6/T4)</w:t>
      </w:r>
    </w:p>
    <w:p w:rsidR="00000000" w:rsidDel="00000000" w:rsidP="00000000" w:rsidRDefault="00000000" w:rsidRPr="00000000" w14:paraId="00000074">
      <w:pPr>
        <w:spacing w:after="160" w:before="0" w:line="276" w:lineRule="auto"/>
        <w:rPr/>
      </w:pPr>
      <w:r w:rsidDel="00000000" w:rsidR="00000000" w:rsidRPr="00000000">
        <w:rPr>
          <w:b w:val="0"/>
          <w:bCs w:val="0"/>
          <w:i w:val="0"/>
          <w:iCs w:val="0"/>
          <w:rtl w:val="0"/>
        </w:rPr>
        <w:t xml:space="preserve">This is the seam nobody has built. Each agent holds a W3C Verifiable Credential (its peer identity in the two-plane model). The manifest signature is produced under the key bound to that VC. The result is a verifiable statement of the form: </w:t>
      </w:r>
      <w:r w:rsidDel="00000000" w:rsidR="00000000" w:rsidRPr="00000000">
        <w:rPr>
          <w:rtl w:val="0"/>
        </w:rPr>
      </w:r>
    </w:p>
    <w:p w:rsidR="00000000" w:rsidDel="00000000" w:rsidP="00000000" w:rsidRDefault="00000000" w:rsidRPr="00000000" w14:paraId="00000075">
      <w:pPr>
        <w:spacing w:after="120" w:before="0" w:line="276" w:lineRule="auto"/>
        <w:rPr/>
      </w:pPr>
      <w:sdt>
        <w:sdtPr>
          <w:id w:val="873656636"/>
          <w:tag w:val="goog_rdk_0"/>
        </w:sdtPr>
        <w:sdtContent>
          <w:r w:rsidDel="00000000" w:rsidR="00000000" w:rsidRPr="00000000">
            <w:rPr>
              <w:rFonts w:ascii="Arial Unicode MS" w:cs="Arial Unicode MS" w:eastAsia="Arial Unicode MS" w:hAnsi="Arial Unicode MS"/>
              <w:b w:val="0"/>
              <w:bCs w:val="0"/>
              <w:i w:val="1"/>
              <w:iCs w:val="1"/>
              <w:rtl w:val="0"/>
            </w:rPr>
            <w:t xml:space="preserve">“Agent β₁ (identity = VC), asserts claim c, derived by transformation T from input with manifest M′, crossing the boundary org-B → org-A.”</w:t>
          </w:r>
        </w:sdtContent>
      </w:sdt>
      <w:r w:rsidDel="00000000" w:rsidR="00000000" w:rsidRPr="00000000">
        <w:rPr>
          <w:rtl w:val="0"/>
        </w:rPr>
      </w:r>
    </w:p>
    <w:p w:rsidR="00000000" w:rsidDel="00000000" w:rsidP="00000000" w:rsidRDefault="00000000" w:rsidRPr="00000000" w14:paraId="00000076">
      <w:pPr>
        <w:spacing w:after="160" w:before="0" w:line="276" w:lineRule="auto"/>
        <w:rPr/>
      </w:pPr>
      <w:r w:rsidDel="00000000" w:rsidR="00000000" w:rsidRPr="00000000">
        <w:rPr>
          <w:b w:val="0"/>
          <w:bCs w:val="0"/>
          <w:i w:val="0"/>
          <w:iCs w:val="0"/>
          <w:rtl w:val="0"/>
        </w:rPr>
        <w:t xml:space="preserve">This binds Plane 1 (who) to Plane 2 (where the content came from and how it was transformed) in a single verifiable object. Formalising the composition semantics of the two planes is open challenge T4; specifying the binding is I6. CAPM addresses both.</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4.4  Component 4 — External warrant evaluation at the receiver (answers the negative result)</w:t>
      </w:r>
    </w:p>
    <w:p w:rsidR="00000000" w:rsidDel="00000000" w:rsidP="00000000" w:rsidRDefault="00000000" w:rsidRPr="00000000" w14:paraId="00000078">
      <w:pPr>
        <w:spacing w:after="160" w:before="0" w:line="276" w:lineRule="auto"/>
        <w:rPr/>
      </w:pPr>
      <w:r w:rsidDel="00000000" w:rsidR="00000000" w:rsidRPr="00000000">
        <w:rPr>
          <w:b w:val="0"/>
          <w:bCs w:val="0"/>
          <w:i w:val="0"/>
          <w:iCs w:val="0"/>
          <w:rtl w:val="0"/>
        </w:rPr>
        <w:t xml:space="preserve">Before a receiving agent forms beliefs on an incoming claim, an external verifier (not the parametric model) does the following: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every signature in the manifest chain back to a trusted root; reject on any break.</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Recompute a warrant score as a function of: origin source-warrant, the transformation types along the chain, and the number of organisational boundaries crossed. Warrant is monotonically non-increasing along the chain (the Warrant Erosion Principle, made explicit and measurable).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the watermark / soft-binding to detect whether the text was regenerated or paraphrased off-manifest (i.e. whether the claimed provenance still matches the actual bytes).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Down-weight, quarantine, or flag claims whose warrant falls below a policy threshold — the dynamic, risk-adaptive authorization the SoK calls for, now driven by a verified external signal instead of static role permissions.</w:t>
      </w:r>
    </w:p>
    <w:tbl>
      <w:tblPr>
        <w:tblStyle w:val="Table9"/>
        <w:tblW w:w="9360.0" w:type="dxa"/>
        <w:jc w:val="left"/>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ef4fa" w:val="clear"/>
          </w:tcPr>
          <w:p w:rsidR="00000000" w:rsidDel="00000000" w:rsidP="00000000" w:rsidRDefault="00000000" w:rsidRPr="00000000" w14:paraId="0000007D">
            <w:pPr>
              <w:widowControl w:val="0"/>
              <w:spacing w:after="80" w:before="0" w:lineRule="auto"/>
              <w:rPr/>
            </w:pPr>
            <w:r w:rsidDel="00000000" w:rsidR="00000000" w:rsidRPr="00000000">
              <w:rPr>
                <w:b w:val="1"/>
                <w:bCs w:val="1"/>
                <w:color w:val="1f4e79"/>
                <w:rtl w:val="0"/>
              </w:rPr>
              <w:t xml:space="preserve">Why this beats the flat baseline</w:t>
            </w:r>
            <w:r w:rsidDel="00000000" w:rsidR="00000000" w:rsidRPr="00000000">
              <w:rPr>
                <w:rtl w:val="0"/>
              </w:rPr>
            </w:r>
          </w:p>
          <w:p w:rsidR="00000000" w:rsidDel="00000000" w:rsidP="00000000" w:rsidRDefault="00000000" w:rsidRPr="00000000" w14:paraId="0000007E">
            <w:pPr>
              <w:widowControl w:val="0"/>
              <w:spacing w:after="80" w:before="0" w:line="276" w:lineRule="auto"/>
              <w:rPr/>
            </w:pPr>
            <w:r w:rsidDel="00000000" w:rsidR="00000000" w:rsidRPr="00000000">
              <w:rPr>
                <w:b w:val="0"/>
                <w:bCs w:val="0"/>
                <w:i w:val="0"/>
                <w:iCs w:val="0"/>
                <w:rtl w:val="0"/>
              </w:rPr>
              <w:t xml:space="preserve">A flat provenance baseline (and today’s agents) accept a claim because of who delivered it. CAPM accepts a claim in proportion to the verified warrant of its origin and the fidelity of its transformations — independent of the deliverer’s identity. This is precisely what defeats the laundering attacks in Part 1: injected low-warrant content keeps its low origin-warrant no matter how many trusted boundaries it crosses.</w:t>
            </w:r>
            <w:r w:rsidDel="00000000" w:rsidR="00000000" w:rsidRPr="00000000">
              <w:rPr>
                <w:rtl w:val="0"/>
              </w:rPr>
            </w:r>
          </w:p>
        </w:tc>
      </w:tr>
    </w:tbl>
    <w:p w:rsidR="00000000" w:rsidDel="00000000" w:rsidP="00000000" w:rsidRDefault="00000000" w:rsidRPr="00000000" w14:paraId="0000007F">
      <w:pPr>
        <w:pStyle w:val="Heading1"/>
        <w:rPr/>
      </w:pPr>
      <w:r w:rsidDel="00000000" w:rsidR="00000000" w:rsidRPr="00000000">
        <w:rPr>
          <w:rtl w:val="0"/>
        </w:rPr>
        <w:t xml:space="preserve">5.  Scope: build the one-hop case first, then compose</w:t>
      </w:r>
    </w:p>
    <w:p w:rsidR="00000000" w:rsidDel="00000000" w:rsidP="00000000" w:rsidRDefault="00000000" w:rsidRPr="00000000" w14:paraId="00000080">
      <w:pPr>
        <w:spacing w:after="160" w:before="0" w:line="276" w:lineRule="auto"/>
        <w:rPr/>
      </w:pPr>
      <w:r w:rsidDel="00000000" w:rsidR="00000000" w:rsidRPr="00000000">
        <w:rPr>
          <w:b w:val="0"/>
          <w:bCs w:val="0"/>
          <w:i w:val="0"/>
          <w:iCs w:val="0"/>
          <w:rtl w:val="0"/>
        </w:rPr>
        <w:t xml:space="preserve">We resist the temptation to solve the whole chain at once. The build ladder:</w:t>
      </w:r>
      <w:r w:rsidDel="00000000" w:rsidR="00000000" w:rsidRPr="00000000">
        <w:rPr>
          <w:rtl w:val="0"/>
        </w:rPr>
      </w:r>
    </w:p>
    <w:tbl>
      <w:tblPr>
        <w:tblStyle w:val="Table10"/>
        <w:tblW w:w="9360.0" w:type="dxa"/>
        <w:jc w:val="left"/>
        <w:tblLayout w:type="fixed"/>
        <w:tblLook w:val="0000"/>
      </w:tblPr>
      <w:tblGrid>
        <w:gridCol w:w="1500"/>
        <w:gridCol w:w="3399"/>
        <w:gridCol w:w="4461"/>
        <w:tblGridChange w:id="0">
          <w:tblGrid>
            <w:gridCol w:w="1500"/>
            <w:gridCol w:w="3399"/>
            <w:gridCol w:w="446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1">
            <w:pPr>
              <w:widowControl w:val="0"/>
              <w:spacing w:after="0" w:before="0" w:line="260" w:lineRule="auto"/>
              <w:rPr/>
            </w:pPr>
            <w:r w:rsidDel="00000000" w:rsidR="00000000" w:rsidRPr="00000000">
              <w:rPr>
                <w:b w:val="1"/>
                <w:bCs w:val="1"/>
                <w:i w:val="0"/>
                <w:iCs w:val="0"/>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2">
            <w:pPr>
              <w:widowControl w:val="0"/>
              <w:spacing w:after="0" w:before="0" w:line="260" w:lineRule="auto"/>
              <w:rPr/>
            </w:pPr>
            <w:r w:rsidDel="00000000" w:rsidR="00000000" w:rsidRPr="00000000">
              <w:rPr>
                <w:b w:val="1"/>
                <w:bCs w:val="1"/>
                <w:i w:val="0"/>
                <w:iCs w:val="0"/>
                <w:color w:val="ffffff"/>
                <w:sz w:val="20"/>
                <w:szCs w:val="20"/>
                <w:rtl w:val="0"/>
              </w:rPr>
              <w:t xml:space="preserve">What is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3">
            <w:pPr>
              <w:widowControl w:val="0"/>
              <w:spacing w:after="0" w:before="0" w:line="260" w:lineRule="auto"/>
              <w:rPr/>
            </w:pPr>
            <w:r w:rsidDel="00000000" w:rsidR="00000000" w:rsidRPr="00000000">
              <w:rPr>
                <w:b w:val="1"/>
                <w:bCs w:val="1"/>
                <w:i w:val="0"/>
                <w:iCs w:val="0"/>
                <w:color w:val="ffffff"/>
                <w:sz w:val="20"/>
                <w:szCs w:val="20"/>
                <w:rtl w:val="0"/>
              </w:rPr>
              <w:t xml:space="preserve">Result claimed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4">
            <w:pPr>
              <w:widowControl w:val="0"/>
              <w:spacing w:after="0" w:before="0" w:line="260" w:lineRule="auto"/>
              <w:rPr/>
            </w:pPr>
            <w:r w:rsidDel="00000000" w:rsidR="00000000" w:rsidRPr="00000000">
              <w:rPr>
                <w:b w:val="0"/>
                <w:bCs w:val="0"/>
                <w:i w:val="0"/>
                <w:iCs w:val="0"/>
                <w:sz w:val="20"/>
                <w:szCs w:val="20"/>
                <w:rtl w:val="0"/>
              </w:rPr>
              <w:t xml:space="preserve">S0 — Single hop, honest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5">
            <w:pPr>
              <w:widowControl w:val="0"/>
              <w:spacing w:after="0" w:before="0" w:line="260" w:lineRule="auto"/>
              <w:rPr/>
            </w:pPr>
            <w:r w:rsidDel="00000000" w:rsidR="00000000" w:rsidRPr="00000000">
              <w:rPr>
                <w:b w:val="0"/>
                <w:bCs w:val="0"/>
                <w:i w:val="0"/>
                <w:iCs w:val="0"/>
                <w:sz w:val="20"/>
                <w:szCs w:val="20"/>
                <w:rtl w:val="0"/>
              </w:rPr>
              <w:t xml:space="preserve">One agent emits a CAPM manifest across one org boundary; receiver verifies and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6">
            <w:pPr>
              <w:widowControl w:val="0"/>
              <w:spacing w:after="0" w:before="0" w:line="260" w:lineRule="auto"/>
              <w:rPr/>
            </w:pPr>
            <w:r w:rsidDel="00000000" w:rsidR="00000000" w:rsidRPr="00000000">
              <w:rPr>
                <w:b w:val="0"/>
                <w:bCs w:val="0"/>
                <w:i w:val="0"/>
                <w:iCs w:val="0"/>
                <w:sz w:val="20"/>
                <w:szCs w:val="20"/>
                <w:rtl w:val="0"/>
              </w:rPr>
              <w:t xml:space="preserve">Provenance survives one cross-org hop with verifiable preservation.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7">
            <w:pPr>
              <w:widowControl w:val="0"/>
              <w:spacing w:after="0" w:before="0" w:line="260" w:lineRule="auto"/>
              <w:rPr/>
            </w:pPr>
            <w:r w:rsidDel="00000000" w:rsidR="00000000" w:rsidRPr="00000000">
              <w:rPr>
                <w:b w:val="0"/>
                <w:bCs w:val="0"/>
                <w:i w:val="0"/>
                <w:iCs w:val="0"/>
                <w:sz w:val="20"/>
                <w:szCs w:val="20"/>
                <w:rtl w:val="0"/>
              </w:rPr>
              <w:t xml:space="preserve">S1 — Single hop, adversarial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8">
            <w:pPr>
              <w:widowControl w:val="0"/>
              <w:spacing w:after="0" w:before="0" w:line="260" w:lineRule="auto"/>
              <w:rPr/>
            </w:pPr>
            <w:r w:rsidDel="00000000" w:rsidR="00000000" w:rsidRPr="00000000">
              <w:rPr>
                <w:b w:val="0"/>
                <w:bCs w:val="0"/>
                <w:i w:val="0"/>
                <w:iCs w:val="0"/>
                <w:sz w:val="20"/>
                <w:szCs w:val="20"/>
                <w:rtl w:val="0"/>
              </w:rPr>
              <w:t xml:space="preserve">Inject ADMIT- and Flooding-Spread-style low-warrant content at the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9">
            <w:pPr>
              <w:widowControl w:val="0"/>
              <w:spacing w:after="0" w:before="0" w:line="260" w:lineRule="auto"/>
              <w:rPr/>
            </w:pPr>
            <w:r w:rsidDel="00000000" w:rsidR="00000000" w:rsidRPr="00000000">
              <w:rPr>
                <w:b w:val="0"/>
                <w:bCs w:val="0"/>
                <w:i w:val="0"/>
                <w:iCs w:val="0"/>
                <w:sz w:val="20"/>
                <w:szCs w:val="20"/>
                <w:rtl w:val="0"/>
              </w:rPr>
              <w:t xml:space="preserve">Receiver down-weights injected content that a flat baseline accepts.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A">
            <w:pPr>
              <w:widowControl w:val="0"/>
              <w:spacing w:after="0" w:before="0" w:line="260" w:lineRule="auto"/>
              <w:rPr/>
            </w:pPr>
            <w:r w:rsidDel="00000000" w:rsidR="00000000" w:rsidRPr="00000000">
              <w:rPr>
                <w:b w:val="0"/>
                <w:bCs w:val="0"/>
                <w:i w:val="0"/>
                <w:iCs w:val="0"/>
                <w:sz w:val="20"/>
                <w:szCs w:val="20"/>
                <w:rtl w:val="0"/>
              </w:rPr>
              <w:t xml:space="preserve">S2 — N-hop 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B">
            <w:pPr>
              <w:widowControl w:val="0"/>
              <w:spacing w:after="0" w:before="0" w:line="260" w:lineRule="auto"/>
              <w:rPr/>
            </w:pPr>
            <w:r w:rsidDel="00000000" w:rsidR="00000000" w:rsidRPr="00000000">
              <w:rPr>
                <w:b w:val="0"/>
                <w:bCs w:val="0"/>
                <w:i w:val="0"/>
                <w:iCs w:val="0"/>
                <w:sz w:val="20"/>
                <w:szCs w:val="20"/>
                <w:rtl w:val="0"/>
              </w:rPr>
              <w:t xml:space="preserve">Chain manifests across multiple agents and boundaries; warrant composes monotonically.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C">
            <w:pPr>
              <w:widowControl w:val="0"/>
              <w:spacing w:after="0" w:before="0" w:line="260" w:lineRule="auto"/>
              <w:rPr/>
            </w:pPr>
            <w:r w:rsidDel="00000000" w:rsidR="00000000" w:rsidRPr="00000000">
              <w:rPr>
                <w:b w:val="0"/>
                <w:bCs w:val="0"/>
                <w:i w:val="0"/>
                <w:iCs w:val="0"/>
                <w:sz w:val="20"/>
                <w:szCs w:val="20"/>
                <w:rtl w:val="0"/>
              </w:rPr>
              <w:t xml:space="preserve">Provenance survives N hops; warrant-erosion bound measured (down-payment on 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D">
            <w:pPr>
              <w:widowControl w:val="0"/>
              <w:spacing w:after="0" w:before="0" w:line="260" w:lineRule="auto"/>
              <w:rPr/>
            </w:pPr>
            <w:r w:rsidDel="00000000" w:rsidR="00000000" w:rsidRPr="00000000">
              <w:rPr>
                <w:b w:val="0"/>
                <w:bCs w:val="0"/>
                <w:i w:val="0"/>
                <w:iCs w:val="0"/>
                <w:sz w:val="20"/>
                <w:szCs w:val="20"/>
                <w:rtl w:val="0"/>
              </w:rPr>
              <w:t xml:space="preserve">S3 — Text-only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E">
            <w:pPr>
              <w:widowControl w:val="0"/>
              <w:spacing w:after="0" w:before="0" w:line="260" w:lineRule="auto"/>
              <w:rPr/>
            </w:pPr>
            <w:r w:rsidDel="00000000" w:rsidR="00000000" w:rsidRPr="00000000">
              <w:rPr>
                <w:b w:val="0"/>
                <w:bCs w:val="0"/>
                <w:i w:val="0"/>
                <w:iCs w:val="0"/>
                <w:sz w:val="20"/>
                <w:szCs w:val="20"/>
                <w:rtl w:val="0"/>
              </w:rPr>
              <w:t xml:space="preserve">Strip extrinsic metadata; recover provenance from watermark + soft-binding 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F">
            <w:pPr>
              <w:widowControl w:val="0"/>
              <w:spacing w:after="0" w:before="0" w:line="260" w:lineRule="auto"/>
              <w:rPr/>
            </w:pPr>
            <w:r w:rsidDel="00000000" w:rsidR="00000000" w:rsidRPr="00000000">
              <w:rPr>
                <w:b w:val="0"/>
                <w:bCs w:val="0"/>
                <w:i w:val="0"/>
                <w:iCs w:val="0"/>
                <w:sz w:val="20"/>
                <w:szCs w:val="20"/>
                <w:rtl w:val="0"/>
              </w:rPr>
              <w:t xml:space="preserve">Self-verifying recovery from final text (addresses C5/P3).</w:t>
            </w:r>
            <w:r w:rsidDel="00000000" w:rsidR="00000000" w:rsidRPr="00000000">
              <w:rPr>
                <w:rtl w:val="0"/>
              </w:rPr>
            </w:r>
          </w:p>
        </w:tc>
      </w:tr>
    </w:tbl>
    <w:p w:rsidR="00000000" w:rsidDel="00000000" w:rsidP="00000000" w:rsidRDefault="00000000" w:rsidRPr="00000000" w14:paraId="00000090">
      <w:pPr>
        <w:spacing w:after="160" w:before="0" w:line="276" w:lineRule="auto"/>
        <w:rPr/>
      </w:pPr>
      <w:r w:rsidDel="00000000" w:rsidR="00000000" w:rsidRPr="00000000">
        <w:rPr>
          <w:b w:val="1"/>
          <w:bCs w:val="1"/>
          <w:i w:val="0"/>
          <w:iCs w:val="0"/>
          <w:rtl w:val="0"/>
        </w:rPr>
        <w:t xml:space="preserve">The minimal viable result</w:t>
      </w:r>
      <w:r w:rsidDel="00000000" w:rsidR="00000000" w:rsidRPr="00000000">
        <w:rPr>
          <w:b w:val="0"/>
          <w:bCs w:val="0"/>
          <w:i w:val="0"/>
          <w:iCs w:val="0"/>
          <w:rtl w:val="0"/>
        </w:rPr>
        <w:t xml:space="preserve"> (target for the first paper) is S0+S1+S2: </w:t>
      </w:r>
      <w:r w:rsidDel="00000000" w:rsidR="00000000" w:rsidRPr="00000000">
        <w:rPr>
          <w:b w:val="0"/>
          <w:bCs w:val="0"/>
          <w:i w:val="1"/>
          <w:iCs w:val="1"/>
          <w:rtl w:val="0"/>
        </w:rPr>
        <w:t xml:space="preserve">“Information provenance survives N hops across an organisational boundary with verifiable preservation, and downstream agents correctly down-weight low-warrant claims that a flat baseline accepts, at sub-millisecond verification overhead.”</w:t>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6.  Evaluation (designed before building)</w:t>
      </w:r>
    </w:p>
    <w:p w:rsidR="00000000" w:rsidDel="00000000" w:rsidP="00000000" w:rsidRDefault="00000000" w:rsidRPr="00000000" w14:paraId="00000092">
      <w:pPr>
        <w:spacing w:after="160" w:before="0" w:line="276" w:lineRule="auto"/>
        <w:rPr/>
      </w:pPr>
      <w:r w:rsidDel="00000000" w:rsidR="00000000" w:rsidRPr="00000000">
        <w:rPr>
          <w:b w:val="0"/>
          <w:bCs w:val="0"/>
          <w:i w:val="0"/>
          <w:iCs w:val="0"/>
          <w:rtl w:val="0"/>
        </w:rPr>
        <w:t xml:space="preserve">We specify the evaluation now so the mechanism is built to be measured, not measured after the fact.</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6.1  Testbed</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 AgentDojo-style multi-hop benchmark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extended with explicit organisational boundaries between agents — the existing benchmarks are single-domain, so this extension is itself a contribution.</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Attack corpora reused 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ADMIT (few-shot RAG poisoning), Flooding Spread (manipulated-knowledge propagation, open-source at the KnowledgeSpread repo), and a Causality-Laundering denial-feedback scenario.</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no defense; (ii) identity-only (Plane 1) authentication; (iii) flat / document-level provenance; (iv) CaMeL-style single-runtime capabilities. CAPM is the only one carrying field-level provenance across the boundary.</w:t>
      </w:r>
    </w:p>
    <w:p w:rsidR="00000000" w:rsidDel="00000000" w:rsidP="00000000" w:rsidRDefault="00000000" w:rsidRPr="00000000" w14:paraId="00000097">
      <w:pPr>
        <w:pStyle w:val="Heading2"/>
        <w:rPr/>
      </w:pPr>
      <w:r w:rsidDel="00000000" w:rsidR="00000000" w:rsidRPr="00000000">
        <w:rPr>
          <w:rtl w:val="0"/>
        </w:rPr>
        <w:t xml:space="preserve">6.2  Metrics</w:t>
      </w:r>
    </w:p>
    <w:tbl>
      <w:tblPr>
        <w:tblStyle w:val="Table11"/>
        <w:tblW w:w="9359.0" w:type="dxa"/>
        <w:jc w:val="left"/>
        <w:tblLayout w:type="fixed"/>
        <w:tblLook w:val="0000"/>
      </w:tblPr>
      <w:tblGrid>
        <w:gridCol w:w="2700"/>
        <w:gridCol w:w="6659"/>
        <w:tblGridChange w:id="0">
          <w:tblGrid>
            <w:gridCol w:w="2700"/>
            <w:gridCol w:w="665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98">
            <w:pPr>
              <w:widowControl w:val="0"/>
              <w:spacing w:after="0" w:before="0" w:line="260" w:lineRule="auto"/>
              <w:rPr/>
            </w:pPr>
            <w:r w:rsidDel="00000000" w:rsidR="00000000" w:rsidRPr="00000000">
              <w:rPr>
                <w:b w:val="1"/>
                <w:bCs w:val="1"/>
                <w:i w:val="0"/>
                <w:iCs w:val="0"/>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99">
            <w:pPr>
              <w:widowControl w:val="0"/>
              <w:spacing w:after="0" w:before="0" w:line="260" w:lineRule="auto"/>
              <w:rPr/>
            </w:pPr>
            <w:r w:rsidDel="00000000" w:rsidR="00000000" w:rsidRPr="00000000">
              <w:rPr>
                <w:b w:val="1"/>
                <w:bCs w:val="1"/>
                <w:i w:val="0"/>
                <w:iCs w:val="0"/>
                <w:color w:val="ffffff"/>
                <w:sz w:val="20"/>
                <w:szCs w:val="20"/>
                <w:rtl w:val="0"/>
              </w:rPr>
              <w:t xml:space="preserve">Question it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A">
            <w:pPr>
              <w:widowControl w:val="0"/>
              <w:spacing w:after="0" w:before="0" w:line="260" w:lineRule="auto"/>
              <w:rPr/>
            </w:pPr>
            <w:r w:rsidDel="00000000" w:rsidR="00000000" w:rsidRPr="00000000">
              <w:rPr>
                <w:b w:val="0"/>
                <w:bCs w:val="0"/>
                <w:i w:val="0"/>
                <w:iCs w:val="0"/>
                <w:sz w:val="20"/>
                <w:szCs w:val="20"/>
                <w:rtl w:val="0"/>
              </w:rPr>
              <w:t xml:space="preserve">Provenance survival rate @ N hops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B">
            <w:pPr>
              <w:widowControl w:val="0"/>
              <w:spacing w:after="0" w:before="0" w:line="260" w:lineRule="auto"/>
              <w:rPr/>
            </w:pPr>
            <w:r w:rsidDel="00000000" w:rsidR="00000000" w:rsidRPr="00000000">
              <w:rPr>
                <w:b w:val="0"/>
                <w:bCs w:val="0"/>
                <w:i w:val="0"/>
                <w:iCs w:val="0"/>
                <w:sz w:val="20"/>
                <w:szCs w:val="20"/>
                <w:rtl w:val="0"/>
              </w:rPr>
              <w:t xml:space="preserve">Does the verifiable manifest reconstruct the full chain after N cross-org hops?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9C">
            <w:pPr>
              <w:widowControl w:val="0"/>
              <w:spacing w:after="0" w:before="0" w:line="260" w:lineRule="auto"/>
              <w:rPr/>
            </w:pPr>
            <w:r w:rsidDel="00000000" w:rsidR="00000000" w:rsidRPr="00000000">
              <w:rPr>
                <w:b w:val="0"/>
                <w:bCs w:val="0"/>
                <w:i w:val="0"/>
                <w:iCs w:val="0"/>
                <w:sz w:val="20"/>
                <w:szCs w:val="20"/>
                <w:rtl w:val="0"/>
              </w:rPr>
              <w:t xml:space="preserve">Low-warrant detection / down-weight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9D">
            <w:pPr>
              <w:widowControl w:val="0"/>
              <w:spacing w:after="0" w:before="0" w:line="260" w:lineRule="auto"/>
              <w:rPr/>
            </w:pPr>
            <w:r w:rsidDel="00000000" w:rsidR="00000000" w:rsidRPr="00000000">
              <w:rPr>
                <w:b w:val="0"/>
                <w:bCs w:val="0"/>
                <w:i w:val="0"/>
                <w:iCs w:val="0"/>
                <w:sz w:val="20"/>
                <w:szCs w:val="20"/>
                <w:rtl w:val="0"/>
              </w:rPr>
              <w:t xml:space="preserve">Of injected low-warrant claims, what fraction are correctly flagged vs. the flat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E">
            <w:pPr>
              <w:widowControl w:val="0"/>
              <w:spacing w:after="0" w:before="0" w:line="260" w:lineRule="auto"/>
              <w:rPr/>
            </w:pPr>
            <w:r w:rsidDel="00000000" w:rsidR="00000000" w:rsidRPr="00000000">
              <w:rPr>
                <w:b w:val="0"/>
                <w:bCs w:val="0"/>
                <w:i w:val="0"/>
                <w:iCs w:val="0"/>
                <w:sz w:val="20"/>
                <w:szCs w:val="20"/>
                <w:rtl w:val="0"/>
              </w:rPr>
              <w:t xml:space="preserve">Laundering attack success rate (ASR)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F">
            <w:pPr>
              <w:widowControl w:val="0"/>
              <w:spacing w:after="0" w:before="0" w:line="260" w:lineRule="auto"/>
              <w:rPr/>
            </w:pPr>
            <w:r w:rsidDel="00000000" w:rsidR="00000000" w:rsidRPr="00000000">
              <w:rPr>
                <w:b w:val="0"/>
                <w:bCs w:val="0"/>
                <w:i w:val="0"/>
                <w:iCs w:val="0"/>
                <w:sz w:val="20"/>
                <w:szCs w:val="20"/>
                <w:rtl w:val="0"/>
              </w:rPr>
              <w:t xml:space="preserve">Does CAPM reduce ADMIT / Flooding-Spread ASR, and by how much, vs. baselines?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0">
            <w:pPr>
              <w:widowControl w:val="0"/>
              <w:spacing w:after="0" w:before="0" w:line="260" w:lineRule="auto"/>
              <w:rPr/>
            </w:pPr>
            <w:r w:rsidDel="00000000" w:rsidR="00000000" w:rsidRPr="00000000">
              <w:rPr>
                <w:b w:val="0"/>
                <w:bCs w:val="0"/>
                <w:i w:val="0"/>
                <w:iCs w:val="0"/>
                <w:sz w:val="20"/>
                <w:szCs w:val="20"/>
                <w:rtl w:val="0"/>
              </w:rPr>
              <w:t xml:space="preserve">Warrant-erosion curve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1">
            <w:pPr>
              <w:widowControl w:val="0"/>
              <w:spacing w:after="0" w:before="0" w:line="260" w:lineRule="auto"/>
              <w:rPr/>
            </w:pPr>
            <w:r w:rsidDel="00000000" w:rsidR="00000000" w:rsidRPr="00000000">
              <w:rPr>
                <w:b w:val="0"/>
                <w:bCs w:val="0"/>
                <w:i w:val="0"/>
                <w:iCs w:val="0"/>
                <w:sz w:val="20"/>
                <w:szCs w:val="20"/>
                <w:rtl w:val="0"/>
              </w:rPr>
              <w:t xml:space="preserve">How much warrant is lost per transformation type and per boundary (the T2 down-payment)?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2">
            <w:pPr>
              <w:widowControl w:val="0"/>
              <w:spacing w:after="0" w:before="0" w:line="260" w:lineRule="auto"/>
              <w:rPr/>
            </w:pPr>
            <w:r w:rsidDel="00000000" w:rsidR="00000000" w:rsidRPr="00000000">
              <w:rPr>
                <w:b w:val="0"/>
                <w:bCs w:val="0"/>
                <w:i w:val="0"/>
                <w:iCs w:val="0"/>
                <w:sz w:val="20"/>
                <w:szCs w:val="20"/>
                <w:rtl w:val="0"/>
              </w:rPr>
              <w:t xml:space="preserve">Text-only recovery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3">
            <w:pPr>
              <w:widowControl w:val="0"/>
              <w:spacing w:after="0" w:before="0" w:line="260" w:lineRule="auto"/>
              <w:rPr/>
            </w:pPr>
            <w:r w:rsidDel="00000000" w:rsidR="00000000" w:rsidRPr="00000000">
              <w:rPr>
                <w:b w:val="0"/>
                <w:bCs w:val="0"/>
                <w:i w:val="0"/>
                <w:iCs w:val="0"/>
                <w:sz w:val="20"/>
                <w:szCs w:val="20"/>
                <w:rtl w:val="0"/>
              </w:rPr>
              <w:t xml:space="preserve">After metadata stripping, what fraction of provenance is recovered from watermark + soft-binding?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4">
            <w:pPr>
              <w:widowControl w:val="0"/>
              <w:spacing w:after="0" w:before="0" w:line="260" w:lineRule="auto"/>
              <w:rPr/>
            </w:pPr>
            <w:r w:rsidDel="00000000" w:rsidR="00000000" w:rsidRPr="00000000">
              <w:rPr>
                <w:b w:val="0"/>
                <w:bCs w:val="0"/>
                <w:i w:val="0"/>
                <w:iCs w:val="0"/>
                <w:sz w:val="20"/>
                <w:szCs w:val="20"/>
                <w:rtl w:val="0"/>
              </w:rPr>
              <w:t xml:space="preserve">Verification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5">
            <w:pPr>
              <w:widowControl w:val="0"/>
              <w:spacing w:after="0" w:before="0" w:line="260" w:lineRule="auto"/>
              <w:rPr/>
            </w:pPr>
            <w:r w:rsidDel="00000000" w:rsidR="00000000" w:rsidRPr="00000000">
              <w:rPr>
                <w:b w:val="0"/>
                <w:bCs w:val="0"/>
                <w:i w:val="0"/>
                <w:iCs w:val="0"/>
                <w:sz w:val="20"/>
                <w:szCs w:val="20"/>
                <w:rtl w:val="0"/>
              </w:rPr>
              <w:t xml:space="preserve">Latency per hop — target sub-ms, matching ARM, to argue deployability.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6">
            <w:pPr>
              <w:widowControl w:val="0"/>
              <w:spacing w:after="0" w:before="0" w:line="260" w:lineRule="auto"/>
              <w:rPr/>
            </w:pPr>
            <w:r w:rsidDel="00000000" w:rsidR="00000000" w:rsidRPr="00000000">
              <w:rPr>
                <w:b w:val="0"/>
                <w:bCs w:val="0"/>
                <w:i w:val="0"/>
                <w:iCs w:val="0"/>
                <w:sz w:val="20"/>
                <w:szCs w:val="20"/>
                <w:rtl w:val="0"/>
              </w:rPr>
              <w:t xml:space="preserve">Utility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7">
            <w:pPr>
              <w:widowControl w:val="0"/>
              <w:spacing w:after="0" w:before="0" w:line="260" w:lineRule="auto"/>
              <w:rPr/>
            </w:pPr>
            <w:sdt>
              <w:sdtPr>
                <w:id w:val="-1343799991"/>
                <w:tag w:val="goog_rdk_1"/>
              </w:sdtPr>
              <w:sdtContent>
                <w:r w:rsidDel="00000000" w:rsidR="00000000" w:rsidRPr="00000000">
                  <w:rPr>
                    <w:rFonts w:ascii="Arial Unicode MS" w:cs="Arial Unicode MS" w:eastAsia="Arial Unicode MS" w:hAnsi="Arial Unicode MS"/>
                    <w:b w:val="0"/>
                    <w:bCs w:val="0"/>
                    <w:i w:val="0"/>
                    <w:iCs w:val="0"/>
                    <w:sz w:val="20"/>
                    <w:szCs w:val="20"/>
                    <w:rtl w:val="0"/>
                  </w:rPr>
                  <w:t xml:space="preserve">Task-completion delta vs. no-defense (the CaMeL 84%→77% style trade-off).</w:t>
                </w:r>
              </w:sdtContent>
            </w:sdt>
            <w:r w:rsidDel="00000000" w:rsidR="00000000" w:rsidRPr="00000000">
              <w:rPr>
                <w:rtl w:val="0"/>
              </w:rPr>
            </w:r>
          </w:p>
        </w:tc>
      </w:tr>
    </w:tbl>
    <w:p w:rsidR="00000000" w:rsidDel="00000000" w:rsidP="00000000" w:rsidRDefault="00000000" w:rsidRPr="00000000" w14:paraId="000000A8">
      <w:pPr>
        <w:pStyle w:val="Heading2"/>
        <w:rPr/>
      </w:pPr>
      <w:r w:rsidDel="00000000" w:rsidR="00000000" w:rsidRPr="00000000">
        <w:rPr>
          <w:rtl w:val="0"/>
        </w:rPr>
        <w:t xml:space="preserve">6.3  Falsifiable hypotheses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CAPM reconstructs provenance across N=5 cross-org hops where flat provenance and identity-only baselines reconstruct zero.</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Against ADMIT-style poisoning, CAPM’s down-weighting reduces downstream adoption of low-warrant claims by a margin significant over all four baselines.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Warrant measured at the receiver is monotonically non-increasing along honest chains and strictly lower for chains containing a low-warrant origin — i.e. delivery identity does not raise warrant.</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overhead stays sub-millisecond per hop, preserving deployability.</w:t>
      </w:r>
    </w:p>
    <w:p w:rsidR="00000000" w:rsidDel="00000000" w:rsidP="00000000" w:rsidRDefault="00000000" w:rsidRPr="00000000" w14:paraId="000000AD">
      <w:pPr>
        <w:pStyle w:val="Heading1"/>
        <w:rPr/>
      </w:pPr>
      <w:r w:rsidDel="00000000" w:rsidR="00000000" w:rsidRPr="00000000">
        <w:rPr>
          <w:rtl w:val="0"/>
        </w:rPr>
        <w:t xml:space="preserve">7.  Stated contributions (for the paper’s introduction)</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information-provenance mechanism that survives the cross-organisational agent-to-agent boundary with verifiable preservation — the gap the SoK and every Plane-1 paper name as future work.</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binding of agent identity (Plane 1) to field-level information provenance (Plane 2) in a single verifiable object, addressing open challenges I6 and T4.</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adversarial, cross-org extension of the PROV-AGENT ontology (closing P1/P2), carried in a C2PA-style container with text-only recoverability (C5/P3).</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receiver-side, external warrant evaluator that realises the SoK’s call for dynamic, risk-adaptive authorization without relying on the parametric model’s judgement — sound under the Semantic Laundering negative result.</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multi-hop, multi-org benchmark and the first measured warrant-erosion curve — a down-payment on the unclaimed theoretical result T2.</w:t>
      </w:r>
    </w:p>
    <w:p w:rsidR="00000000" w:rsidDel="00000000" w:rsidP="00000000" w:rsidRDefault="00000000" w:rsidRPr="00000000" w14:paraId="000000B3">
      <w:pPr>
        <w:pStyle w:val="Heading1"/>
        <w:rPr/>
      </w:pPr>
      <w:r w:rsidDel="00000000" w:rsidR="00000000" w:rsidRPr="00000000">
        <w:rPr>
          <w:rtl w:val="0"/>
        </w:rPr>
        <w:t xml:space="preserve">8.  Open risks and honest limitations</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Honest paraphrase still erodes warrant.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measure rather than eliminate this; the negative result guarantees some residue. This is a feature of our framing, not a bug, but reviewers will probe it.</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Adoption / incentive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Manifests only help if agents emit them. We inherit the watermarking-incentives critique; cross-org deployment needs the standards-body adoption path (W3C/OpenID), which is why standards-adjacency is built in.</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malicious agent can emit a truthful manifest for false content if it controls the origin.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CAPM bounds warrant by origin; it does not make a compromised origin honest. We are explicit that this defends transitivity, not origin integrity — origin integrity is a separate, composable layer.</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of the provenance graph.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manifest can leak structure. We flag ProvDP-style differential-privacy composition as the natural follow-on (D3), out of scope for the first paper.</w:t>
      </w:r>
    </w:p>
    <w:p w:rsidR="00000000" w:rsidDel="00000000" w:rsidP="00000000" w:rsidRDefault="00000000" w:rsidRPr="00000000" w14:paraId="000000B8">
      <w:pPr>
        <w:pStyle w:val="Heading1"/>
        <w:rPr/>
      </w:pPr>
      <w:r w:rsidDel="00000000" w:rsidR="00000000" w:rsidRPr="00000000">
        <w:rPr>
          <w:rtl w:val="0"/>
        </w:rPr>
        <w:t xml:space="preserve">9.  Immediate next actions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 the scope to S0+S1+S2 as the first paper; S3 as the immediate follow-on.</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CAPM manifest schema concretely as a PROV-AGENT + C2PA profile (one page of JSON-LD / assertion structure).</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up the multi-hop, multi-org benchmark by extending an AgentDojo-style harness with boundary annotations.</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 in ADMIT and Flooding-Spread corpora as the adversarial load.</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S0 honest-path verification end-to-end; then introduce S1 poisoning and measure down-weighting against the four baselines.</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the first warrant-erosion curve from the S2 chain runs.</w:t>
      </w:r>
    </w:p>
    <w:p w:rsidR="00000000" w:rsidDel="00000000" w:rsidP="00000000" w:rsidRDefault="00000000" w:rsidRPr="00000000" w14:paraId="000000BF">
      <w:pPr>
        <w:spacing w:after="120" w:before="0" w:lineRule="auto"/>
        <w:rPr/>
      </w:pPr>
      <w:r w:rsidDel="00000000" w:rsidR="00000000" w:rsidRPr="00000000">
        <w:rPr>
          <w:rtl w:val="0"/>
        </w:rPr>
      </w:r>
    </w:p>
    <w:p w:rsidR="00000000" w:rsidDel="00000000" w:rsidP="00000000" w:rsidRDefault="00000000" w:rsidRPr="00000000" w14:paraId="000000C0">
      <w:pPr>
        <w:spacing w:after="160" w:before="0" w:line="276" w:lineRule="auto"/>
        <w:rPr/>
      </w:pPr>
      <w:r w:rsidDel="00000000" w:rsidR="00000000" w:rsidRPr="00000000">
        <w:rPr>
          <w:b w:val="1"/>
          <w:bCs w:val="1"/>
          <w:i w:val="0"/>
          <w:iCs w:val="0"/>
          <w:rtl w:val="0"/>
        </w:rPr>
        <w:t xml:space="preserve">Bottom line. </w:t>
      </w:r>
      <w:r w:rsidDel="00000000" w:rsidR="00000000" w:rsidRPr="00000000">
        <w:rPr>
          <w:b w:val="0"/>
          <w:bCs w:val="0"/>
          <w:i w:val="0"/>
          <w:iCs w:val="0"/>
          <w:rtl w:val="0"/>
        </w:rPr>
        <w:t xml:space="preserve">We take the problem as proven, take the SOTA defenses and substrates as our foundation, and contribute the one device the field is missing: verifiable information provenance that crosses the cross-organisational agent boundary and binds warrant to identity — evaluated against the very attacks that proved the problem.</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center"/>
      <w:rPr/>
    </w:pPr>
    <w:r w:rsidDel="00000000" w:rsidR="00000000" w:rsidRPr="00000000">
      <w:rPr>
        <w:color w:val="888888"/>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bottom w:color="bbbbbb" w:space="4" w:sz="4" w:val="single"/>
      </w:pBdr>
      <w:jc w:val="right"/>
      <w:rPr/>
    </w:pPr>
    <w:r w:rsidDel="00000000" w:rsidR="00000000" w:rsidRPr="00000000">
      <w:rPr>
        <w:color w:val="888888"/>
        <w:sz w:val="16"/>
        <w:szCs w:val="16"/>
        <w:rtl w:val="0"/>
      </w:rPr>
      <w:t xml:space="preserve">Cross-Agent Verifiable Information Provenance — Design Sketch v0.1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20" w:lineRule="auto"/>
    </w:pPr>
    <w:rPr>
      <w:rFonts w:ascii="Arial" w:cs="Arial" w:eastAsia="Arial" w:hAnsi="Arial"/>
      <w:b w:val="1"/>
      <w:bCs w:val="1"/>
      <w:color w:val="1f4e79"/>
      <w:sz w:val="30"/>
      <w:szCs w:val="30"/>
    </w:rPr>
  </w:style>
  <w:style w:type="paragraph" w:styleId="Heading2">
    <w:name w:val="heading 2"/>
    <w:basedOn w:val="Normal"/>
    <w:next w:val="Normal"/>
    <w:pPr>
      <w:keepNext w:val="1"/>
      <w:spacing w:after="120" w:before="220" w:lineRule="auto"/>
    </w:pPr>
    <w:rPr>
      <w:rFonts w:ascii="Arial" w:cs="Arial" w:eastAsia="Arial" w:hAnsi="Arial"/>
      <w:b w:val="1"/>
      <w:bCs w:val="1"/>
      <w:color w:val="2e5a88"/>
      <w:sz w:val="25"/>
      <w:szCs w:val="25"/>
    </w:rPr>
  </w:style>
  <w:style w:type="paragraph" w:styleId="Heading3">
    <w:name w:val="heading 3"/>
    <w:basedOn w:val="Normal"/>
    <w:next w:val="Normal"/>
    <w:pPr>
      <w:keepNext w:val="1"/>
      <w:spacing w:after="80" w:before="160" w:lineRule="auto"/>
    </w:pPr>
    <w:rPr>
      <w:rFonts w:ascii="Arial" w:cs="Arial" w:eastAsia="Arial" w:hAnsi="Arial"/>
      <w:b w:val="1"/>
      <w:bCs w:val="1"/>
      <w:color w:val="444444"/>
      <w:sz w:val="22"/>
      <w:szCs w:val="22"/>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tblPr>
      <w:tblStyleRowBandSize w:val="1"/>
      <w:tblStyleColBandSize w:val="1"/>
      <w:tblCellMar>
        <w:top w:w="60.0" w:type="dxa"/>
        <w:left w:w="110.0" w:type="dxa"/>
        <w:bottom w:w="60.0" w:type="dxa"/>
        <w:right w:w="110.0" w:type="dxa"/>
      </w:tblCellMar>
    </w:tblPr>
  </w:style>
  <w:style w:type="table" w:styleId="Table4">
    <w:basedOn w:val="TableNormal"/>
    <w:tblPr>
      <w:tblStyleRowBandSize w:val="1"/>
      <w:tblStyleColBandSize w:val="1"/>
      <w:tblCellMar>
        <w:top w:w="60.0" w:type="dxa"/>
        <w:left w:w="110.0" w:type="dxa"/>
        <w:bottom w:w="60.0" w:type="dxa"/>
        <w:right w:w="110.0" w:type="dxa"/>
      </w:tblCellMar>
    </w:tblPr>
  </w:style>
  <w:style w:type="table" w:styleId="Table5">
    <w:basedOn w:val="TableNormal"/>
    <w:tblPr>
      <w:tblStyleRowBandSize w:val="1"/>
      <w:tblStyleColBandSize w:val="1"/>
      <w:tblCellMar>
        <w:top w:w="60.0" w:type="dxa"/>
        <w:left w:w="110.0" w:type="dxa"/>
        <w:bottom w:w="60.0" w:type="dxa"/>
        <w:right w:w="110.0" w:type="dxa"/>
      </w:tblCellMar>
    </w:tblPr>
  </w:style>
  <w:style w:type="table" w:styleId="Table6">
    <w:basedOn w:val="TableNormal"/>
    <w:tblPr>
      <w:tblStyleRowBandSize w:val="1"/>
      <w:tblStyleColBandSize w:val="1"/>
      <w:tblCellMar>
        <w:top w:w="60.0" w:type="dxa"/>
        <w:left w:w="110.0" w:type="dxa"/>
        <w:bottom w:w="60.0" w:type="dxa"/>
        <w:right w:w="110.0" w:type="dxa"/>
      </w:tblCellMar>
    </w:tblPr>
  </w:style>
  <w:style w:type="table" w:styleId="Table7">
    <w:basedOn w:val="TableNormal"/>
    <w:tblPr>
      <w:tblStyleRowBandSize w:val="1"/>
      <w:tblStyleColBandSize w:val="1"/>
      <w:tblCellMar>
        <w:top w:w="120.0" w:type="dxa"/>
        <w:left w:w="160.0" w:type="dxa"/>
        <w:bottom w:w="120.0" w:type="dxa"/>
        <w:right w:w="160.0" w:type="dxa"/>
      </w:tblCellMar>
    </w:tblPr>
  </w:style>
  <w:style w:type="table" w:styleId="Table8">
    <w:basedOn w:val="TableNormal"/>
    <w:tblPr>
      <w:tblStyleRowBandSize w:val="1"/>
      <w:tblStyleColBandSize w:val="1"/>
      <w:tblCellMar>
        <w:top w:w="120.0" w:type="dxa"/>
        <w:left w:w="160.0" w:type="dxa"/>
        <w:bottom w:w="120.0" w:type="dxa"/>
        <w:right w:w="160.0" w:type="dxa"/>
      </w:tblCellMar>
    </w:tblPr>
  </w:style>
  <w:style w:type="table" w:styleId="Table9">
    <w:basedOn w:val="TableNormal"/>
    <w:tblPr>
      <w:tblStyleRowBandSize w:val="1"/>
      <w:tblStyleColBandSize w:val="1"/>
      <w:tblCellMar>
        <w:top w:w="120.0" w:type="dxa"/>
        <w:left w:w="160.0" w:type="dxa"/>
        <w:bottom w:w="120.0" w:type="dxa"/>
        <w:right w:w="160.0" w:type="dxa"/>
      </w:tblCellMar>
    </w:tblPr>
  </w:style>
  <w:style w:type="table" w:styleId="Table10">
    <w:basedOn w:val="TableNormal"/>
    <w:tblPr>
      <w:tblStyleRowBandSize w:val="1"/>
      <w:tblStyleColBandSize w:val="1"/>
      <w:tblCellMar>
        <w:top w:w="60.0" w:type="dxa"/>
        <w:left w:w="110.0" w:type="dxa"/>
        <w:bottom w:w="60.0" w:type="dxa"/>
        <w:right w:w="110.0" w:type="dxa"/>
      </w:tblCellMar>
    </w:tblPr>
  </w:style>
  <w:style w:type="table" w:styleId="Table11">
    <w:basedOn w:val="TableNormal"/>
    <w:tblPr>
      <w:tblStyleRowBandSize w:val="1"/>
      <w:tblStyleColBandSize w:val="1"/>
      <w:tblCellMar>
        <w:top w:w="60.0" w:type="dxa"/>
        <w:left w:w="110.0" w:type="dxa"/>
        <w:bottom w:w="60.0" w:type="dxa"/>
        <w:right w:w="1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1yM0EhGnBDgc6CSh6HHiUQ8rOQ==">CgMxLjAaHQoBMBIYChYIB0ISEhBBcmlhbCBVbmljb2RlIE1TGh0KATESGAoWCAdCEhIQQXJpYWwgVW5pY29kZSBNUzgAciExbW0yMGc5V1RoLXBJVzFzLTllMnFLMndIemhCeWx2Rko=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