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E0735" w14:textId="42CA2153" w:rsidR="00054AD9" w:rsidRPr="00054AD9" w:rsidRDefault="00054AD9">
      <w:pPr>
        <w:rPr>
          <w:rFonts w:ascii="Arial" w:hAnsi="Arial" w:cs="Arial"/>
          <w:b/>
          <w:bCs/>
        </w:rPr>
      </w:pPr>
      <w:r w:rsidRPr="00054AD9">
        <w:rPr>
          <w:rFonts w:ascii="Arial" w:hAnsi="Arial" w:cs="Arial"/>
          <w:b/>
          <w:bCs/>
        </w:rPr>
        <w:t>Supplemental Figure S1:</w:t>
      </w:r>
      <w:r>
        <w:rPr>
          <w:rFonts w:ascii="Arial" w:hAnsi="Arial" w:cs="Arial"/>
          <w:b/>
          <w:bCs/>
        </w:rPr>
        <w:t xml:space="preserve"> Different analyses of mutation bias in CML.</w:t>
      </w:r>
    </w:p>
    <w:p w14:paraId="31BA4D63" w14:textId="5337977F" w:rsidR="00054AD9" w:rsidRPr="00054AD9" w:rsidRDefault="00054AD9">
      <w:pPr>
        <w:rPr>
          <w:rFonts w:ascii="Arial" w:hAnsi="Arial" w:cs="Arial"/>
          <w:b/>
          <w:bCs/>
        </w:rPr>
      </w:pPr>
    </w:p>
    <w:p w14:paraId="16BBB663" w14:textId="3A509FE0" w:rsidR="00054AD9" w:rsidRPr="00054AD9" w:rsidRDefault="00054AD9">
      <w:pPr>
        <w:rPr>
          <w:rFonts w:ascii="Arial" w:hAnsi="Arial" w:cs="Arial"/>
          <w:b/>
          <w:bCs/>
        </w:rPr>
      </w:pPr>
    </w:p>
    <w:p w14:paraId="421218C9" w14:textId="4B4DAAA4" w:rsidR="00054AD9" w:rsidRPr="00054AD9" w:rsidRDefault="00054AD9">
      <w:pPr>
        <w:rPr>
          <w:rFonts w:ascii="Arial" w:hAnsi="Arial" w:cs="Arial"/>
          <w:b/>
          <w:bCs/>
        </w:rPr>
      </w:pPr>
    </w:p>
    <w:p w14:paraId="7D982453" w14:textId="50B680AF" w:rsidR="00054AD9" w:rsidRPr="00054AD9" w:rsidRDefault="00054AD9">
      <w:pPr>
        <w:rPr>
          <w:rFonts w:ascii="Arial" w:hAnsi="Arial" w:cs="Arial"/>
          <w:b/>
          <w:bCs/>
        </w:rPr>
      </w:pPr>
    </w:p>
    <w:p w14:paraId="04738F39" w14:textId="604A226C" w:rsidR="00054AD9" w:rsidRPr="00054AD9" w:rsidRDefault="00054AD9">
      <w:pPr>
        <w:rPr>
          <w:rFonts w:ascii="Arial" w:hAnsi="Arial" w:cs="Arial"/>
          <w:b/>
          <w:bCs/>
        </w:rPr>
      </w:pPr>
    </w:p>
    <w:p w14:paraId="1717633A" w14:textId="77466150" w:rsidR="00054AD9" w:rsidRPr="00054AD9" w:rsidRDefault="00054AD9">
      <w:pPr>
        <w:rPr>
          <w:rFonts w:ascii="Arial" w:hAnsi="Arial" w:cs="Arial"/>
          <w:b/>
          <w:bCs/>
        </w:rPr>
      </w:pPr>
    </w:p>
    <w:p w14:paraId="62103192" w14:textId="224AA374" w:rsidR="00054AD9" w:rsidRPr="00054AD9" w:rsidRDefault="00054AD9">
      <w:pPr>
        <w:rPr>
          <w:rFonts w:ascii="Arial" w:hAnsi="Arial" w:cs="Arial"/>
          <w:b/>
          <w:bCs/>
        </w:rPr>
      </w:pPr>
    </w:p>
    <w:p w14:paraId="246D64D2" w14:textId="13C1914D" w:rsidR="00054AD9" w:rsidRPr="00054AD9" w:rsidRDefault="00054AD9">
      <w:pPr>
        <w:rPr>
          <w:rFonts w:ascii="Arial" w:hAnsi="Arial" w:cs="Arial"/>
          <w:b/>
          <w:bCs/>
        </w:rPr>
      </w:pPr>
    </w:p>
    <w:p w14:paraId="03EFF59E" w14:textId="27AE5C2E" w:rsidR="00054AD9" w:rsidRPr="00054AD9" w:rsidRDefault="00054AD9">
      <w:pPr>
        <w:rPr>
          <w:rFonts w:ascii="Arial" w:hAnsi="Arial" w:cs="Arial"/>
          <w:b/>
          <w:bCs/>
        </w:rPr>
      </w:pPr>
    </w:p>
    <w:p w14:paraId="671329E0" w14:textId="653A560E" w:rsidR="00054AD9" w:rsidRPr="00054AD9" w:rsidRDefault="00054AD9">
      <w:pPr>
        <w:rPr>
          <w:rFonts w:ascii="Arial" w:hAnsi="Arial" w:cs="Arial"/>
          <w:b/>
          <w:bCs/>
        </w:rPr>
      </w:pPr>
    </w:p>
    <w:p w14:paraId="0A045592" w14:textId="63536687" w:rsidR="00054AD9" w:rsidRPr="00054AD9" w:rsidRDefault="00054AD9">
      <w:pPr>
        <w:rPr>
          <w:rFonts w:ascii="Arial" w:hAnsi="Arial" w:cs="Arial"/>
          <w:b/>
          <w:bCs/>
        </w:rPr>
      </w:pPr>
    </w:p>
    <w:p w14:paraId="1191347E" w14:textId="0A978B63" w:rsidR="00054AD9" w:rsidRPr="00054AD9" w:rsidRDefault="00054AD9">
      <w:pPr>
        <w:rPr>
          <w:rFonts w:ascii="Arial" w:hAnsi="Arial" w:cs="Arial"/>
          <w:b/>
          <w:bCs/>
        </w:rPr>
      </w:pPr>
    </w:p>
    <w:p w14:paraId="72CAFE9F" w14:textId="709719A9" w:rsidR="00054AD9" w:rsidRPr="00054AD9" w:rsidRDefault="00054AD9">
      <w:pPr>
        <w:rPr>
          <w:rFonts w:ascii="Arial" w:hAnsi="Arial" w:cs="Arial"/>
          <w:b/>
          <w:bCs/>
        </w:rPr>
      </w:pPr>
    </w:p>
    <w:p w14:paraId="6FC06AFE" w14:textId="43D58331" w:rsidR="00054AD9" w:rsidRPr="00054AD9" w:rsidRDefault="00054AD9">
      <w:pPr>
        <w:rPr>
          <w:rFonts w:ascii="Arial" w:hAnsi="Arial" w:cs="Arial"/>
          <w:b/>
          <w:bCs/>
        </w:rPr>
      </w:pPr>
    </w:p>
    <w:p w14:paraId="7116BE72" w14:textId="10951ED7" w:rsidR="00054AD9" w:rsidRPr="00054AD9" w:rsidRDefault="00054AD9">
      <w:pPr>
        <w:rPr>
          <w:rFonts w:ascii="Arial" w:hAnsi="Arial" w:cs="Arial"/>
          <w:b/>
          <w:bCs/>
        </w:rPr>
      </w:pPr>
    </w:p>
    <w:p w14:paraId="43CCE8A9" w14:textId="27066AF8" w:rsidR="00054AD9" w:rsidRPr="00054AD9" w:rsidRDefault="00054AD9">
      <w:pPr>
        <w:rPr>
          <w:rFonts w:ascii="Arial" w:hAnsi="Arial" w:cs="Arial"/>
          <w:b/>
          <w:bCs/>
        </w:rPr>
      </w:pPr>
    </w:p>
    <w:p w14:paraId="3C428230" w14:textId="5E8939F6" w:rsidR="00054AD9" w:rsidRPr="00054AD9" w:rsidRDefault="00054AD9">
      <w:pPr>
        <w:rPr>
          <w:rFonts w:ascii="Arial" w:hAnsi="Arial" w:cs="Arial"/>
          <w:b/>
          <w:bCs/>
        </w:rPr>
      </w:pPr>
    </w:p>
    <w:p w14:paraId="518179FE" w14:textId="5F6D49E9" w:rsidR="00054AD9" w:rsidRDefault="00054AD9">
      <w:pPr>
        <w:rPr>
          <w:rFonts w:ascii="Arial" w:hAnsi="Arial" w:cs="Arial"/>
          <w:b/>
          <w:bCs/>
        </w:rPr>
      </w:pPr>
    </w:p>
    <w:p w14:paraId="7EB96AE6" w14:textId="2A46F20B" w:rsidR="00054AD9" w:rsidRDefault="00054AD9">
      <w:pPr>
        <w:rPr>
          <w:rFonts w:ascii="Arial" w:hAnsi="Arial" w:cs="Arial"/>
          <w:b/>
          <w:bCs/>
        </w:rPr>
      </w:pPr>
    </w:p>
    <w:p w14:paraId="7EC04677" w14:textId="77777777" w:rsidR="00054AD9" w:rsidRPr="00054AD9" w:rsidRDefault="00054AD9">
      <w:pPr>
        <w:rPr>
          <w:rFonts w:ascii="Arial" w:hAnsi="Arial" w:cs="Arial"/>
          <w:b/>
          <w:bCs/>
        </w:rPr>
      </w:pPr>
    </w:p>
    <w:p w14:paraId="687CBF5E" w14:textId="14C66606" w:rsidR="00054AD9" w:rsidRPr="00054AD9" w:rsidRDefault="00054AD9">
      <w:pPr>
        <w:rPr>
          <w:rFonts w:ascii="Arial" w:hAnsi="Arial" w:cs="Arial"/>
          <w:b/>
          <w:bCs/>
        </w:rPr>
      </w:pPr>
    </w:p>
    <w:p w14:paraId="1A44A4BC" w14:textId="56708EBF" w:rsidR="00054AD9" w:rsidRPr="00054AD9" w:rsidRDefault="00054AD9">
      <w:pPr>
        <w:rPr>
          <w:rFonts w:ascii="Arial" w:hAnsi="Arial" w:cs="Arial"/>
          <w:b/>
          <w:bCs/>
        </w:rPr>
      </w:pPr>
    </w:p>
    <w:p w14:paraId="3854F777" w14:textId="77777777" w:rsidR="00054AD9" w:rsidRPr="00054AD9" w:rsidRDefault="00054AD9">
      <w:pPr>
        <w:rPr>
          <w:rFonts w:ascii="Arial" w:hAnsi="Arial" w:cs="Arial"/>
          <w:b/>
          <w:bCs/>
        </w:rPr>
      </w:pPr>
    </w:p>
    <w:p w14:paraId="7B61F53E" w14:textId="2EA65A30" w:rsidR="00865381" w:rsidRPr="00054AD9" w:rsidRDefault="00054AD9">
      <w:pPr>
        <w:rPr>
          <w:rFonts w:ascii="Arial" w:hAnsi="Arial" w:cs="Arial"/>
        </w:rPr>
      </w:pPr>
      <w:r w:rsidRPr="00054AD9">
        <w:rPr>
          <w:rFonts w:ascii="Arial" w:hAnsi="Arial" w:cs="Arial"/>
          <w:noProof/>
        </w:rPr>
        <w:lastRenderedPageBreak/>
        <w:drawing>
          <wp:inline distT="0" distB="0" distL="0" distR="0" wp14:anchorId="07669A67" wp14:editId="12A9866B">
            <wp:extent cx="5943600" cy="4625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FigS2_071419.png"/>
                    <pic:cNvPicPr/>
                  </pic:nvPicPr>
                  <pic:blipFill>
                    <a:blip r:embed="rId5"/>
                    <a:stretch>
                      <a:fillRect/>
                    </a:stretch>
                  </pic:blipFill>
                  <pic:spPr>
                    <a:xfrm>
                      <a:off x="0" y="0"/>
                      <a:ext cx="5943600" cy="4625975"/>
                    </a:xfrm>
                    <a:prstGeom prst="rect">
                      <a:avLst/>
                    </a:prstGeom>
                  </pic:spPr>
                </pic:pic>
              </a:graphicData>
            </a:graphic>
          </wp:inline>
        </w:drawing>
      </w:r>
    </w:p>
    <w:p w14:paraId="3EDEA1A1" w14:textId="7DEB6E2F" w:rsidR="00054AD9" w:rsidRPr="00054AD9" w:rsidRDefault="00054AD9">
      <w:pPr>
        <w:rPr>
          <w:rFonts w:ascii="Arial" w:hAnsi="Arial" w:cs="Arial"/>
        </w:rPr>
      </w:pPr>
    </w:p>
    <w:p w14:paraId="4BEEF2F7" w14:textId="77777777" w:rsidR="00054AD9" w:rsidRPr="00054AD9" w:rsidRDefault="00054AD9">
      <w:pPr>
        <w:rPr>
          <w:rFonts w:ascii="Arial" w:hAnsi="Arial" w:cs="Arial"/>
        </w:rPr>
      </w:pPr>
    </w:p>
    <w:p w14:paraId="4950E703" w14:textId="5F1CA74C" w:rsidR="00054AD9" w:rsidRPr="00054AD9" w:rsidRDefault="00054AD9" w:rsidP="00054AD9">
      <w:pPr>
        <w:pStyle w:val="Default"/>
        <w:rPr>
          <w:color w:val="212121"/>
          <w:sz w:val="22"/>
          <w:szCs w:val="22"/>
        </w:rPr>
      </w:pPr>
      <w:r w:rsidRPr="00054AD9">
        <w:rPr>
          <w:b/>
          <w:bCs/>
          <w:color w:val="212121"/>
          <w:sz w:val="22"/>
          <w:szCs w:val="22"/>
        </w:rPr>
        <w:t xml:space="preserve">Supplemental </w:t>
      </w:r>
      <w:r w:rsidRPr="00054AD9">
        <w:rPr>
          <w:b/>
          <w:bCs/>
          <w:color w:val="212121"/>
          <w:sz w:val="22"/>
          <w:szCs w:val="22"/>
        </w:rPr>
        <w:t>Figure S</w:t>
      </w:r>
      <w:r>
        <w:rPr>
          <w:b/>
          <w:bCs/>
          <w:color w:val="212121"/>
          <w:sz w:val="22"/>
          <w:szCs w:val="22"/>
        </w:rPr>
        <w:t>2</w:t>
      </w:r>
      <w:r w:rsidRPr="00054AD9">
        <w:rPr>
          <w:b/>
          <w:bCs/>
          <w:color w:val="212121"/>
          <w:sz w:val="22"/>
          <w:szCs w:val="22"/>
        </w:rPr>
        <w:t>: Analysis of IC</w:t>
      </w:r>
      <w:r w:rsidRPr="00054AD9">
        <w:rPr>
          <w:b/>
          <w:bCs/>
          <w:color w:val="212121"/>
          <w:sz w:val="22"/>
          <w:szCs w:val="22"/>
          <w:vertAlign w:val="subscript"/>
        </w:rPr>
        <w:t>50</w:t>
      </w:r>
      <w:r w:rsidRPr="00054AD9">
        <w:rPr>
          <w:b/>
          <w:bCs/>
          <w:color w:val="212121"/>
          <w:sz w:val="22"/>
          <w:szCs w:val="22"/>
        </w:rPr>
        <w:t xml:space="preserve"> measurements in BCR-ABL resistance mutants across studies.</w:t>
      </w:r>
    </w:p>
    <w:p w14:paraId="3FBB2E43" w14:textId="77777777" w:rsidR="00054AD9" w:rsidRPr="00054AD9" w:rsidRDefault="00054AD9" w:rsidP="00054AD9">
      <w:pPr>
        <w:pStyle w:val="Default"/>
        <w:rPr>
          <w:color w:val="212121"/>
          <w:sz w:val="22"/>
          <w:szCs w:val="22"/>
        </w:rPr>
      </w:pPr>
      <w:r w:rsidRPr="00054AD9">
        <w:rPr>
          <w:color w:val="212121"/>
          <w:sz w:val="22"/>
          <w:szCs w:val="22"/>
        </w:rPr>
        <w:t>We analyzed the IC</w:t>
      </w:r>
      <w:r w:rsidRPr="00054AD9">
        <w:rPr>
          <w:color w:val="212121"/>
          <w:sz w:val="22"/>
          <w:szCs w:val="22"/>
          <w:vertAlign w:val="subscript"/>
        </w:rPr>
        <w:t>50</w:t>
      </w:r>
      <w:r w:rsidRPr="00054AD9">
        <w:rPr>
          <w:color w:val="212121"/>
          <w:sz w:val="22"/>
          <w:szCs w:val="22"/>
        </w:rPr>
        <w:t xml:space="preserve"> of BaF3s transduced with BCR-ABL variants as reported in other studies. The diagonal of the figure shows the histogram of IC</w:t>
      </w:r>
      <w:r w:rsidRPr="00054AD9">
        <w:rPr>
          <w:color w:val="212121"/>
          <w:sz w:val="22"/>
          <w:szCs w:val="22"/>
          <w:vertAlign w:val="subscript"/>
        </w:rPr>
        <w:t>50</w:t>
      </w:r>
      <w:r w:rsidRPr="00054AD9">
        <w:rPr>
          <w:color w:val="212121"/>
          <w:sz w:val="22"/>
          <w:szCs w:val="22"/>
        </w:rPr>
        <w:t xml:space="preserve">s for each study. The correlations are reported in the off-diagonals. In general, four studies (ours, </w:t>
      </w:r>
      <w:proofErr w:type="spellStart"/>
      <w:r w:rsidRPr="00054AD9">
        <w:rPr>
          <w:color w:val="212121"/>
          <w:sz w:val="22"/>
          <w:szCs w:val="22"/>
        </w:rPr>
        <w:t>Gozgit</w:t>
      </w:r>
      <w:proofErr w:type="spellEnd"/>
      <w:r w:rsidRPr="00054AD9">
        <w:rPr>
          <w:color w:val="212121"/>
          <w:sz w:val="22"/>
          <w:szCs w:val="22"/>
        </w:rPr>
        <w:t xml:space="preserve"> 2013, Zabriskie 2014, and </w:t>
      </w:r>
      <w:proofErr w:type="spellStart"/>
      <w:r w:rsidRPr="00054AD9">
        <w:rPr>
          <w:color w:val="212121"/>
          <w:sz w:val="22"/>
          <w:szCs w:val="22"/>
        </w:rPr>
        <w:t>Redaelli</w:t>
      </w:r>
      <w:proofErr w:type="spellEnd"/>
      <w:r w:rsidRPr="00054AD9">
        <w:rPr>
          <w:color w:val="212121"/>
          <w:sz w:val="22"/>
          <w:szCs w:val="22"/>
        </w:rPr>
        <w:t xml:space="preserve"> 2012) exhibit high cross-correlation (Pearson’s rho ≥ 0.88). The Wylie 2017 study was excluded from further analysis given its low correlation with the remaining four studies. See Methods and Table S1 for explanation of the normalization procedure.</w:t>
      </w:r>
    </w:p>
    <w:p w14:paraId="0132CD3E" w14:textId="14F86A7D" w:rsidR="00054AD9" w:rsidRPr="00054AD9" w:rsidRDefault="00054AD9">
      <w:pPr>
        <w:rPr>
          <w:rFonts w:ascii="Arial" w:hAnsi="Arial" w:cs="Arial"/>
        </w:rPr>
      </w:pPr>
    </w:p>
    <w:p w14:paraId="191A0246" w14:textId="2C8178B6" w:rsidR="00054AD9" w:rsidRPr="00054AD9" w:rsidRDefault="00054AD9">
      <w:pPr>
        <w:rPr>
          <w:rFonts w:ascii="Arial" w:hAnsi="Arial" w:cs="Arial"/>
        </w:rPr>
      </w:pPr>
      <w:r w:rsidRPr="00054AD9">
        <w:rPr>
          <w:rFonts w:ascii="Arial" w:hAnsi="Arial" w:cs="Arial"/>
          <w:noProof/>
        </w:rPr>
        <w:lastRenderedPageBreak/>
        <w:drawing>
          <wp:inline distT="0" distB="0" distL="0" distR="0" wp14:anchorId="635A754A" wp14:editId="79FF0B70">
            <wp:extent cx="5943600" cy="7567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FigS3_071419.png"/>
                    <pic:cNvPicPr/>
                  </pic:nvPicPr>
                  <pic:blipFill>
                    <a:blip r:embed="rId6"/>
                    <a:stretch>
                      <a:fillRect/>
                    </a:stretch>
                  </pic:blipFill>
                  <pic:spPr>
                    <a:xfrm>
                      <a:off x="0" y="0"/>
                      <a:ext cx="5943600" cy="7567295"/>
                    </a:xfrm>
                    <a:prstGeom prst="rect">
                      <a:avLst/>
                    </a:prstGeom>
                  </pic:spPr>
                </pic:pic>
              </a:graphicData>
            </a:graphic>
          </wp:inline>
        </w:drawing>
      </w:r>
    </w:p>
    <w:p w14:paraId="7E00ABD0" w14:textId="0848A6D0" w:rsidR="00054AD9" w:rsidRPr="00054AD9" w:rsidRDefault="00054AD9">
      <w:pPr>
        <w:rPr>
          <w:rFonts w:ascii="Arial" w:hAnsi="Arial" w:cs="Arial"/>
        </w:rPr>
      </w:pPr>
    </w:p>
    <w:p w14:paraId="663441DE" w14:textId="77777777" w:rsidR="00054AD9" w:rsidRPr="00054AD9" w:rsidRDefault="00054AD9">
      <w:pPr>
        <w:rPr>
          <w:rFonts w:ascii="Arial" w:hAnsi="Arial" w:cs="Arial"/>
        </w:rPr>
      </w:pPr>
    </w:p>
    <w:p w14:paraId="2D2E9EFA" w14:textId="315C4575" w:rsidR="00054AD9" w:rsidRDefault="00054AD9">
      <w:pPr>
        <w:rPr>
          <w:rFonts w:ascii="Arial" w:hAnsi="Arial" w:cs="Arial"/>
        </w:rPr>
      </w:pPr>
    </w:p>
    <w:p w14:paraId="3BE167A8" w14:textId="77777777" w:rsidR="00054AD9" w:rsidRPr="00054AD9" w:rsidRDefault="00054AD9">
      <w:pPr>
        <w:rPr>
          <w:rFonts w:ascii="Arial" w:hAnsi="Arial" w:cs="Arial"/>
        </w:rPr>
      </w:pPr>
    </w:p>
    <w:p w14:paraId="0427E1EB" w14:textId="7B6DC24E" w:rsidR="00054AD9" w:rsidRPr="00054AD9" w:rsidRDefault="00054AD9" w:rsidP="00054AD9">
      <w:pPr>
        <w:pStyle w:val="Default"/>
        <w:rPr>
          <w:color w:val="212121"/>
          <w:sz w:val="22"/>
          <w:szCs w:val="22"/>
        </w:rPr>
      </w:pPr>
      <w:r w:rsidRPr="00054AD9">
        <w:rPr>
          <w:b/>
          <w:bCs/>
          <w:color w:val="212121"/>
          <w:sz w:val="22"/>
          <w:szCs w:val="22"/>
        </w:rPr>
        <w:lastRenderedPageBreak/>
        <w:t xml:space="preserve">Supplemental </w:t>
      </w:r>
      <w:r w:rsidRPr="00054AD9">
        <w:rPr>
          <w:b/>
          <w:bCs/>
          <w:color w:val="212121"/>
          <w:sz w:val="22"/>
          <w:szCs w:val="22"/>
        </w:rPr>
        <w:t>Figure S</w:t>
      </w:r>
      <w:r>
        <w:rPr>
          <w:b/>
          <w:bCs/>
          <w:color w:val="212121"/>
          <w:sz w:val="22"/>
          <w:szCs w:val="22"/>
        </w:rPr>
        <w:t>3</w:t>
      </w:r>
      <w:r w:rsidRPr="00054AD9">
        <w:rPr>
          <w:b/>
          <w:bCs/>
          <w:color w:val="212121"/>
          <w:sz w:val="22"/>
          <w:szCs w:val="22"/>
        </w:rPr>
        <w:t>: Construction of resistance mutation prevalence model.</w:t>
      </w:r>
    </w:p>
    <w:p w14:paraId="0912ACF2" w14:textId="169B0AEE" w:rsidR="00054AD9" w:rsidRPr="00054AD9" w:rsidRDefault="00054AD9" w:rsidP="00054AD9">
      <w:pPr>
        <w:pStyle w:val="Default"/>
        <w:rPr>
          <w:color w:val="212121"/>
          <w:sz w:val="22"/>
          <w:szCs w:val="22"/>
        </w:rPr>
      </w:pPr>
      <w:r w:rsidRPr="00054AD9">
        <w:rPr>
          <w:color w:val="212121"/>
          <w:sz w:val="22"/>
          <w:szCs w:val="22"/>
        </w:rPr>
        <w:t xml:space="preserve">A statistical model was developed to explain the variance in clinical prevalence of BCR-ABL resistance mutations. </w:t>
      </w:r>
      <w:r w:rsidRPr="00054AD9">
        <w:rPr>
          <w:b/>
          <w:bCs/>
          <w:color w:val="212121"/>
          <w:sz w:val="22"/>
          <w:szCs w:val="22"/>
        </w:rPr>
        <w:t xml:space="preserve">(A) </w:t>
      </w:r>
      <w:r w:rsidRPr="00054AD9">
        <w:rPr>
          <w:color w:val="212121"/>
          <w:sz w:val="22"/>
          <w:szCs w:val="22"/>
        </w:rPr>
        <w:t>To construct the model, we considered three potential predictor variables: imatinib IC</w:t>
      </w:r>
      <w:r w:rsidRPr="00054AD9">
        <w:rPr>
          <w:color w:val="212121"/>
          <w:sz w:val="22"/>
          <w:szCs w:val="22"/>
          <w:vertAlign w:val="subscript"/>
        </w:rPr>
        <w:t>50</w:t>
      </w:r>
      <w:r w:rsidRPr="00054AD9">
        <w:rPr>
          <w:color w:val="212121"/>
          <w:sz w:val="22"/>
          <w:szCs w:val="22"/>
        </w:rPr>
        <w:t xml:space="preserve"> (Figure 3B), growth rate in the absence of drug (Supplemental Figure 2A), and amino acid substitution probability (Figure 3D). </w:t>
      </w:r>
      <w:r w:rsidRPr="00054AD9">
        <w:rPr>
          <w:b/>
          <w:bCs/>
          <w:color w:val="212121"/>
          <w:sz w:val="22"/>
          <w:szCs w:val="22"/>
        </w:rPr>
        <w:t xml:space="preserve">(B) </w:t>
      </w:r>
      <w:r w:rsidRPr="00054AD9">
        <w:rPr>
          <w:color w:val="212121"/>
          <w:sz w:val="22"/>
          <w:szCs w:val="22"/>
        </w:rPr>
        <w:t xml:space="preserve">The amino acid prevalence assembled from our meta-analysis of multiple clinical trials was analyzed to identify the appropriate generalized linear model to use for regression. The empirical CDF of the prevalence count data was compared to theoretical CDFs given a Poisson (left) and negative binomial distribution (right). The Poisson distribution was </w:t>
      </w:r>
      <w:proofErr w:type="spellStart"/>
      <w:r w:rsidRPr="00054AD9">
        <w:rPr>
          <w:color w:val="212121"/>
          <w:sz w:val="22"/>
          <w:szCs w:val="22"/>
        </w:rPr>
        <w:t>overdispersed</w:t>
      </w:r>
      <w:proofErr w:type="spellEnd"/>
      <w:r w:rsidRPr="00054AD9">
        <w:rPr>
          <w:color w:val="212121"/>
          <w:sz w:val="22"/>
          <w:szCs w:val="22"/>
        </w:rPr>
        <w:t xml:space="preserve">, while the negative binomial distribution appeared to agree with the empirical data and so a negative binomial regression model was used. </w:t>
      </w:r>
      <w:r w:rsidRPr="00054AD9">
        <w:rPr>
          <w:b/>
          <w:bCs/>
          <w:color w:val="212121"/>
          <w:sz w:val="22"/>
          <w:szCs w:val="22"/>
        </w:rPr>
        <w:t xml:space="preserve">(C) </w:t>
      </w:r>
      <w:r w:rsidRPr="00054AD9">
        <w:rPr>
          <w:color w:val="212121"/>
          <w:sz w:val="22"/>
          <w:szCs w:val="22"/>
        </w:rPr>
        <w:t>Validation of the regression model trained on our clinical meta-analysis data set. Leave-one-out cross validation was used to estimate the test error of the N-variable model with the lowest AIC for each N. The N=1 model includes substitution bias; the N=2 model includes substitution bias and IC</w:t>
      </w:r>
      <w:r w:rsidRPr="00054AD9">
        <w:rPr>
          <w:color w:val="212121"/>
          <w:sz w:val="22"/>
          <w:szCs w:val="22"/>
          <w:vertAlign w:val="subscript"/>
        </w:rPr>
        <w:t>50</w:t>
      </w:r>
      <w:r w:rsidRPr="00054AD9">
        <w:rPr>
          <w:color w:val="212121"/>
          <w:sz w:val="22"/>
          <w:szCs w:val="22"/>
        </w:rPr>
        <w:t>; the N=3 model includes substitution bias, IC</w:t>
      </w:r>
      <w:r w:rsidRPr="00054AD9">
        <w:rPr>
          <w:color w:val="212121"/>
          <w:sz w:val="22"/>
          <w:szCs w:val="22"/>
          <w:vertAlign w:val="subscript"/>
        </w:rPr>
        <w:t>50</w:t>
      </w:r>
      <w:r w:rsidRPr="00054AD9">
        <w:rPr>
          <w:color w:val="212121"/>
          <w:sz w:val="22"/>
          <w:szCs w:val="22"/>
        </w:rPr>
        <w:t xml:space="preserve">, and growth rate in the absence of drug. The N=2 model had the lowest estimated mean square error. For a complete explanation of model construction see the Figure 3 R-markdown file on GitHub. </w:t>
      </w:r>
      <w:r w:rsidRPr="00054AD9">
        <w:rPr>
          <w:b/>
          <w:bCs/>
          <w:color w:val="212121"/>
          <w:sz w:val="22"/>
          <w:szCs w:val="22"/>
        </w:rPr>
        <w:t xml:space="preserve">(D) </w:t>
      </w:r>
      <w:r w:rsidRPr="00054AD9">
        <w:rPr>
          <w:color w:val="212121"/>
          <w:sz w:val="22"/>
          <w:szCs w:val="22"/>
        </w:rPr>
        <w:t xml:space="preserve">Validation of regression model as in </w:t>
      </w:r>
      <w:r w:rsidRPr="00054AD9">
        <w:rPr>
          <w:b/>
          <w:bCs/>
          <w:color w:val="212121"/>
          <w:sz w:val="22"/>
          <w:szCs w:val="22"/>
        </w:rPr>
        <w:t xml:space="preserve">(C) </w:t>
      </w:r>
      <w:r w:rsidRPr="00054AD9">
        <w:rPr>
          <w:color w:val="212121"/>
          <w:sz w:val="22"/>
          <w:szCs w:val="22"/>
        </w:rPr>
        <w:t>for model trained on the Sanger Institute data set.</w:t>
      </w:r>
    </w:p>
    <w:p w14:paraId="54FF0508" w14:textId="5670E310" w:rsidR="00054AD9" w:rsidRPr="00054AD9" w:rsidRDefault="00054AD9" w:rsidP="00054AD9">
      <w:pPr>
        <w:pStyle w:val="Default"/>
        <w:rPr>
          <w:color w:val="212121"/>
          <w:sz w:val="22"/>
          <w:szCs w:val="22"/>
        </w:rPr>
      </w:pPr>
    </w:p>
    <w:p w14:paraId="43C3D0E0" w14:textId="4A310913" w:rsidR="00054AD9" w:rsidRPr="00054AD9" w:rsidRDefault="00054AD9" w:rsidP="00054AD9">
      <w:pPr>
        <w:pStyle w:val="Default"/>
        <w:rPr>
          <w:color w:val="212121"/>
          <w:sz w:val="22"/>
          <w:szCs w:val="22"/>
        </w:rPr>
      </w:pPr>
    </w:p>
    <w:p w14:paraId="563606BA" w14:textId="71ACEBD4" w:rsidR="00054AD9" w:rsidRPr="00054AD9" w:rsidRDefault="00054AD9" w:rsidP="00054AD9">
      <w:pPr>
        <w:pStyle w:val="Default"/>
        <w:rPr>
          <w:color w:val="212121"/>
          <w:sz w:val="22"/>
          <w:szCs w:val="22"/>
        </w:rPr>
      </w:pPr>
    </w:p>
    <w:p w14:paraId="11E01130" w14:textId="5C002AF0" w:rsidR="00054AD9" w:rsidRPr="00054AD9" w:rsidRDefault="00054AD9" w:rsidP="00054AD9">
      <w:pPr>
        <w:pStyle w:val="Default"/>
        <w:rPr>
          <w:color w:val="212121"/>
          <w:sz w:val="22"/>
          <w:szCs w:val="22"/>
        </w:rPr>
      </w:pPr>
    </w:p>
    <w:p w14:paraId="0D7C247D" w14:textId="6E908714" w:rsidR="00054AD9" w:rsidRPr="00054AD9" w:rsidRDefault="00054AD9" w:rsidP="00054AD9">
      <w:pPr>
        <w:pStyle w:val="Default"/>
        <w:rPr>
          <w:color w:val="212121"/>
          <w:sz w:val="22"/>
          <w:szCs w:val="22"/>
        </w:rPr>
      </w:pPr>
    </w:p>
    <w:p w14:paraId="399B08E5" w14:textId="0BB11223" w:rsidR="00054AD9" w:rsidRPr="00054AD9" w:rsidRDefault="00054AD9" w:rsidP="00054AD9">
      <w:pPr>
        <w:pStyle w:val="Default"/>
        <w:rPr>
          <w:color w:val="212121"/>
          <w:sz w:val="22"/>
          <w:szCs w:val="22"/>
        </w:rPr>
      </w:pPr>
    </w:p>
    <w:p w14:paraId="23116D22" w14:textId="6E946F77" w:rsidR="00054AD9" w:rsidRPr="00054AD9" w:rsidRDefault="00054AD9" w:rsidP="00054AD9">
      <w:pPr>
        <w:pStyle w:val="Default"/>
        <w:rPr>
          <w:color w:val="212121"/>
          <w:sz w:val="22"/>
          <w:szCs w:val="22"/>
        </w:rPr>
      </w:pPr>
    </w:p>
    <w:p w14:paraId="4F851853" w14:textId="4002F7CD" w:rsidR="00054AD9" w:rsidRPr="00054AD9" w:rsidRDefault="00054AD9" w:rsidP="00054AD9">
      <w:pPr>
        <w:pStyle w:val="Default"/>
        <w:rPr>
          <w:color w:val="212121"/>
          <w:sz w:val="22"/>
          <w:szCs w:val="22"/>
        </w:rPr>
      </w:pPr>
    </w:p>
    <w:p w14:paraId="4CE95088" w14:textId="2DC3622D" w:rsidR="00054AD9" w:rsidRPr="00054AD9" w:rsidRDefault="00054AD9" w:rsidP="00054AD9">
      <w:pPr>
        <w:pStyle w:val="Default"/>
        <w:rPr>
          <w:color w:val="212121"/>
          <w:sz w:val="22"/>
          <w:szCs w:val="22"/>
        </w:rPr>
      </w:pPr>
    </w:p>
    <w:p w14:paraId="3B9A19FC" w14:textId="21E3B6E2" w:rsidR="00054AD9" w:rsidRPr="00054AD9" w:rsidRDefault="00054AD9" w:rsidP="00054AD9">
      <w:pPr>
        <w:pStyle w:val="Default"/>
        <w:rPr>
          <w:color w:val="212121"/>
          <w:sz w:val="22"/>
          <w:szCs w:val="22"/>
        </w:rPr>
      </w:pPr>
    </w:p>
    <w:p w14:paraId="37EBC9E1" w14:textId="6BAC850B" w:rsidR="00054AD9" w:rsidRPr="00054AD9" w:rsidRDefault="00054AD9" w:rsidP="00054AD9">
      <w:pPr>
        <w:pStyle w:val="Default"/>
        <w:rPr>
          <w:color w:val="212121"/>
          <w:sz w:val="22"/>
          <w:szCs w:val="22"/>
        </w:rPr>
      </w:pPr>
    </w:p>
    <w:p w14:paraId="5478DBB3" w14:textId="3B9140AA" w:rsidR="00054AD9" w:rsidRPr="00054AD9" w:rsidRDefault="00054AD9" w:rsidP="00054AD9">
      <w:pPr>
        <w:pStyle w:val="Default"/>
        <w:rPr>
          <w:color w:val="212121"/>
          <w:sz w:val="22"/>
          <w:szCs w:val="22"/>
        </w:rPr>
      </w:pPr>
    </w:p>
    <w:p w14:paraId="4E6A7D0B" w14:textId="664BED2E" w:rsidR="00054AD9" w:rsidRPr="00054AD9" w:rsidRDefault="00054AD9" w:rsidP="00054AD9">
      <w:pPr>
        <w:pStyle w:val="Default"/>
        <w:rPr>
          <w:color w:val="212121"/>
          <w:sz w:val="22"/>
          <w:szCs w:val="22"/>
        </w:rPr>
      </w:pPr>
    </w:p>
    <w:p w14:paraId="09D6E3EB" w14:textId="13F2588F" w:rsidR="00054AD9" w:rsidRPr="00054AD9" w:rsidRDefault="00054AD9" w:rsidP="00054AD9">
      <w:pPr>
        <w:pStyle w:val="Default"/>
        <w:rPr>
          <w:color w:val="212121"/>
          <w:sz w:val="22"/>
          <w:szCs w:val="22"/>
        </w:rPr>
      </w:pPr>
    </w:p>
    <w:p w14:paraId="533C238A" w14:textId="452C4ACF" w:rsidR="00054AD9" w:rsidRPr="00054AD9" w:rsidRDefault="00054AD9" w:rsidP="00054AD9">
      <w:pPr>
        <w:pStyle w:val="Default"/>
        <w:rPr>
          <w:color w:val="212121"/>
          <w:sz w:val="22"/>
          <w:szCs w:val="22"/>
        </w:rPr>
      </w:pPr>
    </w:p>
    <w:p w14:paraId="4F3ED3B2" w14:textId="77777777" w:rsidR="00054AD9" w:rsidRPr="00054AD9" w:rsidRDefault="00054AD9" w:rsidP="00054AD9">
      <w:pPr>
        <w:pStyle w:val="Default"/>
        <w:rPr>
          <w:color w:val="212121"/>
          <w:sz w:val="22"/>
          <w:szCs w:val="22"/>
        </w:rPr>
      </w:pPr>
    </w:p>
    <w:p w14:paraId="7E89B669" w14:textId="77777777" w:rsidR="00054AD9" w:rsidRPr="00054AD9" w:rsidRDefault="00054AD9">
      <w:pPr>
        <w:rPr>
          <w:rFonts w:ascii="Arial" w:hAnsi="Arial" w:cs="Arial"/>
        </w:rPr>
      </w:pPr>
    </w:p>
    <w:p w14:paraId="294BD05F" w14:textId="51525CD1" w:rsidR="00054AD9" w:rsidRDefault="00054AD9">
      <w:pPr>
        <w:rPr>
          <w:rFonts w:ascii="Arial" w:hAnsi="Arial" w:cs="Arial"/>
        </w:rPr>
      </w:pPr>
      <w:r w:rsidRPr="00054AD9">
        <w:rPr>
          <w:rFonts w:ascii="Arial" w:hAnsi="Arial" w:cs="Arial"/>
          <w:noProof/>
        </w:rPr>
        <w:lastRenderedPageBreak/>
        <w:drawing>
          <wp:inline distT="0" distB="0" distL="0" distR="0" wp14:anchorId="02F8C0A5" wp14:editId="0C4249C6">
            <wp:extent cx="5943600" cy="2870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FigS4_071419.png"/>
                    <pic:cNvPicPr/>
                  </pic:nvPicPr>
                  <pic:blipFill>
                    <a:blip r:embed="rId7"/>
                    <a:stretch>
                      <a:fillRect/>
                    </a:stretch>
                  </pic:blipFill>
                  <pic:spPr>
                    <a:xfrm>
                      <a:off x="0" y="0"/>
                      <a:ext cx="5943600" cy="2870835"/>
                    </a:xfrm>
                    <a:prstGeom prst="rect">
                      <a:avLst/>
                    </a:prstGeom>
                  </pic:spPr>
                </pic:pic>
              </a:graphicData>
            </a:graphic>
          </wp:inline>
        </w:drawing>
      </w:r>
    </w:p>
    <w:p w14:paraId="5FBF8E06" w14:textId="3EA1B3BF" w:rsidR="00054AD9" w:rsidRDefault="00054AD9">
      <w:pPr>
        <w:rPr>
          <w:rFonts w:ascii="Arial" w:hAnsi="Arial" w:cs="Arial"/>
        </w:rPr>
      </w:pPr>
    </w:p>
    <w:p w14:paraId="5C796BB2" w14:textId="08728F31" w:rsidR="00054AD9" w:rsidRDefault="00054AD9">
      <w:pPr>
        <w:rPr>
          <w:rFonts w:ascii="Arial" w:hAnsi="Arial" w:cs="Arial"/>
          <w:b/>
          <w:bCs/>
        </w:rPr>
      </w:pPr>
      <w:r>
        <w:rPr>
          <w:rFonts w:ascii="Arial" w:hAnsi="Arial" w:cs="Arial"/>
          <w:b/>
          <w:bCs/>
        </w:rPr>
        <w:t>Supplemental Figure S4: Predictive modeling can predict which resistance mutants are present in a clinical trial</w:t>
      </w:r>
    </w:p>
    <w:p w14:paraId="13788D57" w14:textId="4C2F0466" w:rsidR="00FE0B66" w:rsidRPr="00BF0A76" w:rsidRDefault="00BF0A76">
      <w:pPr>
        <w:rPr>
          <w:rFonts w:ascii="Arial" w:hAnsi="Arial" w:cs="Arial"/>
        </w:rPr>
      </w:pPr>
      <w:r>
        <w:rPr>
          <w:rFonts w:ascii="Arial" w:hAnsi="Arial" w:cs="Arial"/>
          <w:b/>
          <w:bCs/>
        </w:rPr>
        <w:t xml:space="preserve">(A) </w:t>
      </w:r>
      <w:r>
        <w:rPr>
          <w:rFonts w:ascii="Arial" w:hAnsi="Arial" w:cs="Arial"/>
        </w:rPr>
        <w:t xml:space="preserve">ROC curve for dasatinib predictive model. The results of </w:t>
      </w:r>
      <w:bookmarkStart w:id="0" w:name="_GoBack"/>
      <w:bookmarkEnd w:id="0"/>
      <w:r>
        <w:rPr>
          <w:rFonts w:ascii="Arial" w:hAnsi="Arial" w:cs="Arial"/>
        </w:rPr>
        <w:t xml:space="preserve">our dasatinib simulations were </w:t>
      </w:r>
      <w:proofErr w:type="spellStart"/>
      <w:r>
        <w:rPr>
          <w:rFonts w:ascii="Arial" w:hAnsi="Arial" w:cs="Arial"/>
        </w:rPr>
        <w:t>downsampled</w:t>
      </w:r>
      <w:proofErr w:type="spellEnd"/>
      <w:r>
        <w:rPr>
          <w:rFonts w:ascii="Arial" w:hAnsi="Arial" w:cs="Arial"/>
        </w:rPr>
        <w:t xml:space="preserve"> to reflect the size of frontline dasatinib trial. For each </w:t>
      </w:r>
      <w:proofErr w:type="spellStart"/>
      <w:r>
        <w:rPr>
          <w:rFonts w:ascii="Arial" w:hAnsi="Arial" w:cs="Arial"/>
        </w:rPr>
        <w:t>downsampling</w:t>
      </w:r>
      <w:proofErr w:type="spellEnd"/>
      <w:r>
        <w:rPr>
          <w:rFonts w:ascii="Arial" w:hAnsi="Arial" w:cs="Arial"/>
        </w:rPr>
        <w:t xml:space="preserve">, a binary classifier was built from the predicted allele frequency, and </w:t>
      </w:r>
      <w:proofErr w:type="gramStart"/>
      <w:r>
        <w:rPr>
          <w:rFonts w:ascii="Arial" w:hAnsi="Arial" w:cs="Arial"/>
        </w:rPr>
        <w:t>an</w:t>
      </w:r>
      <w:proofErr w:type="gramEnd"/>
      <w:r>
        <w:rPr>
          <w:rFonts w:ascii="Arial" w:hAnsi="Arial" w:cs="Arial"/>
        </w:rPr>
        <w:t xml:space="preserve"> ROC curve was constructed. The mean ROC curve across simulations for a model with (</w:t>
      </w:r>
      <w:r w:rsidRPr="00BF0A76">
        <w:rPr>
          <w:rFonts w:ascii="Arial" w:hAnsi="Arial" w:cs="Arial"/>
          <w:b/>
          <w:bCs/>
          <w:color w:val="385623" w:themeColor="accent6" w:themeShade="80"/>
        </w:rPr>
        <w:t>dark green</w:t>
      </w:r>
      <w:r>
        <w:rPr>
          <w:rFonts w:ascii="Arial" w:hAnsi="Arial" w:cs="Arial"/>
        </w:rPr>
        <w:t>) and without (</w:t>
      </w:r>
      <w:r w:rsidRPr="00BF0A76">
        <w:rPr>
          <w:rFonts w:ascii="Arial" w:hAnsi="Arial" w:cs="Arial"/>
          <w:b/>
          <w:bCs/>
          <w:color w:val="A8D08D" w:themeColor="accent6" w:themeTint="99"/>
        </w:rPr>
        <w:t>light green</w:t>
      </w:r>
      <w:r>
        <w:rPr>
          <w:rFonts w:ascii="Arial" w:hAnsi="Arial" w:cs="Arial"/>
        </w:rPr>
        <w:t xml:space="preserve">) mutation bias is shown here. AUC represents area under ROC curve. </w:t>
      </w:r>
      <w:r>
        <w:rPr>
          <w:rFonts w:ascii="Arial" w:hAnsi="Arial" w:cs="Arial"/>
          <w:b/>
          <w:bCs/>
        </w:rPr>
        <w:t>(B)</w:t>
      </w:r>
      <w:r>
        <w:rPr>
          <w:rFonts w:ascii="Arial" w:hAnsi="Arial" w:cs="Arial"/>
        </w:rPr>
        <w:t xml:space="preserve"> Mean ROC curve for nilotinib predictive model, with (</w:t>
      </w:r>
      <w:r w:rsidRPr="00BF0A76">
        <w:rPr>
          <w:rFonts w:ascii="Arial" w:hAnsi="Arial" w:cs="Arial"/>
          <w:b/>
          <w:bCs/>
          <w:color w:val="1F3864" w:themeColor="accent1" w:themeShade="80"/>
        </w:rPr>
        <w:t>dark blue</w:t>
      </w:r>
      <w:r>
        <w:rPr>
          <w:rFonts w:ascii="Arial" w:hAnsi="Arial" w:cs="Arial"/>
        </w:rPr>
        <w:t>) and without (</w:t>
      </w:r>
      <w:r w:rsidRPr="00BF0A76">
        <w:rPr>
          <w:rFonts w:ascii="Arial" w:hAnsi="Arial" w:cs="Arial"/>
          <w:b/>
          <w:bCs/>
          <w:color w:val="8EAADB" w:themeColor="accent1" w:themeTint="99"/>
        </w:rPr>
        <w:t>light blue</w:t>
      </w:r>
      <w:r>
        <w:rPr>
          <w:rFonts w:ascii="Arial" w:hAnsi="Arial" w:cs="Arial"/>
        </w:rPr>
        <w:t>) mutation bias.</w:t>
      </w:r>
    </w:p>
    <w:p w14:paraId="3A2BD356" w14:textId="1F442E4C" w:rsidR="00054AD9" w:rsidRDefault="00054AD9" w:rsidP="00054AD9">
      <w:pPr>
        <w:jc w:val="center"/>
        <w:rPr>
          <w:rFonts w:ascii="Arial" w:hAnsi="Arial" w:cs="Arial"/>
        </w:rPr>
      </w:pPr>
      <w:r w:rsidRPr="00054AD9">
        <w:rPr>
          <w:rFonts w:ascii="Arial" w:hAnsi="Arial" w:cs="Arial"/>
          <w:noProof/>
        </w:rPr>
        <w:lastRenderedPageBreak/>
        <w:drawing>
          <wp:inline distT="0" distB="0" distL="0" distR="0" wp14:anchorId="1904DFA4" wp14:editId="3FA560EF">
            <wp:extent cx="4360545" cy="82296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ppFigS5_071419.png"/>
                    <pic:cNvPicPr/>
                  </pic:nvPicPr>
                  <pic:blipFill>
                    <a:blip r:embed="rId8"/>
                    <a:stretch>
                      <a:fillRect/>
                    </a:stretch>
                  </pic:blipFill>
                  <pic:spPr>
                    <a:xfrm>
                      <a:off x="0" y="0"/>
                      <a:ext cx="4360545" cy="8229600"/>
                    </a:xfrm>
                    <a:prstGeom prst="rect">
                      <a:avLst/>
                    </a:prstGeom>
                  </pic:spPr>
                </pic:pic>
              </a:graphicData>
            </a:graphic>
          </wp:inline>
        </w:drawing>
      </w:r>
    </w:p>
    <w:p w14:paraId="15B0E85D" w14:textId="791BBDA8" w:rsidR="00054AD9" w:rsidRDefault="00054AD9" w:rsidP="00054AD9">
      <w:pPr>
        <w:rPr>
          <w:rFonts w:ascii="Arial" w:hAnsi="Arial" w:cs="Arial"/>
        </w:rPr>
      </w:pPr>
      <w:r>
        <w:rPr>
          <w:rFonts w:ascii="Arial" w:hAnsi="Arial" w:cs="Arial"/>
          <w:b/>
          <w:bCs/>
        </w:rPr>
        <w:lastRenderedPageBreak/>
        <w:t>Supplemental Figure S5:</w:t>
      </w:r>
      <w:r w:rsidR="00FE0B66">
        <w:rPr>
          <w:rFonts w:ascii="Arial" w:hAnsi="Arial" w:cs="Arial"/>
          <w:b/>
          <w:bCs/>
        </w:rPr>
        <w:t xml:space="preserve"> Resistance to drugs used in the adjuvant setting exhibit survival of the likeliest</w:t>
      </w:r>
    </w:p>
    <w:p w14:paraId="4D530510" w14:textId="308CB614" w:rsidR="00FE0B66" w:rsidRPr="00552EAD" w:rsidRDefault="00FE0B66" w:rsidP="00054AD9">
      <w:pPr>
        <w:rPr>
          <w:rFonts w:ascii="Arial" w:hAnsi="Arial" w:cs="Arial"/>
        </w:rPr>
      </w:pPr>
      <w:r>
        <w:rPr>
          <w:rFonts w:ascii="Arial" w:hAnsi="Arial" w:cs="Arial"/>
          <w:b/>
          <w:bCs/>
        </w:rPr>
        <w:t xml:space="preserve">(A) </w:t>
      </w:r>
      <w:r>
        <w:rPr>
          <w:rFonts w:ascii="Arial" w:hAnsi="Arial" w:cs="Arial"/>
        </w:rPr>
        <w:t xml:space="preserve">The observed distribution of resistance mutations in KIT, AR, and ESR1 for GIST, prostate cancer, and breast cancer patients, respectively. Colors indicate mutation class, i.e. pyrmidine substitution. </w:t>
      </w:r>
      <w:r>
        <w:rPr>
          <w:rFonts w:ascii="Arial" w:hAnsi="Arial" w:cs="Arial"/>
          <w:b/>
          <w:bCs/>
        </w:rPr>
        <w:t>(B)</w:t>
      </w:r>
      <w:r>
        <w:rPr>
          <w:rFonts w:ascii="Arial" w:hAnsi="Arial" w:cs="Arial"/>
        </w:rPr>
        <w:t xml:space="preserve"> A sample simulation of the KIT/AR/ESR1 resistance allele distribution generated under a null model. The frequency distribution is preserved across simulations, but each variant is randomly reassigned a mutation class. For each simulation, the sum total of patients associated with each mutation class is noted. </w:t>
      </w:r>
      <w:r>
        <w:rPr>
          <w:rFonts w:ascii="Arial" w:hAnsi="Arial" w:cs="Arial"/>
          <w:b/>
          <w:bCs/>
        </w:rPr>
        <w:t>(C)</w:t>
      </w:r>
      <w:r>
        <w:rPr>
          <w:rFonts w:ascii="Arial" w:hAnsi="Arial" w:cs="Arial"/>
        </w:rPr>
        <w:t xml:space="preserve"> A projection of the simulation results (</w:t>
      </w:r>
      <w:r w:rsidRPr="00FE0B66">
        <w:rPr>
          <w:rFonts w:ascii="Arial" w:hAnsi="Arial" w:cs="Arial"/>
          <w:b/>
          <w:bCs/>
          <w:color w:val="7F7F7F" w:themeColor="text1" w:themeTint="80"/>
        </w:rPr>
        <w:t>gray</w:t>
      </w:r>
      <w:r>
        <w:rPr>
          <w:rFonts w:ascii="Arial" w:hAnsi="Arial" w:cs="Arial"/>
        </w:rPr>
        <w:t xml:space="preserve">) along the first three principle components. The observed data from our clinical meta-analysis is shown in </w:t>
      </w:r>
      <w:r w:rsidRPr="00FE0B66">
        <w:rPr>
          <w:rFonts w:ascii="Arial" w:hAnsi="Arial" w:cs="Arial"/>
          <w:b/>
          <w:bCs/>
          <w:color w:val="FF0000"/>
        </w:rPr>
        <w:t>red</w:t>
      </w:r>
      <w:r>
        <w:rPr>
          <w:rFonts w:ascii="Arial" w:hAnsi="Arial" w:cs="Arial"/>
        </w:rPr>
        <w:t xml:space="preserve">. </w:t>
      </w:r>
      <w:r>
        <w:rPr>
          <w:rFonts w:ascii="Arial" w:hAnsi="Arial" w:cs="Arial"/>
          <w:b/>
          <w:bCs/>
        </w:rPr>
        <w:t>(D)</w:t>
      </w:r>
      <w:r>
        <w:rPr>
          <w:rFonts w:ascii="Arial" w:hAnsi="Arial" w:cs="Arial"/>
        </w:rPr>
        <w:t xml:space="preserve"> The Mahalanobis distance of each simulation from the distribution of all simulations was calculated. The distribution</w:t>
      </w:r>
      <w:r w:rsidR="00552EAD">
        <w:rPr>
          <w:rFonts w:ascii="Arial" w:hAnsi="Arial" w:cs="Arial"/>
        </w:rPr>
        <w:t xml:space="preserve"> of Mahalanobis distances</w:t>
      </w:r>
      <w:r>
        <w:rPr>
          <w:rFonts w:ascii="Arial" w:hAnsi="Arial" w:cs="Arial"/>
        </w:rPr>
        <w:t xml:space="preserve"> is shown here. The red arrow indicates the Mahalanobis distance of the</w:t>
      </w:r>
      <w:r w:rsidR="00552EAD">
        <w:rPr>
          <w:rFonts w:ascii="Arial" w:hAnsi="Arial" w:cs="Arial"/>
        </w:rPr>
        <w:t xml:space="preserve"> observed data from the simulated distribution (empirical p-value 0.02). </w:t>
      </w:r>
      <w:r w:rsidR="00552EAD">
        <w:rPr>
          <w:rFonts w:ascii="Arial" w:hAnsi="Arial" w:cs="Arial"/>
          <w:b/>
          <w:bCs/>
        </w:rPr>
        <w:t>(E)</w:t>
      </w:r>
      <w:r w:rsidR="00552EAD">
        <w:rPr>
          <w:rFonts w:ascii="Arial" w:hAnsi="Arial" w:cs="Arial"/>
        </w:rPr>
        <w:t xml:space="preserve"> An identical approach was used to analyze the CML data, which served as a positive control. Shown here is the distribution of ABL1 resistance alleles categorized by mutation class. </w:t>
      </w:r>
      <w:r w:rsidR="00552EAD">
        <w:rPr>
          <w:rFonts w:ascii="Arial" w:hAnsi="Arial" w:cs="Arial"/>
          <w:b/>
          <w:bCs/>
        </w:rPr>
        <w:t>(F)</w:t>
      </w:r>
      <w:r w:rsidR="00552EAD">
        <w:rPr>
          <w:rFonts w:ascii="Arial" w:hAnsi="Arial" w:cs="Arial"/>
        </w:rPr>
        <w:t xml:space="preserve"> The distribution of Mahalanobis distances for the randomly reassigned CML data. The distance of the observed data from the null distribution is 12.6 (p-value = 0.018). </w:t>
      </w:r>
      <w:r w:rsidR="00552EAD">
        <w:rPr>
          <w:rFonts w:ascii="Arial" w:hAnsi="Arial" w:cs="Arial"/>
          <w:b/>
          <w:bCs/>
        </w:rPr>
        <w:t>(G)</w:t>
      </w:r>
      <w:r w:rsidR="00552EAD">
        <w:rPr>
          <w:rFonts w:ascii="Arial" w:hAnsi="Arial" w:cs="Arial"/>
        </w:rPr>
        <w:t xml:space="preserve"> The same approach was used to analyze resistance prevalence data for EGFR inhibitors in NSCLC, which served as a negative control. The distribution of resistance alleles is shown. </w:t>
      </w:r>
      <w:r w:rsidR="00552EAD">
        <w:rPr>
          <w:rFonts w:ascii="Arial" w:hAnsi="Arial" w:cs="Arial"/>
          <w:b/>
          <w:bCs/>
        </w:rPr>
        <w:t>(H)</w:t>
      </w:r>
      <w:r w:rsidR="00552EAD">
        <w:rPr>
          <w:rFonts w:ascii="Arial" w:hAnsi="Arial" w:cs="Arial"/>
        </w:rPr>
        <w:t xml:space="preserve"> The distribution of Mahalanobis distances for the simulated EGFR data. Observed distance is 5.27 (p-value = 0.376), indicating a nonsignificant result as expected.</w:t>
      </w:r>
    </w:p>
    <w:p w14:paraId="2B018BD4" w14:textId="755E19BB" w:rsidR="00054AD9" w:rsidRDefault="00054AD9" w:rsidP="00054AD9">
      <w:pPr>
        <w:rPr>
          <w:rFonts w:ascii="Arial" w:hAnsi="Arial" w:cs="Arial"/>
          <w:b/>
          <w:bCs/>
        </w:rPr>
      </w:pPr>
    </w:p>
    <w:p w14:paraId="360E1358" w14:textId="5508ECE9" w:rsidR="00054AD9" w:rsidRDefault="00054AD9" w:rsidP="00054AD9">
      <w:pPr>
        <w:rPr>
          <w:rFonts w:ascii="Arial" w:hAnsi="Arial" w:cs="Arial"/>
          <w:b/>
          <w:bCs/>
        </w:rPr>
      </w:pPr>
    </w:p>
    <w:p w14:paraId="52758D98" w14:textId="02C5F017" w:rsidR="00054AD9" w:rsidRDefault="00054AD9" w:rsidP="00054AD9">
      <w:pPr>
        <w:rPr>
          <w:rFonts w:ascii="Arial" w:hAnsi="Arial" w:cs="Arial"/>
          <w:b/>
          <w:bCs/>
        </w:rPr>
      </w:pPr>
    </w:p>
    <w:p w14:paraId="7E985D19" w14:textId="77777777" w:rsidR="00054AD9" w:rsidRDefault="00054AD9" w:rsidP="00054AD9">
      <w:pPr>
        <w:rPr>
          <w:rFonts w:ascii="Arial" w:hAnsi="Arial" w:cs="Arial"/>
        </w:rPr>
      </w:pPr>
    </w:p>
    <w:p w14:paraId="15F17922" w14:textId="6BC0BDC1" w:rsidR="00054AD9" w:rsidRDefault="00054AD9" w:rsidP="00054AD9">
      <w:pPr>
        <w:rPr>
          <w:rFonts w:ascii="Arial" w:hAnsi="Arial" w:cs="Arial"/>
        </w:rPr>
      </w:pPr>
    </w:p>
    <w:p w14:paraId="5C3C7BFD" w14:textId="77777777" w:rsidR="00054AD9" w:rsidRPr="00054AD9" w:rsidRDefault="00054AD9" w:rsidP="00054AD9">
      <w:pPr>
        <w:rPr>
          <w:rFonts w:ascii="Arial" w:hAnsi="Arial" w:cs="Arial"/>
        </w:rPr>
      </w:pPr>
    </w:p>
    <w:p w14:paraId="2A44AF3D" w14:textId="31AED349" w:rsidR="00054AD9" w:rsidRPr="00054AD9" w:rsidRDefault="00054AD9" w:rsidP="00054AD9">
      <w:pPr>
        <w:jc w:val="center"/>
        <w:rPr>
          <w:rFonts w:ascii="Arial" w:hAnsi="Arial" w:cs="Arial"/>
        </w:rPr>
      </w:pPr>
      <w:r w:rsidRPr="00054AD9">
        <w:rPr>
          <w:rFonts w:ascii="Arial" w:hAnsi="Arial" w:cs="Arial"/>
          <w:noProof/>
        </w:rPr>
        <w:lastRenderedPageBreak/>
        <w:drawing>
          <wp:inline distT="0" distB="0" distL="0" distR="0" wp14:anchorId="36554E8E" wp14:editId="4BBEC2C1">
            <wp:extent cx="4072136" cy="392583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FigS6_071419.png"/>
                    <pic:cNvPicPr/>
                  </pic:nvPicPr>
                  <pic:blipFill>
                    <a:blip r:embed="rId9"/>
                    <a:stretch>
                      <a:fillRect/>
                    </a:stretch>
                  </pic:blipFill>
                  <pic:spPr>
                    <a:xfrm>
                      <a:off x="0" y="0"/>
                      <a:ext cx="4072136" cy="3925832"/>
                    </a:xfrm>
                    <a:prstGeom prst="rect">
                      <a:avLst/>
                    </a:prstGeom>
                  </pic:spPr>
                </pic:pic>
              </a:graphicData>
            </a:graphic>
          </wp:inline>
        </w:drawing>
      </w:r>
    </w:p>
    <w:p w14:paraId="1AEC68BF" w14:textId="3C3DDF1D" w:rsidR="00054AD9" w:rsidRPr="00054AD9" w:rsidRDefault="00054AD9" w:rsidP="00054AD9">
      <w:pPr>
        <w:jc w:val="center"/>
        <w:rPr>
          <w:rFonts w:ascii="Arial" w:hAnsi="Arial" w:cs="Arial"/>
        </w:rPr>
      </w:pPr>
    </w:p>
    <w:p w14:paraId="5A1728DF" w14:textId="30CF46D7" w:rsidR="00054AD9" w:rsidRPr="00054AD9" w:rsidRDefault="00054AD9" w:rsidP="00054AD9">
      <w:pPr>
        <w:pStyle w:val="Default"/>
        <w:rPr>
          <w:color w:val="212121"/>
          <w:sz w:val="22"/>
          <w:szCs w:val="22"/>
        </w:rPr>
      </w:pPr>
      <w:r w:rsidRPr="00054AD9">
        <w:rPr>
          <w:b/>
          <w:bCs/>
          <w:color w:val="212121"/>
          <w:sz w:val="22"/>
          <w:szCs w:val="22"/>
        </w:rPr>
        <w:t xml:space="preserve">Supplemental </w:t>
      </w:r>
      <w:r w:rsidRPr="00054AD9">
        <w:rPr>
          <w:b/>
          <w:bCs/>
          <w:color w:val="212121"/>
          <w:sz w:val="22"/>
          <w:szCs w:val="22"/>
        </w:rPr>
        <w:t>Figure S</w:t>
      </w:r>
      <w:r w:rsidRPr="00054AD9">
        <w:rPr>
          <w:b/>
          <w:bCs/>
          <w:color w:val="212121"/>
          <w:sz w:val="22"/>
          <w:szCs w:val="22"/>
        </w:rPr>
        <w:t>6</w:t>
      </w:r>
      <w:r w:rsidRPr="00054AD9">
        <w:rPr>
          <w:b/>
          <w:bCs/>
          <w:color w:val="212121"/>
          <w:sz w:val="22"/>
          <w:szCs w:val="22"/>
        </w:rPr>
        <w:t xml:space="preserve">: ENU mutagenesis qualitatively identifies resistance mutations but fails to quantitatively predict abundance. </w:t>
      </w:r>
    </w:p>
    <w:p w14:paraId="4587DE89" w14:textId="77777777" w:rsidR="00054AD9" w:rsidRPr="00054AD9" w:rsidRDefault="00054AD9" w:rsidP="00054AD9">
      <w:pPr>
        <w:pStyle w:val="Default"/>
        <w:rPr>
          <w:color w:val="212121"/>
          <w:sz w:val="22"/>
          <w:szCs w:val="22"/>
        </w:rPr>
      </w:pPr>
      <w:proofErr w:type="spellStart"/>
      <w:r w:rsidRPr="00054AD9">
        <w:rPr>
          <w:color w:val="212121"/>
          <w:sz w:val="22"/>
          <w:szCs w:val="22"/>
        </w:rPr>
        <w:t>Bradeen</w:t>
      </w:r>
      <w:proofErr w:type="spellEnd"/>
      <w:r w:rsidRPr="00054AD9">
        <w:rPr>
          <w:color w:val="212121"/>
          <w:sz w:val="22"/>
          <w:szCs w:val="22"/>
        </w:rPr>
        <w:t xml:space="preserve"> et al. have previously used ENU mutagenesis to nominate imatinib resistance mutations in BCR-ABL. The abundance of each mutation as predicted by the observation frequency in the mutagenesis experiment is given on the x-axis. The observed abundance of each mutation from our meta-analysis of clinical trials is given on the y-axis. The results indicate some qualitative concordance of resistance phenotypes between mutants predicted in the lab and those observed clinically. However, the </w:t>
      </w:r>
      <w:r w:rsidRPr="00054AD9">
        <w:rPr>
          <w:i/>
          <w:iCs/>
          <w:color w:val="212121"/>
          <w:sz w:val="22"/>
          <w:szCs w:val="22"/>
        </w:rPr>
        <w:t xml:space="preserve">in vitro </w:t>
      </w:r>
      <w:r w:rsidRPr="00054AD9">
        <w:rPr>
          <w:color w:val="212121"/>
          <w:sz w:val="22"/>
          <w:szCs w:val="22"/>
        </w:rPr>
        <w:t xml:space="preserve">mutagenesis experiment poorly predicts the quantitative frequency of mutations observed </w:t>
      </w:r>
      <w:r w:rsidRPr="00054AD9">
        <w:rPr>
          <w:i/>
          <w:iCs/>
          <w:color w:val="212121"/>
          <w:sz w:val="22"/>
          <w:szCs w:val="22"/>
        </w:rPr>
        <w:t>in vivo</w:t>
      </w:r>
      <w:r w:rsidRPr="00054AD9">
        <w:rPr>
          <w:color w:val="212121"/>
          <w:sz w:val="22"/>
          <w:szCs w:val="22"/>
        </w:rPr>
        <w:t>.</w:t>
      </w:r>
    </w:p>
    <w:p w14:paraId="2CA53CB8" w14:textId="77777777" w:rsidR="00054AD9" w:rsidRPr="00054AD9" w:rsidRDefault="00054AD9" w:rsidP="00054AD9">
      <w:pPr>
        <w:jc w:val="center"/>
        <w:rPr>
          <w:rFonts w:ascii="Arial" w:hAnsi="Arial" w:cs="Arial"/>
        </w:rPr>
      </w:pPr>
    </w:p>
    <w:sectPr w:rsidR="00054AD9" w:rsidRPr="00054A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15E"/>
    <w:rsid w:val="00054AD9"/>
    <w:rsid w:val="000B3778"/>
    <w:rsid w:val="002023BD"/>
    <w:rsid w:val="00455ED7"/>
    <w:rsid w:val="00552EAD"/>
    <w:rsid w:val="00603C58"/>
    <w:rsid w:val="00B56CFC"/>
    <w:rsid w:val="00B7156C"/>
    <w:rsid w:val="00BF0A76"/>
    <w:rsid w:val="00CF0A61"/>
    <w:rsid w:val="00F9715E"/>
    <w:rsid w:val="00FE0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07F051"/>
  <w15:chartTrackingRefBased/>
  <w15:docId w15:val="{4B80786C-F8A7-406B-BB18-B560BB5BA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54AD9"/>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0620F-A5BE-4BBA-A744-A4150D3FB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Pages>
  <Words>821</Words>
  <Characters>4693</Characters>
  <Application>Microsoft Office Word</Application>
  <DocSecurity>0</DocSecurity>
  <Lines>109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Leighow</dc:creator>
  <cp:keywords/>
  <dc:description/>
  <cp:lastModifiedBy>Scott Leighow</cp:lastModifiedBy>
  <cp:revision>3</cp:revision>
  <dcterms:created xsi:type="dcterms:W3CDTF">2019-07-15T08:03:00Z</dcterms:created>
  <dcterms:modified xsi:type="dcterms:W3CDTF">2019-07-15T08:38:00Z</dcterms:modified>
</cp:coreProperties>
</file>