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EXECUTIVE SUMMARY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Predictive Forecasting of Care Load &amp; Placement Demand — HHS Unaccompanied Alien Children (UAC) Program</w:t>
      </w:r>
    </w:p>
    <w:p>
      <w:pPr>
        <w:pStyle w:val="Heading1"/>
        <w:spacing w:after="140" w:before="280"/>
      </w:pPr>
      <w:r>
        <w:t xml:space="preserve">The Situation</w:t>
      </w:r>
    </w:p>
    <w:p>
      <w:pPr>
        <w:spacing w:after="140" w:line="276"/>
      </w:pPr>
      <w:r>
        <w:t xml:space="preserve">The UAC Program operates in a high-uncertainty environment where border activity, policy changes, or humanitarian events can rapidly change the number of children entering federal care. Until now, HHS has relied on backward-looking reports to understand caseloads, without forward-looking forecasts to guide staffing, shelter capacity, or discharge planning.</w:t>
      </w:r>
    </w:p>
    <w:p>
      <w:pPr>
        <w:pStyle w:val="Heading1"/>
        <w:spacing w:after="140" w:before="280"/>
      </w:pPr>
      <w:r>
        <w:t xml:space="preserve">What Was Built</w:t>
      </w:r>
    </w:p>
    <w:p>
      <w:pPr>
        <w:spacing w:after="140" w:line="276"/>
      </w:pPr>
      <w:r>
        <w:t xml:space="preserve">Using nearly three years of daily HHS UAC reporting data (Jan 2023 - Dec 2025), we built and validated a forecasting system that predicts (1) the number of children in HHS care and (2) daily discharge/placement volume, at 1, 7, 14, and 30 day horizons. Six models — from simple baselines to statistical time-series methods to machine learning — were tested using strict, time-based validation to ensure results reflect genuine forecasting performance, not hindsight. The system is delivered as an interactive dashboard for planners to use directly.</w:t>
      </w:r>
    </w:p>
    <w:p>
      <w:pPr>
        <w:pStyle w:val="Heading1"/>
        <w:spacing w:after="140" w:before="28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Care load is highly persistent day-to-day; the biggest forecasting advantage over simple carry-forward estimates appears at the 7-14 day horizon, where the recommended model (Random Forest) reduces error by roughly 10-15%.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Discharge volume is noisier and best forecast with a smoothed 7-day moving average rather than a more complex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 shows two major shifts in scale — most recently a large, sustained drop beginning February 2025, after which care load has stabilized near 2,000-2,500 children (down from a 2023 peak above 11,000). Forecasting models should be retrained regularly to stay current with the operating environment.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"net pressure" signal — transfers into HHS care minus discharges — reliably leads changes in total care load and is built into the dashboard as an early-warning indicator.</w:t>
      </w:r>
    </w:p>
    <w:p>
      <w:pPr>
        <w:pStyle w:val="Heading1"/>
        <w:spacing w:after="140" w:before="28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dashboard’s capacity breach probability and surge lead time indicators as the primary trigger for scaling shelter, medical, and casework staffing — not the point forecast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Retrain models on a rolling recent window (6-12 months) on a weekly cadence, with automated alerts if forecast error rises above threshold, since this program is subject to sudden regime change.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 future data collection with regional and facility-level detail so forecasts can guide where, not just when, capacity is needed.</w:t>
      </w:r>
    </w:p>
    <w:p>
      <w:pPr>
        <w:pStyle w:val="Heading1"/>
        <w:spacing w:after="140" w:before="280"/>
      </w:pPr>
      <w:r>
        <w:t xml:space="preserve">Dashboard Capabilities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gives planners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 charts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 load &amp; discharge demand forecasts with confidence bands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comparison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accuracy comparison across all six models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 &amp; model toggle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between 1/7/14/30-day forecasts and any model combination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Scenario comparison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Side-by-side view of two models’ forecasts for planning discussions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Early-warning KPIs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 accuracy, capacity breach probability, surge lead time, stability index</w:t>
            </w:r>
          </w:p>
        </w:tc>
      </w:tr>
    </w:tbl>
    <w:p>
      <w:pPr>
        <w:spacing w:before="260"/>
      </w:pPr>
    </w:p>
    <w:p>
      <w:pPr>
        <w:spacing w:after="140" w:line="276"/>
      </w:pPr>
      <w:r>
        <w:t xml:space="preserve">Full technical methodology, validation results, and limitations are documented in the accompanying research paper.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2026-08-12T05:51:52.547Z</dcterms:created>
  <dcterms:modified xsi:type="dcterms:W3CDTF">2026-08-12T05:51:52.547Z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