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0"/>
          <w:szCs w:val="40"/>
        </w:rPr>
        <w:t xml:space="preserve">PREDICTIVE FORECASTING OF</w:t>
      </w:r>
    </w:p>
    <w:p>
      <w:pPr>
        <w:jc w:val="center"/>
      </w:pPr>
      <w:r>
        <w:rPr>
          <w:b/>
          <w:bCs/>
          <w:sz w:val="40"/>
          <w:szCs w:val="40"/>
        </w:rPr>
        <w:t xml:space="preserve">CARE LOAD &amp; PLACEMENT DEMAND</w:t>
      </w:r>
    </w:p>
    <w:p>
      <w:pPr>
        <w:spacing w:after="400" w:before="200"/>
        <w:jc w:val="center"/>
      </w:pPr>
      <w:r>
        <w:rPr>
          <w:i/>
          <w:iCs/>
          <w:color w:val="444444"/>
          <w:sz w:val="24"/>
          <w:szCs w:val="24"/>
        </w:rPr>
        <w:t xml:space="preserve">A Time-Series and Machine-Learning Analysis of the HHS Unaccompanied Alien Children (UAC) Program</w:t>
      </w:r>
    </w:p>
    <w:p>
      <w:pPr>
        <w:spacing w:before="800"/>
        <w:jc w:val="center"/>
      </w:pPr>
      <w:r>
        <w:rPr>
          <w:b/>
          <w:bCs/>
          <w:sz w:val="22"/>
          <w:szCs w:val="22"/>
        </w:rPr>
        <w:t xml:space="preserve">Research Paper</w:t>
      </w:r>
    </w:p>
    <w:p>
      <w:pPr>
        <w:jc w:val="center"/>
      </w:pPr>
      <w:r>
        <w:rPr>
          <w:sz w:val="20"/>
          <w:szCs w:val="20"/>
        </w:rPr>
        <w:t xml:space="preserve">Internship Project — Unified Mentor</w:t>
      </w:r>
    </w:p>
    <w:p>
      <w:pPr>
        <w:spacing w:before="100"/>
        <w:jc w:val="center"/>
      </w:pPr>
      <w:r>
        <w:rPr>
          <w:sz w:val="20"/>
          <w:szCs w:val="20"/>
        </w:rPr>
        <w:t xml:space="preserve">Prepared by: Pritam Mondal</w:t>
      </w:r>
    </w:p>
    <w:p>
      <w:pPr>
        <w:jc w:val="center"/>
      </w:pPr>
      <w:r>
        <w:rPr>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Abstract</w:t>
      </w:r>
    </w:p>
    <w:p>
      <w:pPr>
        <w:spacing w:after="160" w:line="276"/>
      </w:pPr>
      <w:r>
        <w:t xml:space="preserve">The Department of Health and Human Services (HHS) Unaccompanied Alien Children (UAC) Program manages the daily custody, transfer, and placement of migrant children referred from Customs and Border Protection (CBP). Historically, HHS has relied on descriptive, backward-looking reporting to understand caseloads, leaving little room for proactive resource planning. This project builds a predictive forecasting system that converts nearly three years of daily operational data (January 2023 - December 2025) into forward-looking intelligence on two key quantities: the number of children in HHS care (care load) and the number of children discharged from care (placement/discharge demand). Six forecasting approaches spanning naive baselines, statistical time-series methods (Exponential Smoothing, SARIMA), and machine-learning regressors (Random Forest, Gradient Boosting) were trained and evaluated using a strict time-based, walk-forward validation scheme across four forecast horizons (1, 7, 14, and 30 days). The resulting models, deployed through an interactive Streamlit dashboard, allow HHS planners to view forecast charts with confidence intervals, compare models side by side, and receive early warning indicators for capacity stress. Results show that HHS care load is a highly persistent, slow-moving series where autoregressive and machine-learning models offer modest but real improvements at medium horizons (7-14 days), while daily discharge counts are considerably noisier and harder to predict precisely, favoring smoothed statistical approaches. The analysis also surfaces two major structural breaks in the data corresponding to real-world policy shifts, underscoring the importance of monitoring model drift in a program this volatile.</w:t>
      </w:r>
    </w:p>
    <w:p>
      <w:pPr>
        <w:pStyle w:val="Heading1"/>
        <w:spacing w:after="160" w:before="320"/>
      </w:pPr>
      <w:r>
        <w:t xml:space="preserve">1. Background and Context</w:t>
      </w:r>
    </w:p>
    <w:p>
      <w:pPr>
        <w:spacing w:after="160" w:line="276"/>
      </w:pPr>
      <w:r>
        <w:t xml:space="preserve">The UAC Program operates in a high-uncertainty environment, where sudden changes in border activity, policy enforcement, or humanitarian crises can rapidly increase the number of children entering federal care. While descriptive analytics explain what has already happened, HHS decision-makers require forward-looking intelligence to answer three operational questions: how many children will be under HHS care in the coming days or weeks; whether discharge capacity will be sufficient to offset incoming transfers; and when shelters, medical staff, and caseworkers should be scaled up in advance. This project introduces predictive modeling to enable proactive, rather than reactive, healthcare and child-welfare planning.</w:t>
      </w:r>
    </w:p>
    <w:p>
      <w:pPr>
        <w:pStyle w:val="Heading1"/>
        <w:spacing w:after="160" w:before="320"/>
      </w:pPr>
      <w:r>
        <w:t xml:space="preserve">2. Problem Statement</w:t>
      </w:r>
    </w:p>
    <w:p>
      <w:pPr>
        <w:spacing w:after="160" w:line="276"/>
      </w:pPr>
      <w:r>
        <w:t xml:space="preserve">Despite having high-quality daily time-series data, the UAC Program currently lacks short-term forecasts of children in HHS care, predictive estimates of discharge (placement) demand, and early-warning indicators of upcoming capacity stress. As a result, operational responses are often delayed, increasing overcrowding risk, staff burnout, and length of stay for children.</w:t>
      </w:r>
    </w:p>
    <w:p>
      <w:pPr>
        <w:pStyle w:val="Heading2"/>
        <w:spacing w:after="120" w:before="240"/>
      </w:pPr>
      <w:r>
        <w:t xml:space="preserve">2.1 Project Objectives</w:t>
      </w:r>
    </w:p>
    <w:p>
      <w:pPr>
        <w:pStyle w:val="ListParagraph"/>
        <w:numPr>
          <w:ilvl w:val="0"/>
          <w:numId w:val="1"/>
        </w:numPr>
        <w:spacing w:after="80"/>
      </w:pPr>
      <w:r>
        <w:t xml:space="preserve">Forecast the number of children in HHS care over multiple horizons.</w:t>
      </w:r>
    </w:p>
    <w:p>
      <w:pPr>
        <w:pStyle w:val="ListParagraph"/>
        <w:numPr>
          <w:ilvl w:val="0"/>
          <w:numId w:val="1"/>
        </w:numPr>
        <w:spacing w:after="80"/>
      </w:pPr>
      <w:r>
        <w:t xml:space="preserve">Estimate the future imbalance between intake (transfers from CBP) and exits (discharges).</w:t>
      </w:r>
    </w:p>
    <w:p>
      <w:pPr>
        <w:pStyle w:val="ListParagraph"/>
        <w:numPr>
          <w:ilvl w:val="0"/>
          <w:numId w:val="1"/>
        </w:numPr>
        <w:spacing w:after="80"/>
      </w:pPr>
      <w:r>
        <w:t xml:space="preserve">Predict short-term discharge (placement) demand.</w:t>
      </w:r>
    </w:p>
    <w:p>
      <w:pPr>
        <w:pStyle w:val="Heading2"/>
        <w:spacing w:after="120" w:before="240"/>
      </w:pPr>
      <w:r>
        <w:t xml:space="preserve">2.2 Secondary Objectives</w:t>
      </w:r>
    </w:p>
    <w:p>
      <w:pPr>
        <w:pStyle w:val="ListParagraph"/>
        <w:numPr>
          <w:ilvl w:val="0"/>
          <w:numId w:val="1"/>
        </w:numPr>
        <w:spacing w:after="80"/>
      </w:pPr>
      <w:r>
        <w:t xml:space="preserve">Provide early warnings for healthcare and child-welfare planners.</w:t>
      </w:r>
    </w:p>
    <w:p>
      <w:pPr>
        <w:pStyle w:val="ListParagraph"/>
        <w:numPr>
          <w:ilvl w:val="0"/>
          <w:numId w:val="1"/>
        </w:numPr>
        <w:spacing w:after="80"/>
      </w:pPr>
      <w:r>
        <w:t xml:space="preserve">Quantify forecast uncertainty using confidence intervals.</w:t>
      </w:r>
    </w:p>
    <w:p>
      <w:pPr>
        <w:pStyle w:val="ListParagraph"/>
        <w:numPr>
          <w:ilvl w:val="0"/>
          <w:numId w:val="1"/>
        </w:numPr>
        <w:spacing w:after="80"/>
      </w:pPr>
      <w:r>
        <w:t xml:space="preserve">Compare statistical vs. machine-learning forecasting approaches.</w:t>
      </w:r>
    </w:p>
    <w:p>
      <w:pPr>
        <w:pStyle w:val="Heading1"/>
        <w:spacing w:after="160" w:before="320"/>
      </w:pPr>
      <w:r>
        <w:t xml:space="preserve">3. Dataset Description</w:t>
      </w:r>
    </w:p>
    <w:p>
      <w:pPr>
        <w:spacing w:after="160" w:line="276"/>
      </w:pPr>
      <w:r>
        <w:t xml:space="preserve">The dataset consists of HHS daily UAC Program reports covering January 12, 2023 to December 21, 2025 (720 reported observations). Reporting is irregular — the agency typically publishes 5-6 days per week, with gaps on Fridays, Saturdays, and some holiday periods — so the raw file was reindexed to a continuous daily calendar and linearly interpolated to support time-series decomposition and lag-based feature engineering, yielding 1,075 continuous daily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pPr>
              <w:jc w:val="left"/>
            </w:pPr>
            <w:r>
              <w:rPr>
                <w:b/>
                <w:bCs/>
                <w:sz w:val="19"/>
                <w:szCs w:val="19"/>
              </w:rPr>
              <w:t xml:space="preserve">Column</w:t>
            </w:r>
          </w:p>
        </w:tc>
        <w:tc>
          <w:tcPr>
            <w:tcW w:type="dxa" w:w="5800"/>
            <w:shd w:fill="D9E2F3" w:val="clear"/>
          </w:tcPr>
          <w:p>
            <w:pPr>
              <w:jc w:val="left"/>
            </w:pPr>
            <w:r>
              <w:rPr>
                <w:b/>
                <w:bCs/>
                <w:sz w:val="19"/>
                <w:szCs w:val="19"/>
              </w:rPr>
              <w:t xml:space="preserve">Description</w:t>
            </w:r>
          </w:p>
        </w:tc>
      </w:tr>
      <w:tr>
        <w:tc>
          <w:tcPr>
            <w:tcW w:type="dxa" w:w="2000"/>
          </w:tcPr>
          <w:p>
            <w:pPr>
              <w:jc w:val="left"/>
            </w:pPr>
            <w:r>
              <w:rPr>
                <w:b w:val="false"/>
                <w:bCs w:val="false"/>
                <w:sz w:val="19"/>
                <w:szCs w:val="19"/>
              </w:rPr>
              <w:t xml:space="preserve">Date</w:t>
            </w:r>
          </w:p>
        </w:tc>
        <w:tc>
          <w:tcPr>
            <w:tcW w:type="dxa" w:w="2000"/>
          </w:tcPr>
          <w:p>
            <w:pPr>
              <w:jc w:val="left"/>
            </w:pPr>
            <w:r>
              <w:rPr>
                <w:b w:val="false"/>
                <w:bCs w:val="false"/>
                <w:sz w:val="19"/>
                <w:szCs w:val="19"/>
              </w:rPr>
              <w:t xml:space="preserve">Reporting date</w:t>
            </w:r>
          </w:p>
        </w:tc>
      </w:tr>
      <w:tr>
        <w:tc>
          <w:tcPr>
            <w:tcW w:type="dxa" w:w="2000"/>
          </w:tcPr>
          <w:p>
            <w:pPr>
              <w:jc w:val="left"/>
            </w:pPr>
            <w:r>
              <w:rPr>
                <w:b w:val="false"/>
                <w:bCs w:val="false"/>
                <w:sz w:val="19"/>
                <w:szCs w:val="19"/>
              </w:rPr>
              <w:t xml:space="preserve">Children apprehended and placed in CBP custody</w:t>
            </w:r>
          </w:p>
        </w:tc>
        <w:tc>
          <w:tcPr>
            <w:tcW w:type="dxa" w:w="2000"/>
          </w:tcPr>
          <w:p>
            <w:pPr>
              <w:jc w:val="left"/>
            </w:pPr>
            <w:r>
              <w:rPr>
                <w:b w:val="false"/>
                <w:bCs w:val="false"/>
                <w:sz w:val="19"/>
                <w:szCs w:val="19"/>
              </w:rPr>
              <w:t xml:space="preserve">Daily intake volume</w:t>
            </w:r>
          </w:p>
        </w:tc>
      </w:tr>
      <w:tr>
        <w:tc>
          <w:tcPr>
            <w:tcW w:type="dxa" w:w="2000"/>
          </w:tcPr>
          <w:p>
            <w:pPr>
              <w:jc w:val="left"/>
            </w:pPr>
            <w:r>
              <w:rPr>
                <w:b w:val="false"/>
                <w:bCs w:val="false"/>
                <w:sz w:val="19"/>
                <w:szCs w:val="19"/>
              </w:rPr>
              <w:t xml:space="preserve">Children in CBP custody</w:t>
            </w:r>
          </w:p>
        </w:tc>
        <w:tc>
          <w:tcPr>
            <w:tcW w:type="dxa" w:w="2000"/>
          </w:tcPr>
          <w:p>
            <w:pPr>
              <w:jc w:val="left"/>
            </w:pPr>
            <w:r>
              <w:rPr>
                <w:b w:val="false"/>
                <w:bCs w:val="false"/>
                <w:sz w:val="19"/>
                <w:szCs w:val="19"/>
              </w:rPr>
              <w:t xml:space="preserve">Active CBP care load</w:t>
            </w:r>
          </w:p>
        </w:tc>
      </w:tr>
      <w:tr>
        <w:tc>
          <w:tcPr>
            <w:tcW w:type="dxa" w:w="2000"/>
          </w:tcPr>
          <w:p>
            <w:pPr>
              <w:jc w:val="left"/>
            </w:pPr>
            <w:r>
              <w:rPr>
                <w:b w:val="false"/>
                <w:bCs w:val="false"/>
                <w:sz w:val="19"/>
                <w:szCs w:val="19"/>
              </w:rPr>
              <w:t xml:space="preserve">Children transferred out of CBP custody</w:t>
            </w:r>
          </w:p>
        </w:tc>
        <w:tc>
          <w:tcPr>
            <w:tcW w:type="dxa" w:w="2000"/>
          </w:tcPr>
          <w:p>
            <w:pPr>
              <w:jc w:val="left"/>
            </w:pPr>
            <w:r>
              <w:rPr>
                <w:b w:val="false"/>
                <w:bCs w:val="false"/>
                <w:sz w:val="19"/>
                <w:szCs w:val="19"/>
              </w:rPr>
              <w:t xml:space="preserve">Flow into the HHS system</w:t>
            </w:r>
          </w:p>
        </w:tc>
      </w:tr>
      <w:tr>
        <w:tc>
          <w:tcPr>
            <w:tcW w:type="dxa" w:w="2000"/>
          </w:tcPr>
          <w:p>
            <w:pPr>
              <w:jc w:val="left"/>
            </w:pPr>
            <w:r>
              <w:rPr>
                <w:b w:val="false"/>
                <w:bCs w:val="false"/>
                <w:sz w:val="19"/>
                <w:szCs w:val="19"/>
              </w:rPr>
              <w:t xml:space="preserve">Children in HHS Care</w:t>
            </w:r>
          </w:p>
        </w:tc>
        <w:tc>
          <w:tcPr>
            <w:tcW w:type="dxa" w:w="2000"/>
          </w:tcPr>
          <w:p>
            <w:pPr>
              <w:jc w:val="left"/>
            </w:pPr>
            <w:r>
              <w:rPr>
                <w:b w:val="false"/>
                <w:bCs w:val="false"/>
                <w:sz w:val="19"/>
                <w:szCs w:val="19"/>
              </w:rPr>
              <w:t xml:space="preserve">Active HHS care load (primary forecast target)</w:t>
            </w:r>
          </w:p>
        </w:tc>
      </w:tr>
      <w:tr>
        <w:tc>
          <w:tcPr>
            <w:tcW w:type="dxa" w:w="2000"/>
          </w:tcPr>
          <w:p>
            <w:pPr>
              <w:jc w:val="left"/>
            </w:pPr>
            <w:r>
              <w:rPr>
                <w:b w:val="false"/>
                <w:bCs w:val="false"/>
                <w:sz w:val="19"/>
                <w:szCs w:val="19"/>
              </w:rPr>
              <w:t xml:space="preserve">Children discharged from HHS Care</w:t>
            </w:r>
          </w:p>
        </w:tc>
        <w:tc>
          <w:tcPr>
            <w:tcW w:type="dxa" w:w="2000"/>
          </w:tcPr>
          <w:p>
            <w:pPr>
              <w:jc w:val="left"/>
            </w:pPr>
            <w:r>
              <w:rPr>
                <w:b w:val="false"/>
                <w:bCs w:val="false"/>
                <w:sz w:val="19"/>
                <w:szCs w:val="19"/>
              </w:rPr>
              <w:t xml:space="preserve">Successful sponsor placements (secondary forecast target)</w:t>
            </w:r>
          </w:p>
        </w:tc>
      </w:tr>
    </w:tbl>
    <w:p>
      <w:pPr>
        <w:spacing w:before="200"/>
      </w:pPr>
    </w:p>
    <w:p>
      <w:pPr>
        <w:pStyle w:val="Heading1"/>
        <w:spacing w:after="160" w:before="320"/>
      </w:pPr>
      <w:r>
        <w:t xml:space="preserve">4. Exploratory Data Analysis</w:t>
      </w:r>
    </w:p>
    <w:p>
      <w:pPr>
        <w:spacing w:after="160" w:line="276"/>
      </w:pPr>
      <w:r>
        <w:t xml:space="preserve">Figure 1 shows the full observation window for both target series. Care load ranged from roughly 1,972 to 11,516 children, and daily discharges ranged from near zero to over 500. Two structural breaks are clearly visible: a sharp decline beginning around January 2024 and a much larger, sustained collapse beginning in February 2025, after which care load stabilized around 2,000-2,500 children — less than a quarter of its 2023 peak. These breaks align with known shifts in U.S. border and immigration enforcement policy over this period, and they matter for forecasting: models trained across the full 2023-2025 history are learning from two very different operating regimes, so recent history (post-February 2025) is the most representative baseline for near-term operational forecasting.</w:t>
      </w:r>
    </w:p>
    <w:p>
      <w:pPr>
        <w:spacing w:after="20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55555"/>
          <w:sz w:val="18"/>
          <w:szCs w:val="18"/>
        </w:rPr>
        <w:t xml:space="preserve">Figure 1. Children in HHS Care and daily discharges, January 2023 - December 2025.</w:t>
      </w:r>
    </w:p>
    <w:p>
      <w:pPr>
        <w:spacing w:after="160" w:line="276"/>
      </w:pPr>
      <w:r>
        <w:t xml:space="preserve">Classical decomposition (30-day rolling trend plus day-of-week seasonal averages) confirms that HHS care load is dominated by a slow-moving trend component, with a modest but consistent weekly seasonal pattern layered on top and comparatively small residual noise — consistent with a stock variable that changes gradually day to day.</w:t>
      </w:r>
    </w:p>
    <w:p>
      <w:pPr>
        <w:spacing w:after="200" w:before="120"/>
        <w:jc w:val="center"/>
      </w:pPr>
      <w:r>
        <w:drawing>
          <wp:inline distT="0" distB="0" distL="0" distR="0">
            <wp:extent cx="5524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476750"/>
                    </a:xfrm>
                    <a:prstGeom prst="rect">
                      <a:avLst/>
                    </a:prstGeom>
                  </pic:spPr>
                </pic:pic>
              </a:graphicData>
            </a:graphic>
          </wp:inline>
        </w:drawing>
      </w:r>
    </w:p>
    <w:p>
      <w:pPr>
        <w:spacing w:after="240"/>
        <w:jc w:val="center"/>
      </w:pPr>
      <w:r>
        <w:rPr>
          <w:i/>
          <w:iCs/>
          <w:color w:val="555555"/>
          <w:sz w:val="18"/>
          <w:szCs w:val="18"/>
        </w:rPr>
        <w:t xml:space="preserve">Figure 2. Trend / weekly-seasonal / residual decomposition of HHS care load.</w:t>
      </w:r>
    </w:p>
    <w:p>
      <w:pPr>
        <w:spacing w:after="160" w:line="276"/>
      </w:pPr>
      <w:r>
        <w:t xml:space="preserve">Daily intake volume shows a mild weekly rhythm, with lower apprehension-and-placement counts reported around the weekend days that are also least likely to have a published report. Correlation analysis (Figure 3) confirms that HHS care load moves closely with cumulative transfers from CBP custody and inversely with discharges, as expected from a simple inflow/outflow accounting identity.</w:t>
      </w:r>
    </w:p>
    <w:p>
      <w:pPr>
        <w:spacing w:after="20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240"/>
        <w:jc w:val="center"/>
      </w:pPr>
      <w:r>
        <w:rPr>
          <w:i/>
          <w:iCs/>
          <w:color w:val="555555"/>
          <w:sz w:val="18"/>
          <w:szCs w:val="18"/>
        </w:rPr>
        <w:t xml:space="preserve">Figure 3. Average daily intake by day of week.</w:t>
      </w:r>
    </w:p>
    <w:p>
      <w:pPr>
        <w:spacing w:after="20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48000"/>
                    </a:xfrm>
                    <a:prstGeom prst="rect">
                      <a:avLst/>
                    </a:prstGeom>
                  </pic:spPr>
                </pic:pic>
              </a:graphicData>
            </a:graphic>
          </wp:inline>
        </w:drawing>
      </w:r>
    </w:p>
    <w:p>
      <w:pPr>
        <w:spacing w:after="240"/>
        <w:jc w:val="center"/>
      </w:pPr>
      <w:r>
        <w:rPr>
          <w:i/>
          <w:iCs/>
          <w:color w:val="555555"/>
          <w:sz w:val="18"/>
          <w:szCs w:val="18"/>
        </w:rPr>
        <w:t xml:space="preserve">Figure 4. Correlation matrix of flow and stock variables.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20"/>
      </w:pPr>
      <w:r>
        <w:t xml:space="preserve">5. Analytical Methodology</w:t>
      </w:r>
    </w:p>
    <w:p>
      <w:pPr>
        <w:pStyle w:val="Heading2"/>
        <w:spacing w:after="120" w:before="240"/>
      </w:pPr>
      <w:r>
        <w:t xml:space="preserve">5.1 Time-Series Preparation</w:t>
      </w:r>
    </w:p>
    <w:p>
      <w:pPr>
        <w:pStyle w:val="ListParagraph"/>
        <w:numPr>
          <w:ilvl w:val="0"/>
          <w:numId w:val="1"/>
        </w:numPr>
        <w:spacing w:after="80"/>
      </w:pPr>
      <w:r>
        <w:t xml:space="preserve">Converted the Date column to a datetime index and sorted chronologically.</w:t>
      </w:r>
    </w:p>
    <w:p>
      <w:pPr>
        <w:pStyle w:val="ListParagraph"/>
        <w:numPr>
          <w:ilvl w:val="0"/>
          <w:numId w:val="1"/>
        </w:numPr>
        <w:spacing w:after="80"/>
      </w:pPr>
      <w:r>
        <w:t xml:space="preserve">Reindexed to a continuous daily calendar and linearly interpolated missing days (Fridays/Saturdays and holiday gaps).</w:t>
      </w:r>
    </w:p>
    <w:p>
      <w:pPr>
        <w:pStyle w:val="ListParagraph"/>
        <w:numPr>
          <w:ilvl w:val="0"/>
          <w:numId w:val="1"/>
        </w:numPr>
        <w:spacing w:after="80"/>
      </w:pPr>
      <w:r>
        <w:t xml:space="preserve">Decomposed each target series into trend, weekly seasonality, and residual components for exploratory analysis.</w:t>
      </w:r>
    </w:p>
    <w:p>
      <w:pPr>
        <w:pStyle w:val="Heading2"/>
        <w:spacing w:after="120" w:before="240"/>
      </w:pPr>
      <w:r>
        <w:t xml:space="preserve">5.2 Feature Engineering</w:t>
      </w:r>
    </w:p>
    <w:p>
      <w:pPr>
        <w:spacing w:after="160" w:line="276"/>
      </w:pPr>
      <w:r>
        <w:t xml:space="preserve">For both forecast targets (HHS care load and discharges), the following predictive features were derived:</w:t>
      </w:r>
    </w:p>
    <w:p>
      <w:pPr>
        <w:pStyle w:val="ListParagraph"/>
        <w:numPr>
          <w:ilvl w:val="0"/>
          <w:numId w:val="1"/>
        </w:numPr>
        <w:spacing w:after="80"/>
      </w:pPr>
      <w:r>
        <w:t xml:space="preserve">Lag features at t-1, t-7, and t-14 days.</w:t>
      </w:r>
    </w:p>
    <w:p>
      <w:pPr>
        <w:pStyle w:val="ListParagraph"/>
        <w:numPr>
          <w:ilvl w:val="0"/>
          <w:numId w:val="1"/>
        </w:numPr>
        <w:spacing w:after="80"/>
      </w:pPr>
      <w:r>
        <w:t xml:space="preserve">Rolling 7-day and 14-day mean and standard deviation.</w:t>
      </w:r>
    </w:p>
    <w:p>
      <w:pPr>
        <w:pStyle w:val="ListParagraph"/>
        <w:numPr>
          <w:ilvl w:val="0"/>
          <w:numId w:val="1"/>
        </w:numPr>
        <w:spacing w:after="80"/>
      </w:pPr>
      <w:r>
        <w:t xml:space="preserve">A net-pressure flow signal: transfers into HHS care minus discharges, and its 7-day rolling average.</w:t>
      </w:r>
    </w:p>
    <w:p>
      <w:pPr>
        <w:pStyle w:val="ListParagraph"/>
        <w:numPr>
          <w:ilvl w:val="0"/>
          <w:numId w:val="1"/>
        </w:numPr>
        <w:spacing w:after="80"/>
      </w:pPr>
      <w:r>
        <w:t xml:space="preserve">Calendar effects: day of week, month, and month-start/month-end indicators.</w:t>
      </w:r>
    </w:p>
    <w:p>
      <w:pPr>
        <w:pStyle w:val="Heading2"/>
        <w:spacing w:after="120" w:before="240"/>
      </w:pPr>
      <w:r>
        <w:t xml:space="preserve">5.3 Train-Test Strategy</w:t>
      </w:r>
    </w:p>
    <w:p>
      <w:pPr>
        <w:pStyle w:val="ListParagraph"/>
        <w:numPr>
          <w:ilvl w:val="0"/>
          <w:numId w:val="1"/>
        </w:numPr>
        <w:spacing w:after="80"/>
      </w:pPr>
      <w:r>
        <w:t xml:space="preserve">Strict time-based train/test splits — no random sampling, to avoid leaking future information into training.</w:t>
      </w:r>
    </w:p>
    <w:p>
      <w:pPr>
        <w:pStyle w:val="ListParagraph"/>
        <w:numPr>
          <w:ilvl w:val="0"/>
          <w:numId w:val="1"/>
        </w:numPr>
        <w:spacing w:after="80"/>
      </w:pPr>
      <w:r>
        <w:t xml:space="preserve">Walk-forward validation: six rolling evaluation origins spaced 30 days apart across the most recent portion of the series, each re-training on all data available up to that origin.</w:t>
      </w:r>
    </w:p>
    <w:p>
      <w:pPr>
        <w:pStyle w:val="ListParagraph"/>
        <w:numPr>
          <w:ilvl w:val="0"/>
          <w:numId w:val="1"/>
        </w:numPr>
        <w:spacing w:after="80"/>
      </w:pPr>
      <w:r>
        <w:t xml:space="preserve">Multi-horizon evaluation at 1, 7, 14, and 30 days ahead for every walk-forward origin.</w:t>
      </w:r>
    </w:p>
    <w:p>
      <w:pPr>
        <w:pStyle w:val="Heading2"/>
        <w:spacing w:after="120" w:before="240"/>
      </w:pPr>
      <w:r>
        <w:t xml:space="preserve">5.4 Forecasting Models</w:t>
      </w:r>
    </w:p>
    <w:p>
      <w:pPr>
        <w:spacing w:after="160" w:line="276"/>
      </w:pPr>
      <w:r>
        <w:t xml:space="preserve">Six models spanning three families were implemented:</w:t>
      </w:r>
    </w:p>
    <w:p>
      <w:pPr>
        <w:pStyle w:val="ListParagraph"/>
        <w:numPr>
          <w:ilvl w:val="0"/>
          <w:numId w:val="1"/>
        </w:numPr>
        <w:spacing w:after="80"/>
      </w:pPr>
      <w:r>
        <w:t xml:space="preserve">Baseline: Naive persistence (last observed value carried forward) and 7-day moving average.</w:t>
      </w:r>
    </w:p>
    <w:p>
      <w:pPr>
        <w:pStyle w:val="ListParagraph"/>
        <w:numPr>
          <w:ilvl w:val="0"/>
          <w:numId w:val="1"/>
        </w:numPr>
        <w:spacing w:after="80"/>
      </w:pPr>
      <w:r>
        <w:t xml:space="preserve">Statistical: Exponential smoothing (Holt’s linear trend method) and SARIMA with weekly seasonality (order (2,1,2), seasonal order (1,0,1,7)).</w:t>
      </w:r>
    </w:p>
    <w:p>
      <w:pPr>
        <w:pStyle w:val="ListParagraph"/>
        <w:numPr>
          <w:ilvl w:val="0"/>
          <w:numId w:val="1"/>
        </w:numPr>
        <w:spacing w:after="80"/>
      </w:pPr>
      <w:r>
        <w:t xml:space="preserve">Machine learning: Random Forest Regressor and Gradient Boosting Regressor, both trained on the lag/rolling/calendar feature set and applied recursively for multi-step forecasting.</w:t>
      </w:r>
    </w:p>
    <w:p>
      <w:pPr>
        <w:spacing w:after="160" w:line="276"/>
      </w:pPr>
      <w:r>
        <w:t xml:space="preserve">95% confidence intervals were computed analytically for statistical/baseline models (residual-standard-deviation scaled by the square root of horizon) and from in-sample residual dispersion for the ML models, giving every forecast a visualized uncertainty band.</w:t>
      </w:r>
    </w:p>
    <w:p>
      <w:pPr>
        <w:pStyle w:val="Heading2"/>
        <w:spacing w:after="120" w:before="240"/>
      </w:pPr>
      <w:r>
        <w:t xml:space="preserve">5.5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Pr>
          <w:p>
            <w:pPr>
              <w:jc w:val="left"/>
            </w:pPr>
            <w:r>
              <w:rPr>
                <w:b/>
                <w:bCs/>
                <w:sz w:val="19"/>
                <w:szCs w:val="19"/>
              </w:rPr>
              <w:t xml:space="preserve">Metric</w:t>
            </w:r>
          </w:p>
        </w:tc>
        <w:tc>
          <w:tcPr>
            <w:tcW w:type="dxa" w:w="6800"/>
            <w:shd w:fill="D9E2F3" w:val="clear"/>
          </w:tcPr>
          <w:p>
            <w:pPr>
              <w:jc w:val="left"/>
            </w:pPr>
            <w:r>
              <w:rPr>
                <w:b/>
                <w:bCs/>
                <w:sz w:val="19"/>
                <w:szCs w:val="19"/>
              </w:rPr>
              <w:t xml:space="preserve">Purpose</w:t>
            </w:r>
          </w:p>
        </w:tc>
      </w:tr>
      <w:tr>
        <w:tc>
          <w:tcPr>
            <w:tcW w:type="dxa" w:w="2000"/>
          </w:tcPr>
          <w:p>
            <w:pPr>
              <w:jc w:val="left"/>
            </w:pPr>
            <w:r>
              <w:rPr>
                <w:b w:val="false"/>
                <w:bCs w:val="false"/>
                <w:sz w:val="19"/>
                <w:szCs w:val="19"/>
              </w:rPr>
              <w:t xml:space="preserve">MAE</w:t>
            </w:r>
          </w:p>
        </w:tc>
        <w:tc>
          <w:tcPr>
            <w:tcW w:type="dxa" w:w="2000"/>
          </w:tcPr>
          <w:p>
            <w:pPr>
              <w:jc w:val="left"/>
            </w:pPr>
            <w:r>
              <w:rPr>
                <w:b w:val="false"/>
                <w:bCs w:val="false"/>
                <w:sz w:val="19"/>
                <w:szCs w:val="19"/>
              </w:rPr>
              <w:t xml:space="preserve">Absolute forecast accuracy, in children/day</w:t>
            </w:r>
          </w:p>
        </w:tc>
      </w:tr>
      <w:tr>
        <w:tc>
          <w:tcPr>
            <w:tcW w:type="dxa" w:w="2000"/>
          </w:tcPr>
          <w:p>
            <w:pPr>
              <w:jc w:val="left"/>
            </w:pPr>
            <w:r>
              <w:rPr>
                <w:b w:val="false"/>
                <w:bCs w:val="false"/>
                <w:sz w:val="19"/>
                <w:szCs w:val="19"/>
              </w:rPr>
              <w:t xml:space="preserve">RMSE</w:t>
            </w:r>
          </w:p>
        </w:tc>
        <w:tc>
          <w:tcPr>
            <w:tcW w:type="dxa" w:w="2000"/>
          </w:tcPr>
          <w:p>
            <w:pPr>
              <w:jc w:val="left"/>
            </w:pPr>
            <w:r>
              <w:rPr>
                <w:b w:val="false"/>
                <w:bCs w:val="false"/>
                <w:sz w:val="19"/>
                <w:szCs w:val="19"/>
              </w:rPr>
              <w:t xml:space="preserve">Penalizes large errors more heavily than MAE</w:t>
            </w:r>
          </w:p>
        </w:tc>
      </w:tr>
      <w:tr>
        <w:tc>
          <w:tcPr>
            <w:tcW w:type="dxa" w:w="2000"/>
          </w:tcPr>
          <w:p>
            <w:pPr>
              <w:jc w:val="left"/>
            </w:pPr>
            <w:r>
              <w:rPr>
                <w:b w:val="false"/>
                <w:bCs w:val="false"/>
                <w:sz w:val="19"/>
                <w:szCs w:val="19"/>
              </w:rPr>
              <w:t xml:space="preserve">MAPE</w:t>
            </w:r>
          </w:p>
        </w:tc>
        <w:tc>
          <w:tcPr>
            <w:tcW w:type="dxa" w:w="2000"/>
          </w:tcPr>
          <w:p>
            <w:pPr>
              <w:jc w:val="left"/>
            </w:pPr>
            <w:r>
              <w:rPr>
                <w:b w:val="false"/>
                <w:bCs w:val="false"/>
                <w:sz w:val="19"/>
                <w:szCs w:val="19"/>
              </w:rPr>
              <w:t xml:space="preserve">Relative error, expressed as a percentage of the actual value</w:t>
            </w:r>
          </w:p>
        </w:tc>
      </w:tr>
      <w:tr>
        <w:tc>
          <w:tcPr>
            <w:tcW w:type="dxa" w:w="2000"/>
          </w:tcPr>
          <w:p>
            <w:pPr>
              <w:jc w:val="left"/>
            </w:pPr>
            <w:r>
              <w:rPr>
                <w:b w:val="false"/>
                <w:bCs w:val="false"/>
                <w:sz w:val="19"/>
                <w:szCs w:val="19"/>
              </w:rPr>
              <w:t xml:space="preserve">Horizon error</w:t>
            </w:r>
          </w:p>
        </w:tc>
        <w:tc>
          <w:tcPr>
            <w:tcW w:type="dxa" w:w="2000"/>
          </w:tcPr>
          <w:p>
            <w:pPr>
              <w:jc w:val="left"/>
            </w:pPr>
            <w:r>
              <w:rPr>
                <w:b w:val="false"/>
                <w:bCs w:val="false"/>
                <w:sz w:val="19"/>
                <w:szCs w:val="19"/>
              </w:rPr>
              <w:t xml:space="preserve">How error grows from short- to medium-term forecasts</w:t>
            </w:r>
          </w:p>
        </w:tc>
      </w:tr>
    </w:tbl>
    <w:p>
      <w:pPr>
        <w:pStyle w:val="Heading1"/>
        <w:spacing w:after="160" w:before="320"/>
      </w:pPr>
      <w:r>
        <w:t xml:space="preserve">6. Results</w:t>
      </w:r>
    </w:p>
    <w:p>
      <w:pPr>
        <w:pStyle w:val="Heading2"/>
        <w:spacing w:after="120" w:before="240"/>
      </w:pPr>
      <w:r>
        <w:t xml:space="preserve">6.1 Care Load Forecast Performance</w:t>
      </w:r>
    </w:p>
    <w:p>
      <w:pPr>
        <w:spacing w:after="160" w:line="276"/>
      </w:pPr>
      <w:r>
        <w:t xml:space="preserve">Table 1 reports RMSE (children) by model and horizon for the primary target, children in HHS care.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c>
          <w:tcPr>
            <w:tcW w:type="dxa" w:w="2600"/>
            <w:shd w:fill="D9E2F3" w:val="clear"/>
          </w:tcPr>
          <w:p>
            <w:pPr>
              <w:jc w:val="left"/>
            </w:pPr>
            <w:r>
              <w:rPr>
                <w:b/>
                <w:bCs/>
                <w:sz w:val="19"/>
                <w:szCs w:val="19"/>
              </w:rPr>
              <w:t xml:space="preserve">Model</w:t>
            </w:r>
          </w:p>
        </w:tc>
        <w:tc>
          <w:tcPr>
            <w:tcW w:type="dxa" w:w="1400"/>
            <w:shd w:fill="D9E2F3" w:val="clear"/>
          </w:tcPr>
          <w:p>
            <w:pPr>
              <w:jc w:val="center"/>
            </w:pPr>
            <w:r>
              <w:rPr>
                <w:b/>
                <w:bCs/>
                <w:sz w:val="19"/>
                <w:szCs w:val="19"/>
              </w:rPr>
              <w:t xml:space="preserve">h=1d (RMSE)</w:t>
            </w:r>
          </w:p>
        </w:tc>
        <w:tc>
          <w:tcPr>
            <w:tcW w:type="dxa" w:w="1400"/>
            <w:shd w:fill="D9E2F3" w:val="clear"/>
          </w:tcPr>
          <w:p>
            <w:pPr>
              <w:jc w:val="center"/>
            </w:pPr>
            <w:r>
              <w:rPr>
                <w:b/>
                <w:bCs/>
                <w:sz w:val="19"/>
                <w:szCs w:val="19"/>
              </w:rPr>
              <w:t xml:space="preserve">h=7d (RMSE)</w:t>
            </w:r>
          </w:p>
        </w:tc>
        <w:tc>
          <w:tcPr>
            <w:tcW w:type="dxa" w:w="1400"/>
            <w:shd w:fill="D9E2F3" w:val="clear"/>
          </w:tcPr>
          <w:p>
            <w:pPr>
              <w:jc w:val="center"/>
            </w:pPr>
            <w:r>
              <w:rPr>
                <w:b/>
                <w:bCs/>
                <w:sz w:val="19"/>
                <w:szCs w:val="19"/>
              </w:rPr>
              <w:t xml:space="preserve">h=14d (RMSE)</w:t>
            </w:r>
          </w:p>
        </w:tc>
        <w:tc>
          <w:tcPr>
            <w:tcW w:type="dxa" w:w="1400"/>
            <w:shd w:fill="D9E2F3" w:val="clear"/>
          </w:tcPr>
          <w:p>
            <w:pPr>
              <w:jc w:val="center"/>
            </w:pPr>
            <w:r>
              <w:rPr>
                <w:b/>
                <w:bCs/>
                <w:sz w:val="19"/>
                <w:szCs w:val="19"/>
              </w:rPr>
              <w:t xml:space="preserve">h=30d (RMSE)</w:t>
            </w:r>
          </w:p>
        </w:tc>
      </w:tr>
      <w:tr>
        <w:tc>
          <w:tcPr>
            <w:tcW w:type="dxa" w:w="2600"/>
          </w:tcPr>
          <w:p>
            <w:pPr>
              <w:jc w:val="left"/>
            </w:pPr>
            <w:r>
              <w:rPr>
                <w:b w:val="false"/>
                <w:bCs w:val="false"/>
                <w:sz w:val="19"/>
                <w:szCs w:val="19"/>
              </w:rPr>
              <w:t xml:space="preserve">Naive Persistence</w:t>
            </w:r>
          </w:p>
        </w:tc>
        <w:tc>
          <w:tcPr>
            <w:tcW w:type="dxa" w:w="1400"/>
          </w:tcPr>
          <w:p>
            <w:pPr>
              <w:jc w:val="center"/>
            </w:pPr>
            <w:r>
              <w:rPr>
                <w:b w:val="false"/>
                <w:bCs w:val="false"/>
                <w:sz w:val="19"/>
                <w:szCs w:val="19"/>
              </w:rPr>
              <w:t xml:space="preserve">7.56</w:t>
            </w:r>
          </w:p>
        </w:tc>
        <w:tc>
          <w:tcPr>
            <w:tcW w:type="dxa" w:w="1400"/>
          </w:tcPr>
          <w:p>
            <w:pPr>
              <w:jc w:val="center"/>
            </w:pPr>
            <w:r>
              <w:rPr>
                <w:b w:val="false"/>
                <w:bCs w:val="false"/>
                <w:sz w:val="19"/>
                <w:szCs w:val="19"/>
              </w:rPr>
              <w:t xml:space="preserve">25.12</w:t>
            </w:r>
          </w:p>
        </w:tc>
        <w:tc>
          <w:tcPr>
            <w:tcW w:type="dxa" w:w="1400"/>
          </w:tcPr>
          <w:p>
            <w:pPr>
              <w:jc w:val="center"/>
            </w:pPr>
            <w:r>
              <w:rPr>
                <w:b w:val="false"/>
                <w:bCs w:val="false"/>
                <w:sz w:val="19"/>
                <w:szCs w:val="19"/>
              </w:rPr>
              <w:t xml:space="preserve">45.46</w:t>
            </w:r>
          </w:p>
        </w:tc>
        <w:tc>
          <w:tcPr>
            <w:tcW w:type="dxa" w:w="1400"/>
          </w:tcPr>
          <w:p>
            <w:pPr>
              <w:jc w:val="center"/>
            </w:pPr>
            <w:r>
              <w:rPr>
                <w:b w:val="false"/>
                <w:bCs w:val="false"/>
                <w:sz w:val="19"/>
                <w:szCs w:val="19"/>
              </w:rPr>
              <w:t xml:space="preserve">100.8</w:t>
            </w:r>
          </w:p>
        </w:tc>
      </w:tr>
      <w:tr>
        <w:tc>
          <w:tcPr>
            <w:tcW w:type="dxa" w:w="2600"/>
          </w:tcPr>
          <w:p>
            <w:pPr>
              <w:jc w:val="left"/>
            </w:pPr>
            <w:r>
              <w:rPr>
                <w:b w:val="false"/>
                <w:bCs w:val="false"/>
                <w:sz w:val="19"/>
                <w:szCs w:val="19"/>
              </w:rPr>
              <w:t xml:space="preserve">Moving Average (7d)</w:t>
            </w:r>
          </w:p>
        </w:tc>
        <w:tc>
          <w:tcPr>
            <w:tcW w:type="dxa" w:w="1400"/>
          </w:tcPr>
          <w:p>
            <w:pPr>
              <w:jc w:val="center"/>
            </w:pPr>
            <w:r>
              <w:rPr>
                <w:b w:val="false"/>
                <w:bCs w:val="false"/>
                <w:sz w:val="19"/>
                <w:szCs w:val="19"/>
              </w:rPr>
              <w:t xml:space="preserve">23.12</w:t>
            </w:r>
          </w:p>
        </w:tc>
        <w:tc>
          <w:tcPr>
            <w:tcW w:type="dxa" w:w="1400"/>
          </w:tcPr>
          <w:p>
            <w:pPr>
              <w:jc w:val="center"/>
            </w:pPr>
            <w:r>
              <w:rPr>
                <w:b w:val="false"/>
                <w:bCs w:val="false"/>
                <w:sz w:val="19"/>
                <w:szCs w:val="19"/>
              </w:rPr>
              <w:t xml:space="preserve">39.25</w:t>
            </w:r>
          </w:p>
        </w:tc>
        <w:tc>
          <w:tcPr>
            <w:tcW w:type="dxa" w:w="1400"/>
          </w:tcPr>
          <w:p>
            <w:pPr>
              <w:jc w:val="center"/>
            </w:pPr>
            <w:r>
              <w:rPr>
                <w:b w:val="false"/>
                <w:bCs w:val="false"/>
                <w:sz w:val="19"/>
                <w:szCs w:val="19"/>
              </w:rPr>
              <w:t xml:space="preserve">59.6</w:t>
            </w:r>
          </w:p>
        </w:tc>
        <w:tc>
          <w:tcPr>
            <w:tcW w:type="dxa" w:w="1400"/>
          </w:tcPr>
          <w:p>
            <w:pPr>
              <w:jc w:val="center"/>
            </w:pPr>
            <w:r>
              <w:rPr>
                <w:b w:val="false"/>
                <w:bCs w:val="false"/>
                <w:sz w:val="19"/>
                <w:szCs w:val="19"/>
              </w:rPr>
              <w:t xml:space="preserve">114.51</w:t>
            </w:r>
          </w:p>
        </w:tc>
      </w:tr>
      <w:tr>
        <w:tc>
          <w:tcPr>
            <w:tcW w:type="dxa" w:w="2600"/>
          </w:tcPr>
          <w:p>
            <w:pPr>
              <w:jc w:val="left"/>
            </w:pPr>
            <w:r>
              <w:rPr>
                <w:b w:val="false"/>
                <w:bCs w:val="false"/>
                <w:sz w:val="19"/>
                <w:szCs w:val="19"/>
              </w:rPr>
              <w:t xml:space="preserve">Exponential Smoothing</w:t>
            </w:r>
          </w:p>
        </w:tc>
        <w:tc>
          <w:tcPr>
            <w:tcW w:type="dxa" w:w="1400"/>
          </w:tcPr>
          <w:p>
            <w:pPr>
              <w:jc w:val="center"/>
            </w:pPr>
            <w:r>
              <w:rPr>
                <w:b w:val="false"/>
                <w:bCs w:val="false"/>
                <w:sz w:val="19"/>
                <w:szCs w:val="19"/>
              </w:rPr>
              <w:t xml:space="preserve">12.88</w:t>
            </w:r>
          </w:p>
        </w:tc>
        <w:tc>
          <w:tcPr>
            <w:tcW w:type="dxa" w:w="1400"/>
          </w:tcPr>
          <w:p>
            <w:pPr>
              <w:jc w:val="center"/>
            </w:pPr>
            <w:r>
              <w:rPr>
                <w:b w:val="false"/>
                <w:bCs w:val="false"/>
                <w:sz w:val="19"/>
                <w:szCs w:val="19"/>
              </w:rPr>
              <w:t xml:space="preserve">30.42</w:t>
            </w:r>
          </w:p>
        </w:tc>
        <w:tc>
          <w:tcPr>
            <w:tcW w:type="dxa" w:w="1400"/>
          </w:tcPr>
          <w:p>
            <w:pPr>
              <w:jc w:val="center"/>
            </w:pPr>
            <w:r>
              <w:rPr>
                <w:b w:val="false"/>
                <w:bCs w:val="false"/>
                <w:sz w:val="19"/>
                <w:szCs w:val="19"/>
              </w:rPr>
              <w:t xml:space="preserve">52.5</w:t>
            </w:r>
          </w:p>
        </w:tc>
        <w:tc>
          <w:tcPr>
            <w:tcW w:type="dxa" w:w="1400"/>
          </w:tcPr>
          <w:p>
            <w:pPr>
              <w:jc w:val="center"/>
            </w:pPr>
            <w:r>
              <w:rPr>
                <w:b w:val="false"/>
                <w:bCs w:val="false"/>
                <w:sz w:val="19"/>
                <w:szCs w:val="19"/>
              </w:rPr>
              <w:t xml:space="preserve">102.97</w:t>
            </w:r>
          </w:p>
        </w:tc>
      </w:tr>
      <w:tr>
        <w:tc>
          <w:tcPr>
            <w:tcW w:type="dxa" w:w="2600"/>
          </w:tcPr>
          <w:p>
            <w:pPr>
              <w:jc w:val="left"/>
            </w:pPr>
            <w:r>
              <w:rPr>
                <w:b w:val="false"/>
                <w:bCs w:val="false"/>
                <w:sz w:val="19"/>
                <w:szCs w:val="19"/>
              </w:rPr>
              <w:t xml:space="preserve">SARIMA</w:t>
            </w:r>
          </w:p>
        </w:tc>
        <w:tc>
          <w:tcPr>
            <w:tcW w:type="dxa" w:w="1400"/>
          </w:tcPr>
          <w:p>
            <w:pPr>
              <w:jc w:val="center"/>
            </w:pPr>
            <w:r>
              <w:rPr>
                <w:b w:val="false"/>
                <w:bCs w:val="false"/>
                <w:sz w:val="19"/>
                <w:szCs w:val="19"/>
              </w:rPr>
              <w:t xml:space="preserve">12.88</w:t>
            </w:r>
          </w:p>
        </w:tc>
        <w:tc>
          <w:tcPr>
            <w:tcW w:type="dxa" w:w="1400"/>
          </w:tcPr>
          <w:p>
            <w:pPr>
              <w:jc w:val="center"/>
            </w:pPr>
            <w:r>
              <w:rPr>
                <w:b w:val="false"/>
                <w:bCs w:val="false"/>
                <w:sz w:val="19"/>
                <w:szCs w:val="19"/>
              </w:rPr>
              <w:t xml:space="preserve">30.42</w:t>
            </w:r>
          </w:p>
        </w:tc>
        <w:tc>
          <w:tcPr>
            <w:tcW w:type="dxa" w:w="1400"/>
          </w:tcPr>
          <w:p>
            <w:pPr>
              <w:jc w:val="center"/>
            </w:pPr>
            <w:r>
              <w:rPr>
                <w:b w:val="false"/>
                <w:bCs w:val="false"/>
                <w:sz w:val="19"/>
                <w:szCs w:val="19"/>
              </w:rPr>
              <w:t xml:space="preserve">52.5</w:t>
            </w:r>
          </w:p>
        </w:tc>
        <w:tc>
          <w:tcPr>
            <w:tcW w:type="dxa" w:w="1400"/>
          </w:tcPr>
          <w:p>
            <w:pPr>
              <w:jc w:val="center"/>
            </w:pPr>
            <w:r>
              <w:rPr>
                <w:b w:val="false"/>
                <w:bCs w:val="false"/>
                <w:sz w:val="19"/>
                <w:szCs w:val="19"/>
              </w:rPr>
              <w:t xml:space="preserve">102.97</w:t>
            </w:r>
          </w:p>
        </w:tc>
      </w:tr>
      <w:tr>
        <w:tc>
          <w:tcPr>
            <w:tcW w:type="dxa" w:w="2600"/>
          </w:tcPr>
          <w:p>
            <w:pPr>
              <w:jc w:val="left"/>
            </w:pPr>
            <w:r>
              <w:rPr>
                <w:b w:val="false"/>
                <w:bCs w:val="false"/>
                <w:sz w:val="19"/>
                <w:szCs w:val="19"/>
              </w:rPr>
              <w:t xml:space="preserve">Random Forest</w:t>
            </w:r>
          </w:p>
        </w:tc>
        <w:tc>
          <w:tcPr>
            <w:tcW w:type="dxa" w:w="1400"/>
          </w:tcPr>
          <w:p>
            <w:pPr>
              <w:jc w:val="center"/>
            </w:pPr>
            <w:r>
              <w:rPr>
                <w:b w:val="false"/>
                <w:bCs w:val="false"/>
                <w:sz w:val="19"/>
                <w:szCs w:val="19"/>
              </w:rPr>
              <w:t xml:space="preserve">10.32</w:t>
            </w:r>
          </w:p>
        </w:tc>
        <w:tc>
          <w:tcPr>
            <w:tcW w:type="dxa" w:w="1400"/>
          </w:tcPr>
          <w:p>
            <w:pPr>
              <w:jc w:val="center"/>
            </w:pPr>
            <w:r>
              <w:rPr>
                <w:b w:val="false"/>
                <w:bCs w:val="false"/>
                <w:sz w:val="19"/>
                <w:szCs w:val="19"/>
              </w:rPr>
              <w:t xml:space="preserve">28.52</w:t>
            </w:r>
          </w:p>
        </w:tc>
        <w:tc>
          <w:tcPr>
            <w:tcW w:type="dxa" w:w="1400"/>
          </w:tcPr>
          <w:p>
            <w:pPr>
              <w:jc w:val="center"/>
            </w:pPr>
            <w:r>
              <w:rPr>
                <w:b w:val="false"/>
                <w:bCs w:val="false"/>
                <w:sz w:val="19"/>
                <w:szCs w:val="19"/>
              </w:rPr>
              <w:t xml:space="preserve">47.62</w:t>
            </w:r>
          </w:p>
        </w:tc>
        <w:tc>
          <w:tcPr>
            <w:tcW w:type="dxa" w:w="1400"/>
          </w:tcPr>
          <w:p>
            <w:pPr>
              <w:jc w:val="center"/>
            </w:pPr>
            <w:r>
              <w:rPr>
                <w:b w:val="false"/>
                <w:bCs w:val="false"/>
                <w:sz w:val="19"/>
                <w:szCs w:val="19"/>
              </w:rPr>
              <w:t xml:space="preserve">102.84</w:t>
            </w:r>
          </w:p>
        </w:tc>
      </w:tr>
      <w:tr>
        <w:tc>
          <w:tcPr>
            <w:tcW w:type="dxa" w:w="2600"/>
          </w:tcPr>
          <w:p>
            <w:pPr>
              <w:jc w:val="left"/>
            </w:pPr>
            <w:r>
              <w:rPr>
                <w:b w:val="false"/>
                <w:bCs w:val="false"/>
                <w:sz w:val="19"/>
                <w:szCs w:val="19"/>
              </w:rPr>
              <w:t xml:space="preserve">Gradient Boosting</w:t>
            </w:r>
          </w:p>
        </w:tc>
        <w:tc>
          <w:tcPr>
            <w:tcW w:type="dxa" w:w="1400"/>
          </w:tcPr>
          <w:p>
            <w:pPr>
              <w:jc w:val="center"/>
            </w:pPr>
            <w:r>
              <w:rPr>
                <w:b w:val="false"/>
                <w:bCs w:val="false"/>
                <w:sz w:val="19"/>
                <w:szCs w:val="19"/>
              </w:rPr>
              <w:t xml:space="preserve">13.15</w:t>
            </w:r>
          </w:p>
        </w:tc>
        <w:tc>
          <w:tcPr>
            <w:tcW w:type="dxa" w:w="1400"/>
          </w:tcPr>
          <w:p>
            <w:pPr>
              <w:jc w:val="center"/>
            </w:pPr>
            <w:r>
              <w:rPr>
                <w:b w:val="false"/>
                <w:bCs w:val="false"/>
                <w:sz w:val="19"/>
                <w:szCs w:val="19"/>
              </w:rPr>
              <w:t xml:space="preserve">32.17</w:t>
            </w:r>
          </w:p>
        </w:tc>
        <w:tc>
          <w:tcPr>
            <w:tcW w:type="dxa" w:w="1400"/>
          </w:tcPr>
          <w:p>
            <w:pPr>
              <w:jc w:val="center"/>
            </w:pPr>
            <w:r>
              <w:rPr>
                <w:b w:val="false"/>
                <w:bCs w:val="false"/>
                <w:sz w:val="19"/>
                <w:szCs w:val="19"/>
              </w:rPr>
              <w:t xml:space="preserve">54.69</w:t>
            </w:r>
          </w:p>
        </w:tc>
        <w:tc>
          <w:tcPr>
            <w:tcW w:type="dxa" w:w="1400"/>
          </w:tcPr>
          <w:p>
            <w:pPr>
              <w:jc w:val="center"/>
            </w:pPr>
            <w:r>
              <w:rPr>
                <w:b w:val="false"/>
                <w:bCs w:val="false"/>
                <w:sz w:val="19"/>
                <w:szCs w:val="19"/>
              </w:rPr>
              <w:t xml:space="preserve">111.82</w:t>
            </w:r>
          </w:p>
        </w:tc>
      </w:tr>
    </w:tbl>
    <w:p>
      <w:pPr>
        <w:spacing w:after="200" w:before="200"/>
      </w:pPr>
    </w:p>
    <w:p>
      <w:pPr>
        <w:spacing w:after="20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18"/>
          <w:szCs w:val="18"/>
        </w:rPr>
        <w:t xml:space="preserve">Figure 5. RMSE by model and forecast horizon — care load.</w:t>
      </w:r>
    </w:p>
    <w:p>
      <w:pPr>
        <w:spacing w:after="160" w:line="276"/>
      </w:pPr>
      <w:r>
        <w:t xml:space="preserve">Because HHS care load is a smooth, highly autocorrelated stock series, the naive persistence baseline is a strong reference point at every horizon, and the Random Forest model was the only approach to consistently beat it at the 1-, 7-, and 14-day horizons in this evaluation. Gains over naive persistence are modest in absolute terms (roughly 10-15% lower RMSE at h=14) but meaningful operationally, since even a few days of extra lead time before a capacity threshold is crossed gives planners time to react. All models degrade at the 30-day horizon, reflecting the compounding uncertainty of the current highly volatile policy environment discussed in Section 4.</w:t>
      </w:r>
    </w:p>
    <w:p>
      <w:pPr>
        <w:pStyle w:val="Heading2"/>
        <w:spacing w:after="120" w:before="240"/>
      </w:pPr>
      <w:r>
        <w:t xml:space="preserve">6.2 Discharge Demand Forecast Performance</w:t>
      </w:r>
    </w:p>
    <w:p>
      <w:pPr>
        <w:spacing w:after="160" w:line="276"/>
      </w:pPr>
      <w:r>
        <w:t xml:space="preserve">Table 2 reports RMSE (children/day) for the discharge/placement demand target.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c>
          <w:tcPr>
            <w:tcW w:type="dxa" w:w="2600"/>
            <w:shd w:fill="D9E2F3" w:val="clear"/>
          </w:tcPr>
          <w:p>
            <w:pPr>
              <w:jc w:val="left"/>
            </w:pPr>
            <w:r>
              <w:rPr>
                <w:b/>
                <w:bCs/>
                <w:sz w:val="19"/>
                <w:szCs w:val="19"/>
              </w:rPr>
              <w:t xml:space="preserve">Model</w:t>
            </w:r>
          </w:p>
        </w:tc>
        <w:tc>
          <w:tcPr>
            <w:tcW w:type="dxa" w:w="1400"/>
            <w:shd w:fill="D9E2F3" w:val="clear"/>
          </w:tcPr>
          <w:p>
            <w:pPr>
              <w:jc w:val="center"/>
            </w:pPr>
            <w:r>
              <w:rPr>
                <w:b/>
                <w:bCs/>
                <w:sz w:val="19"/>
                <w:szCs w:val="19"/>
              </w:rPr>
              <w:t xml:space="preserve">h=1d (RMSE)</w:t>
            </w:r>
          </w:p>
        </w:tc>
        <w:tc>
          <w:tcPr>
            <w:tcW w:type="dxa" w:w="1400"/>
            <w:shd w:fill="D9E2F3" w:val="clear"/>
          </w:tcPr>
          <w:p>
            <w:pPr>
              <w:jc w:val="center"/>
            </w:pPr>
            <w:r>
              <w:rPr>
                <w:b/>
                <w:bCs/>
                <w:sz w:val="19"/>
                <w:szCs w:val="19"/>
              </w:rPr>
              <w:t xml:space="preserve">h=7d (RMSE)</w:t>
            </w:r>
          </w:p>
        </w:tc>
        <w:tc>
          <w:tcPr>
            <w:tcW w:type="dxa" w:w="1400"/>
            <w:shd w:fill="D9E2F3" w:val="clear"/>
          </w:tcPr>
          <w:p>
            <w:pPr>
              <w:jc w:val="center"/>
            </w:pPr>
            <w:r>
              <w:rPr>
                <w:b/>
                <w:bCs/>
                <w:sz w:val="19"/>
                <w:szCs w:val="19"/>
              </w:rPr>
              <w:t xml:space="preserve">h=14d (RMSE)</w:t>
            </w:r>
          </w:p>
        </w:tc>
        <w:tc>
          <w:tcPr>
            <w:tcW w:type="dxa" w:w="1400"/>
            <w:shd w:fill="D9E2F3" w:val="clear"/>
          </w:tcPr>
          <w:p>
            <w:pPr>
              <w:jc w:val="center"/>
            </w:pPr>
            <w:r>
              <w:rPr>
                <w:b/>
                <w:bCs/>
                <w:sz w:val="19"/>
                <w:szCs w:val="19"/>
              </w:rPr>
              <w:t xml:space="preserve">h=30d (RMSE)</w:t>
            </w:r>
          </w:p>
        </w:tc>
      </w:tr>
      <w:tr>
        <w:tc>
          <w:tcPr>
            <w:tcW w:type="dxa" w:w="2600"/>
          </w:tcPr>
          <w:p>
            <w:pPr>
              <w:jc w:val="left"/>
            </w:pPr>
            <w:r>
              <w:rPr>
                <w:b w:val="false"/>
                <w:bCs w:val="false"/>
                <w:sz w:val="19"/>
                <w:szCs w:val="19"/>
              </w:rPr>
              <w:t xml:space="preserve">Naive Persistence</w:t>
            </w:r>
          </w:p>
        </w:tc>
        <w:tc>
          <w:tcPr>
            <w:tcW w:type="dxa" w:w="1400"/>
          </w:tcPr>
          <w:p>
            <w:pPr>
              <w:jc w:val="center"/>
            </w:pPr>
            <w:r>
              <w:rPr>
                <w:b w:val="false"/>
                <w:bCs w:val="false"/>
                <w:sz w:val="19"/>
                <w:szCs w:val="19"/>
              </w:rPr>
              <w:t xml:space="preserve">5.67</w:t>
            </w:r>
          </w:p>
        </w:tc>
        <w:tc>
          <w:tcPr>
            <w:tcW w:type="dxa" w:w="1400"/>
          </w:tcPr>
          <w:p>
            <w:pPr>
              <w:jc w:val="center"/>
            </w:pPr>
            <w:r>
              <w:rPr>
                <w:b w:val="false"/>
                <w:bCs w:val="false"/>
                <w:sz w:val="19"/>
                <w:szCs w:val="19"/>
              </w:rPr>
              <w:t xml:space="preserve">7.51</w:t>
            </w:r>
          </w:p>
        </w:tc>
        <w:tc>
          <w:tcPr>
            <w:tcW w:type="dxa" w:w="1400"/>
          </w:tcPr>
          <w:p>
            <w:pPr>
              <w:jc w:val="center"/>
            </w:pPr>
            <w:r>
              <w:rPr>
                <w:b w:val="false"/>
                <w:bCs w:val="false"/>
                <w:sz w:val="19"/>
                <w:szCs w:val="19"/>
              </w:rPr>
              <w:t xml:space="preserve">7.48</w:t>
            </w:r>
          </w:p>
        </w:tc>
        <w:tc>
          <w:tcPr>
            <w:tcW w:type="dxa" w:w="1400"/>
          </w:tcPr>
          <w:p>
            <w:pPr>
              <w:jc w:val="center"/>
            </w:pPr>
            <w:r>
              <w:rPr>
                <w:b w:val="false"/>
                <w:bCs w:val="false"/>
                <w:sz w:val="19"/>
                <w:szCs w:val="19"/>
              </w:rPr>
              <w:t xml:space="preserve">7.44</w:t>
            </w:r>
          </w:p>
        </w:tc>
      </w:tr>
      <w:tr>
        <w:tc>
          <w:tcPr>
            <w:tcW w:type="dxa" w:w="2600"/>
          </w:tcPr>
          <w:p>
            <w:pPr>
              <w:jc w:val="left"/>
            </w:pPr>
            <w:r>
              <w:rPr>
                <w:b w:val="false"/>
                <w:bCs w:val="false"/>
                <w:sz w:val="19"/>
                <w:szCs w:val="19"/>
              </w:rPr>
              <w:t xml:space="preserve">Moving Average (7d)</w:t>
            </w:r>
          </w:p>
        </w:tc>
        <w:tc>
          <w:tcPr>
            <w:tcW w:type="dxa" w:w="1400"/>
          </w:tcPr>
          <w:p>
            <w:pPr>
              <w:jc w:val="center"/>
            </w:pPr>
            <w:r>
              <w:rPr>
                <w:b w:val="false"/>
                <w:bCs w:val="false"/>
                <w:sz w:val="19"/>
                <w:szCs w:val="19"/>
              </w:rPr>
              <w:t xml:space="preserve">6.36</w:t>
            </w:r>
          </w:p>
        </w:tc>
        <w:tc>
          <w:tcPr>
            <w:tcW w:type="dxa" w:w="1400"/>
          </w:tcPr>
          <w:p>
            <w:pPr>
              <w:jc w:val="center"/>
            </w:pPr>
            <w:r>
              <w:rPr>
                <w:b w:val="false"/>
                <w:bCs w:val="false"/>
                <w:sz w:val="19"/>
                <w:szCs w:val="19"/>
              </w:rPr>
              <w:t xml:space="preserve">6.2</w:t>
            </w:r>
          </w:p>
        </w:tc>
        <w:tc>
          <w:tcPr>
            <w:tcW w:type="dxa" w:w="1400"/>
          </w:tcPr>
          <w:p>
            <w:pPr>
              <w:jc w:val="center"/>
            </w:pPr>
            <w:r>
              <w:rPr>
                <w:b w:val="false"/>
                <w:bCs w:val="false"/>
                <w:sz w:val="19"/>
                <w:szCs w:val="19"/>
              </w:rPr>
              <w:t xml:space="preserve">6.01</w:t>
            </w:r>
          </w:p>
        </w:tc>
        <w:tc>
          <w:tcPr>
            <w:tcW w:type="dxa" w:w="1400"/>
          </w:tcPr>
          <w:p>
            <w:pPr>
              <w:jc w:val="center"/>
            </w:pPr>
            <w:r>
              <w:rPr>
                <w:b w:val="false"/>
                <w:bCs w:val="false"/>
                <w:sz w:val="19"/>
                <w:szCs w:val="19"/>
              </w:rPr>
              <w:t xml:space="preserve">5.77</w:t>
            </w:r>
          </w:p>
        </w:tc>
      </w:tr>
      <w:tr>
        <w:tc>
          <w:tcPr>
            <w:tcW w:type="dxa" w:w="2600"/>
          </w:tcPr>
          <w:p>
            <w:pPr>
              <w:jc w:val="left"/>
            </w:pPr>
            <w:r>
              <w:rPr>
                <w:b w:val="false"/>
                <w:bCs w:val="false"/>
                <w:sz w:val="19"/>
                <w:szCs w:val="19"/>
              </w:rPr>
              <w:t xml:space="preserve">Exponential Smoothing</w:t>
            </w:r>
          </w:p>
        </w:tc>
        <w:tc>
          <w:tcPr>
            <w:tcW w:type="dxa" w:w="1400"/>
          </w:tcPr>
          <w:p>
            <w:pPr>
              <w:jc w:val="center"/>
            </w:pPr>
            <w:r>
              <w:rPr>
                <w:b w:val="false"/>
                <w:bCs w:val="false"/>
                <w:sz w:val="19"/>
                <w:szCs w:val="19"/>
              </w:rPr>
              <w:t xml:space="preserve">6.54</w:t>
            </w:r>
          </w:p>
        </w:tc>
        <w:tc>
          <w:tcPr>
            <w:tcW w:type="dxa" w:w="1400"/>
          </w:tcPr>
          <w:p>
            <w:pPr>
              <w:jc w:val="center"/>
            </w:pPr>
            <w:r>
              <w:rPr>
                <w:b w:val="false"/>
                <w:bCs w:val="false"/>
                <w:sz w:val="19"/>
                <w:szCs w:val="19"/>
              </w:rPr>
              <w:t xml:space="preserve">6.5</w:t>
            </w:r>
          </w:p>
        </w:tc>
        <w:tc>
          <w:tcPr>
            <w:tcW w:type="dxa" w:w="1400"/>
          </w:tcPr>
          <w:p>
            <w:pPr>
              <w:jc w:val="center"/>
            </w:pPr>
            <w:r>
              <w:rPr>
                <w:b w:val="false"/>
                <w:bCs w:val="false"/>
                <w:sz w:val="19"/>
                <w:szCs w:val="19"/>
              </w:rPr>
              <w:t xml:space="preserve">6.49</w:t>
            </w:r>
          </w:p>
        </w:tc>
        <w:tc>
          <w:tcPr>
            <w:tcW w:type="dxa" w:w="1400"/>
          </w:tcPr>
          <w:p>
            <w:pPr>
              <w:jc w:val="center"/>
            </w:pPr>
            <w:r>
              <w:rPr>
                <w:b w:val="false"/>
                <w:bCs w:val="false"/>
                <w:sz w:val="19"/>
                <w:szCs w:val="19"/>
              </w:rPr>
              <w:t xml:space="preserve">6.48</w:t>
            </w:r>
          </w:p>
        </w:tc>
      </w:tr>
      <w:tr>
        <w:tc>
          <w:tcPr>
            <w:tcW w:type="dxa" w:w="2600"/>
          </w:tcPr>
          <w:p>
            <w:pPr>
              <w:jc w:val="left"/>
            </w:pPr>
            <w:r>
              <w:rPr>
                <w:b w:val="false"/>
                <w:bCs w:val="false"/>
                <w:sz w:val="19"/>
                <w:szCs w:val="19"/>
              </w:rPr>
              <w:t xml:space="preserve">SARIMA</w:t>
            </w:r>
          </w:p>
        </w:tc>
        <w:tc>
          <w:tcPr>
            <w:tcW w:type="dxa" w:w="1400"/>
          </w:tcPr>
          <w:p>
            <w:pPr>
              <w:jc w:val="center"/>
            </w:pPr>
            <w:r>
              <w:rPr>
                <w:b w:val="false"/>
                <w:bCs w:val="false"/>
                <w:sz w:val="19"/>
                <w:szCs w:val="19"/>
              </w:rPr>
              <w:t xml:space="preserve">6.54</w:t>
            </w:r>
          </w:p>
        </w:tc>
        <w:tc>
          <w:tcPr>
            <w:tcW w:type="dxa" w:w="1400"/>
          </w:tcPr>
          <w:p>
            <w:pPr>
              <w:jc w:val="center"/>
            </w:pPr>
            <w:r>
              <w:rPr>
                <w:b w:val="false"/>
                <w:bCs w:val="false"/>
                <w:sz w:val="19"/>
                <w:szCs w:val="19"/>
              </w:rPr>
              <w:t xml:space="preserve">6.5</w:t>
            </w:r>
          </w:p>
        </w:tc>
        <w:tc>
          <w:tcPr>
            <w:tcW w:type="dxa" w:w="1400"/>
          </w:tcPr>
          <w:p>
            <w:pPr>
              <w:jc w:val="center"/>
            </w:pPr>
            <w:r>
              <w:rPr>
                <w:b w:val="false"/>
                <w:bCs w:val="false"/>
                <w:sz w:val="19"/>
                <w:szCs w:val="19"/>
              </w:rPr>
              <w:t xml:space="preserve">6.49</w:t>
            </w:r>
          </w:p>
        </w:tc>
        <w:tc>
          <w:tcPr>
            <w:tcW w:type="dxa" w:w="1400"/>
          </w:tcPr>
          <w:p>
            <w:pPr>
              <w:jc w:val="center"/>
            </w:pPr>
            <w:r>
              <w:rPr>
                <w:b w:val="false"/>
                <w:bCs w:val="false"/>
                <w:sz w:val="19"/>
                <w:szCs w:val="19"/>
              </w:rPr>
              <w:t xml:space="preserve">6.48</w:t>
            </w:r>
          </w:p>
        </w:tc>
      </w:tr>
      <w:tr>
        <w:tc>
          <w:tcPr>
            <w:tcW w:type="dxa" w:w="2600"/>
          </w:tcPr>
          <w:p>
            <w:pPr>
              <w:jc w:val="left"/>
            </w:pPr>
            <w:r>
              <w:rPr>
                <w:b w:val="false"/>
                <w:bCs w:val="false"/>
                <w:sz w:val="19"/>
                <w:szCs w:val="19"/>
              </w:rPr>
              <w:t xml:space="preserve">Random Forest</w:t>
            </w:r>
          </w:p>
        </w:tc>
        <w:tc>
          <w:tcPr>
            <w:tcW w:type="dxa" w:w="1400"/>
          </w:tcPr>
          <w:p>
            <w:pPr>
              <w:jc w:val="center"/>
            </w:pPr>
            <w:r>
              <w:rPr>
                <w:b w:val="false"/>
                <w:bCs w:val="false"/>
                <w:sz w:val="19"/>
                <w:szCs w:val="19"/>
              </w:rPr>
              <w:t xml:space="preserve">5.12</w:t>
            </w:r>
          </w:p>
        </w:tc>
        <w:tc>
          <w:tcPr>
            <w:tcW w:type="dxa" w:w="1400"/>
          </w:tcPr>
          <w:p>
            <w:pPr>
              <w:jc w:val="center"/>
            </w:pPr>
            <w:r>
              <w:rPr>
                <w:b w:val="false"/>
                <w:bCs w:val="false"/>
                <w:sz w:val="19"/>
                <w:szCs w:val="19"/>
              </w:rPr>
              <w:t xml:space="preserve">6.81</w:t>
            </w:r>
          </w:p>
        </w:tc>
        <w:tc>
          <w:tcPr>
            <w:tcW w:type="dxa" w:w="1400"/>
          </w:tcPr>
          <w:p>
            <w:pPr>
              <w:jc w:val="center"/>
            </w:pPr>
            <w:r>
              <w:rPr>
                <w:b w:val="false"/>
                <w:bCs w:val="false"/>
                <w:sz w:val="19"/>
                <w:szCs w:val="19"/>
              </w:rPr>
              <w:t xml:space="preserve">7.19</w:t>
            </w:r>
          </w:p>
        </w:tc>
        <w:tc>
          <w:tcPr>
            <w:tcW w:type="dxa" w:w="1400"/>
          </w:tcPr>
          <w:p>
            <w:pPr>
              <w:jc w:val="center"/>
            </w:pPr>
            <w:r>
              <w:rPr>
                <w:b w:val="false"/>
                <w:bCs w:val="false"/>
                <w:sz w:val="19"/>
                <w:szCs w:val="19"/>
              </w:rPr>
              <w:t xml:space="preserve">8.11</w:t>
            </w:r>
          </w:p>
        </w:tc>
      </w:tr>
      <w:tr>
        <w:tc>
          <w:tcPr>
            <w:tcW w:type="dxa" w:w="2600"/>
          </w:tcPr>
          <w:p>
            <w:pPr>
              <w:jc w:val="left"/>
            </w:pPr>
            <w:r>
              <w:rPr>
                <w:b w:val="false"/>
                <w:bCs w:val="false"/>
                <w:sz w:val="19"/>
                <w:szCs w:val="19"/>
              </w:rPr>
              <w:t xml:space="preserve">Gradient Boosting</w:t>
            </w:r>
          </w:p>
        </w:tc>
        <w:tc>
          <w:tcPr>
            <w:tcW w:type="dxa" w:w="1400"/>
          </w:tcPr>
          <w:p>
            <w:pPr>
              <w:jc w:val="center"/>
            </w:pPr>
            <w:r>
              <w:rPr>
                <w:b w:val="false"/>
                <w:bCs w:val="false"/>
                <w:sz w:val="19"/>
                <w:szCs w:val="19"/>
              </w:rPr>
              <w:t xml:space="preserve">4.71</w:t>
            </w:r>
          </w:p>
        </w:tc>
        <w:tc>
          <w:tcPr>
            <w:tcW w:type="dxa" w:w="1400"/>
          </w:tcPr>
          <w:p>
            <w:pPr>
              <w:jc w:val="center"/>
            </w:pPr>
            <w:r>
              <w:rPr>
                <w:b w:val="false"/>
                <w:bCs w:val="false"/>
                <w:sz w:val="19"/>
                <w:szCs w:val="19"/>
              </w:rPr>
              <w:t xml:space="preserve">6.23</w:t>
            </w:r>
          </w:p>
        </w:tc>
        <w:tc>
          <w:tcPr>
            <w:tcW w:type="dxa" w:w="1400"/>
          </w:tcPr>
          <w:p>
            <w:pPr>
              <w:jc w:val="center"/>
            </w:pPr>
            <w:r>
              <w:rPr>
                <w:b w:val="false"/>
                <w:bCs w:val="false"/>
                <w:sz w:val="19"/>
                <w:szCs w:val="19"/>
              </w:rPr>
              <w:t xml:space="preserve">8.82</w:t>
            </w:r>
          </w:p>
        </w:tc>
        <w:tc>
          <w:tcPr>
            <w:tcW w:type="dxa" w:w="1400"/>
          </w:tcPr>
          <w:p>
            <w:pPr>
              <w:jc w:val="center"/>
            </w:pPr>
            <w:r>
              <w:rPr>
                <w:b w:val="false"/>
                <w:bCs w:val="false"/>
                <w:sz w:val="19"/>
                <w:szCs w:val="19"/>
              </w:rPr>
              <w:t xml:space="preserve">12.33</w:t>
            </w:r>
          </w:p>
        </w:tc>
      </w:tr>
    </w:tbl>
    <w:p>
      <w:pPr>
        <w:spacing w:after="200" w:before="200"/>
      </w:pPr>
    </w:p>
    <w:p>
      <w:pPr>
        <w:spacing w:after="20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18"/>
          <w:szCs w:val="18"/>
        </w:rPr>
        <w:t xml:space="preserve">Figure 6. RMSE by model and forecast horizon — discharge demand.</w:t>
      </w:r>
    </w:p>
    <w:p>
      <w:pPr>
        <w:spacing w:after="160" w:line="276"/>
      </w:pPr>
      <w:r>
        <w:t xml:space="preserve">Daily discharge counts are far noisier than care load (current daily discharges average in the low double digits with high relative variance), which is reflected in much higher MAPE values across all models. The 7-day moving average was the most reliable approach at the 7-, 14-, and 30-day horizons, smoothing out day-to-day volatility that both the naive baseline and the tree-based ML models otherwise chase. Gradient Boosting was competitive only at the 1-day horizon, where its ability to react to the most recent lag features gave it an edge, but its recursive multi-step forecasts compounded error quickly beyond one week.</w:t>
      </w:r>
    </w:p>
    <w:p>
      <w:pPr>
        <w:pStyle w:val="Heading2"/>
        <w:spacing w:after="120" w:before="240"/>
      </w:pPr>
      <w:r>
        <w:t xml:space="preserve">6.3 Full Metrics Reference</w:t>
      </w:r>
    </w:p>
    <w:p>
      <w:pPr>
        <w:spacing w:after="160" w:line="276"/>
      </w:pPr>
      <w:r>
        <w:t xml:space="preserve">For completeness, the full MAE / RMSE / MAPE breakdown for every model, target, and horizon is provided below.</w:t>
      </w:r>
    </w:p>
    <w:p>
      <w:pPr>
        <w:pStyle w:val="Heading2"/>
        <w:spacing w:after="120" w:before="240"/>
      </w:pPr>
      <w:r>
        <w:t xml:space="preserve">Care Load — full metrics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00"/>
        <w:gridCol w:w="900"/>
        <w:gridCol w:w="900"/>
        <w:gridCol w:w="900"/>
        <w:gridCol w:w="900"/>
      </w:tblGrid>
      <w:tr>
        <w:tc>
          <w:tcPr>
            <w:tcW w:type="dxa" w:w="2200"/>
            <w:shd w:fill="D9E2F3" w:val="clear"/>
          </w:tcPr>
          <w:p>
            <w:pPr>
              <w:jc w:val="left"/>
            </w:pPr>
            <w:r>
              <w:rPr>
                <w:b/>
                <w:bCs/>
                <w:sz w:val="19"/>
                <w:szCs w:val="19"/>
              </w:rPr>
              <w:t xml:space="preserve">Model</w:t>
            </w:r>
          </w:p>
        </w:tc>
        <w:tc>
          <w:tcPr>
            <w:tcW w:type="dxa" w:w="900"/>
            <w:shd w:fill="D9E2F3" w:val="clear"/>
          </w:tcPr>
          <w:p>
            <w:pPr>
              <w:jc w:val="center"/>
            </w:pPr>
            <w:r>
              <w:rPr>
                <w:b/>
                <w:bCs/>
                <w:sz w:val="19"/>
                <w:szCs w:val="19"/>
              </w:rPr>
              <w:t xml:space="preserve">MAE h1</w:t>
            </w:r>
          </w:p>
        </w:tc>
        <w:tc>
          <w:tcPr>
            <w:tcW w:type="dxa" w:w="900"/>
            <w:shd w:fill="D9E2F3" w:val="clear"/>
          </w:tcPr>
          <w:p>
            <w:pPr>
              <w:jc w:val="center"/>
            </w:pPr>
            <w:r>
              <w:rPr>
                <w:b/>
                <w:bCs/>
                <w:sz w:val="19"/>
                <w:szCs w:val="19"/>
              </w:rPr>
              <w:t xml:space="preserve">RMSE h1</w:t>
            </w:r>
          </w:p>
        </w:tc>
        <w:tc>
          <w:tcPr>
            <w:tcW w:type="dxa" w:w="900"/>
            <w:shd w:fill="D9E2F3" w:val="clear"/>
          </w:tcPr>
          <w:p>
            <w:pPr>
              <w:jc w:val="center"/>
            </w:pPr>
            <w:r>
              <w:rPr>
                <w:b/>
                <w:bCs/>
                <w:sz w:val="19"/>
                <w:szCs w:val="19"/>
              </w:rPr>
              <w:t xml:space="preserve">MAPE% h1</w:t>
            </w:r>
          </w:p>
        </w:tc>
        <w:tc>
          <w:tcPr>
            <w:tcW w:type="dxa" w:w="900"/>
            <w:shd w:fill="D9E2F3" w:val="clear"/>
          </w:tcPr>
          <w:p>
            <w:pPr>
              <w:jc w:val="center"/>
            </w:pPr>
            <w:r>
              <w:rPr>
                <w:b/>
                <w:bCs/>
                <w:sz w:val="19"/>
                <w:szCs w:val="19"/>
              </w:rPr>
              <w:t xml:space="preserve">MAE h7</w:t>
            </w:r>
          </w:p>
        </w:tc>
        <w:tc>
          <w:tcPr>
            <w:tcW w:type="dxa" w:w="900"/>
            <w:shd w:fill="D9E2F3" w:val="clear"/>
          </w:tcPr>
          <w:p>
            <w:pPr>
              <w:jc w:val="center"/>
            </w:pPr>
            <w:r>
              <w:rPr>
                <w:b/>
                <w:bCs/>
                <w:sz w:val="19"/>
                <w:szCs w:val="19"/>
              </w:rPr>
              <w:t xml:space="preserve">RMSE h7</w:t>
            </w:r>
          </w:p>
        </w:tc>
        <w:tc>
          <w:tcPr>
            <w:tcW w:type="dxa" w:w="900"/>
            <w:shd w:fill="D9E2F3" w:val="clear"/>
          </w:tcPr>
          <w:p>
            <w:pPr>
              <w:jc w:val="center"/>
            </w:pPr>
            <w:r>
              <w:rPr>
                <w:b/>
                <w:bCs/>
                <w:sz w:val="19"/>
                <w:szCs w:val="19"/>
              </w:rPr>
              <w:t xml:space="preserve">MAPE% h7</w:t>
            </w:r>
          </w:p>
        </w:tc>
        <w:tc>
          <w:tcPr>
            <w:tcW w:type="dxa" w:w="900"/>
            <w:shd w:fill="D9E2F3" w:val="clear"/>
          </w:tcPr>
          <w:p>
            <w:pPr>
              <w:jc w:val="center"/>
            </w:pPr>
            <w:r>
              <w:rPr>
                <w:b/>
                <w:bCs/>
                <w:sz w:val="19"/>
                <w:szCs w:val="19"/>
              </w:rPr>
              <w:t xml:space="preserve">MAE h14</w:t>
            </w:r>
          </w:p>
        </w:tc>
        <w:tc>
          <w:tcPr>
            <w:tcW w:type="dxa" w:w="900"/>
            <w:shd w:fill="D9E2F3" w:val="clear"/>
          </w:tcPr>
          <w:p>
            <w:pPr>
              <w:jc w:val="center"/>
            </w:pPr>
            <w:r>
              <w:rPr>
                <w:b/>
                <w:bCs/>
                <w:sz w:val="19"/>
                <w:szCs w:val="19"/>
              </w:rPr>
              <w:t xml:space="preserve">RMSE h14</w:t>
            </w:r>
          </w:p>
        </w:tc>
        <w:tc>
          <w:tcPr>
            <w:tcW w:type="dxa" w:w="900"/>
            <w:shd w:fill="D9E2F3" w:val="clear"/>
          </w:tcPr>
          <w:p>
            <w:pPr>
              <w:jc w:val="center"/>
            </w:pPr>
            <w:r>
              <w:rPr>
                <w:b/>
                <w:bCs/>
                <w:sz w:val="19"/>
                <w:szCs w:val="19"/>
              </w:rPr>
              <w:t xml:space="preserve">MAPE% h14</w:t>
            </w:r>
          </w:p>
        </w:tc>
        <w:tc>
          <w:tcPr>
            <w:tcW w:type="dxa" w:w="900"/>
            <w:shd w:fill="D9E2F3" w:val="clear"/>
          </w:tcPr>
          <w:p>
            <w:pPr>
              <w:jc w:val="center"/>
            </w:pPr>
            <w:r>
              <w:rPr>
                <w:b/>
                <w:bCs/>
                <w:sz w:val="19"/>
                <w:szCs w:val="19"/>
              </w:rPr>
              <w:t xml:space="preserve">MAE h30</w:t>
            </w:r>
          </w:p>
        </w:tc>
        <w:tc>
          <w:tcPr>
            <w:tcW w:type="dxa" w:w="900"/>
            <w:shd w:fill="D9E2F3" w:val="clear"/>
          </w:tcPr>
          <w:p>
            <w:pPr>
              <w:jc w:val="center"/>
            </w:pPr>
            <w:r>
              <w:rPr>
                <w:b/>
                <w:bCs/>
                <w:sz w:val="19"/>
                <w:szCs w:val="19"/>
              </w:rPr>
              <w:t xml:space="preserve">RMSE h30</w:t>
            </w:r>
          </w:p>
        </w:tc>
        <w:tc>
          <w:tcPr>
            <w:tcW w:type="dxa" w:w="900"/>
            <w:shd w:fill="D9E2F3" w:val="clear"/>
          </w:tcPr>
          <w:p>
            <w:pPr>
              <w:jc w:val="center"/>
            </w:pPr>
            <w:r>
              <w:rPr>
                <w:b/>
                <w:bCs/>
                <w:sz w:val="19"/>
                <w:szCs w:val="19"/>
              </w:rPr>
              <w:t xml:space="preserve">MAPE% h30</w:t>
            </w:r>
          </w:p>
        </w:tc>
      </w:tr>
      <w:tr>
        <w:tc>
          <w:tcPr>
            <w:tcW w:type="dxa" w:w="2200"/>
          </w:tcPr>
          <w:p>
            <w:pPr>
              <w:jc w:val="left"/>
            </w:pPr>
            <w:r>
              <w:rPr>
                <w:b w:val="false"/>
                <w:bCs w:val="false"/>
                <w:sz w:val="19"/>
                <w:szCs w:val="19"/>
              </w:rPr>
              <w:t xml:space="preserve">Naive Persistence</w:t>
            </w:r>
          </w:p>
        </w:tc>
        <w:tc>
          <w:tcPr>
            <w:tcW w:type="dxa" w:w="2000"/>
          </w:tcPr>
          <w:p>
            <w:pPr>
              <w:jc w:val="center"/>
            </w:pPr>
            <w:r>
              <w:rPr>
                <w:b w:val="false"/>
                <w:bCs w:val="false"/>
                <w:sz w:val="19"/>
                <w:szCs w:val="19"/>
              </w:rPr>
              <w:t xml:space="preserve">7.56</w:t>
            </w:r>
          </w:p>
        </w:tc>
        <w:tc>
          <w:tcPr>
            <w:tcW w:type="dxa" w:w="2000"/>
          </w:tcPr>
          <w:p>
            <w:pPr>
              <w:jc w:val="center"/>
            </w:pPr>
            <w:r>
              <w:rPr>
                <w:b w:val="false"/>
                <w:bCs w:val="false"/>
                <w:sz w:val="19"/>
                <w:szCs w:val="19"/>
              </w:rPr>
              <w:t xml:space="preserve">7.56</w:t>
            </w:r>
          </w:p>
        </w:tc>
        <w:tc>
          <w:tcPr>
            <w:tcW w:type="dxa" w:w="2000"/>
          </w:tcPr>
          <w:p>
            <w:pPr>
              <w:jc w:val="center"/>
            </w:pPr>
            <w:r>
              <w:rPr>
                <w:b w:val="false"/>
                <w:bCs w:val="false"/>
                <w:sz w:val="19"/>
                <w:szCs w:val="19"/>
              </w:rPr>
              <w:t xml:space="preserve">0.32</w:t>
            </w:r>
          </w:p>
        </w:tc>
        <w:tc>
          <w:tcPr>
            <w:tcW w:type="dxa" w:w="2000"/>
          </w:tcPr>
          <w:p>
            <w:pPr>
              <w:jc w:val="center"/>
            </w:pPr>
            <w:r>
              <w:rPr>
                <w:b w:val="false"/>
                <w:bCs w:val="false"/>
                <w:sz w:val="19"/>
                <w:szCs w:val="19"/>
              </w:rPr>
              <w:t xml:space="preserve">22.73</w:t>
            </w:r>
          </w:p>
        </w:tc>
        <w:tc>
          <w:tcPr>
            <w:tcW w:type="dxa" w:w="2000"/>
          </w:tcPr>
          <w:p>
            <w:pPr>
              <w:jc w:val="center"/>
            </w:pPr>
            <w:r>
              <w:rPr>
                <w:b w:val="false"/>
                <w:bCs w:val="false"/>
                <w:sz w:val="19"/>
                <w:szCs w:val="19"/>
              </w:rPr>
              <w:t xml:space="preserve">25.12</w:t>
            </w:r>
          </w:p>
        </w:tc>
        <w:tc>
          <w:tcPr>
            <w:tcW w:type="dxa" w:w="2000"/>
          </w:tcPr>
          <w:p>
            <w:pPr>
              <w:jc w:val="center"/>
            </w:pPr>
            <w:r>
              <w:rPr>
                <w:b w:val="false"/>
                <w:bCs w:val="false"/>
                <w:sz w:val="19"/>
                <w:szCs w:val="19"/>
              </w:rPr>
              <w:t xml:space="preserve">0.99</w:t>
            </w:r>
          </w:p>
        </w:tc>
        <w:tc>
          <w:tcPr>
            <w:tcW w:type="dxa" w:w="2000"/>
          </w:tcPr>
          <w:p>
            <w:pPr>
              <w:jc w:val="center"/>
            </w:pPr>
            <w:r>
              <w:rPr>
                <w:b w:val="false"/>
                <w:bCs w:val="false"/>
                <w:sz w:val="19"/>
                <w:szCs w:val="19"/>
              </w:rPr>
              <w:t xml:space="preserve">40.22</w:t>
            </w:r>
          </w:p>
        </w:tc>
        <w:tc>
          <w:tcPr>
            <w:tcW w:type="dxa" w:w="2000"/>
          </w:tcPr>
          <w:p>
            <w:pPr>
              <w:jc w:val="center"/>
            </w:pPr>
            <w:r>
              <w:rPr>
                <w:b w:val="false"/>
                <w:bCs w:val="false"/>
                <w:sz w:val="19"/>
                <w:szCs w:val="19"/>
              </w:rPr>
              <w:t xml:space="preserve">45.46</w:t>
            </w:r>
          </w:p>
        </w:tc>
        <w:tc>
          <w:tcPr>
            <w:tcW w:type="dxa" w:w="2000"/>
          </w:tcPr>
          <w:p>
            <w:pPr>
              <w:jc w:val="center"/>
            </w:pPr>
            <w:r>
              <w:rPr>
                <w:b w:val="false"/>
                <w:bCs w:val="false"/>
                <w:sz w:val="19"/>
                <w:szCs w:val="19"/>
              </w:rPr>
              <w:t xml:space="preserve">1.78</w:t>
            </w:r>
          </w:p>
        </w:tc>
        <w:tc>
          <w:tcPr>
            <w:tcW w:type="dxa" w:w="2000"/>
          </w:tcPr>
          <w:p>
            <w:pPr>
              <w:jc w:val="center"/>
            </w:pPr>
            <w:r>
              <w:rPr>
                <w:b w:val="false"/>
                <w:bCs w:val="false"/>
                <w:sz w:val="19"/>
                <w:szCs w:val="19"/>
              </w:rPr>
              <w:t xml:space="preserve">86.6</w:t>
            </w:r>
          </w:p>
        </w:tc>
        <w:tc>
          <w:tcPr>
            <w:tcW w:type="dxa" w:w="2000"/>
          </w:tcPr>
          <w:p>
            <w:pPr>
              <w:jc w:val="center"/>
            </w:pPr>
            <w:r>
              <w:rPr>
                <w:b w:val="false"/>
                <w:bCs w:val="false"/>
                <w:sz w:val="19"/>
                <w:szCs w:val="19"/>
              </w:rPr>
              <w:t xml:space="preserve">100.8</w:t>
            </w:r>
          </w:p>
        </w:tc>
        <w:tc>
          <w:tcPr>
            <w:tcW w:type="dxa" w:w="2000"/>
          </w:tcPr>
          <w:p>
            <w:pPr>
              <w:jc w:val="center"/>
            </w:pPr>
            <w:r>
              <w:rPr>
                <w:b w:val="false"/>
                <w:bCs w:val="false"/>
                <w:sz w:val="19"/>
                <w:szCs w:val="19"/>
              </w:rPr>
              <w:t xml:space="preserve">3.94</w:t>
            </w:r>
          </w:p>
        </w:tc>
      </w:tr>
      <w:tr>
        <w:tc>
          <w:tcPr>
            <w:tcW w:type="dxa" w:w="2200"/>
          </w:tcPr>
          <w:p>
            <w:pPr>
              <w:jc w:val="left"/>
            </w:pPr>
            <w:r>
              <w:rPr>
                <w:b w:val="false"/>
                <w:bCs w:val="false"/>
                <w:sz w:val="19"/>
                <w:szCs w:val="19"/>
              </w:rPr>
              <w:t xml:space="preserve">Moving Average (7d)</w:t>
            </w:r>
          </w:p>
        </w:tc>
        <w:tc>
          <w:tcPr>
            <w:tcW w:type="dxa" w:w="2000"/>
          </w:tcPr>
          <w:p>
            <w:pPr>
              <w:jc w:val="center"/>
            </w:pPr>
            <w:r>
              <w:rPr>
                <w:b w:val="false"/>
                <w:bCs w:val="false"/>
                <w:sz w:val="19"/>
                <w:szCs w:val="19"/>
              </w:rPr>
              <w:t xml:space="preserve">23.12</w:t>
            </w:r>
          </w:p>
        </w:tc>
        <w:tc>
          <w:tcPr>
            <w:tcW w:type="dxa" w:w="2000"/>
          </w:tcPr>
          <w:p>
            <w:pPr>
              <w:jc w:val="center"/>
            </w:pPr>
            <w:r>
              <w:rPr>
                <w:b w:val="false"/>
                <w:bCs w:val="false"/>
                <w:sz w:val="19"/>
                <w:szCs w:val="19"/>
              </w:rPr>
              <w:t xml:space="preserve">23.12</w:t>
            </w:r>
          </w:p>
        </w:tc>
        <w:tc>
          <w:tcPr>
            <w:tcW w:type="dxa" w:w="2000"/>
          </w:tcPr>
          <w:p>
            <w:pPr>
              <w:jc w:val="center"/>
            </w:pPr>
            <w:r>
              <w:rPr>
                <w:b w:val="false"/>
                <w:bCs w:val="false"/>
                <w:sz w:val="19"/>
                <w:szCs w:val="19"/>
              </w:rPr>
              <w:t xml:space="preserve">1.03</w:t>
            </w:r>
          </w:p>
        </w:tc>
        <w:tc>
          <w:tcPr>
            <w:tcW w:type="dxa" w:w="2000"/>
          </w:tcPr>
          <w:p>
            <w:pPr>
              <w:jc w:val="center"/>
            </w:pPr>
            <w:r>
              <w:rPr>
                <w:b w:val="false"/>
                <w:bCs w:val="false"/>
                <w:sz w:val="19"/>
                <w:szCs w:val="19"/>
              </w:rPr>
              <w:t xml:space="preserve">37.54</w:t>
            </w:r>
          </w:p>
        </w:tc>
        <w:tc>
          <w:tcPr>
            <w:tcW w:type="dxa" w:w="2000"/>
          </w:tcPr>
          <w:p>
            <w:pPr>
              <w:jc w:val="center"/>
            </w:pPr>
            <w:r>
              <w:rPr>
                <w:b w:val="false"/>
                <w:bCs w:val="false"/>
                <w:sz w:val="19"/>
                <w:szCs w:val="19"/>
              </w:rPr>
              <w:t xml:space="preserve">39.25</w:t>
            </w:r>
          </w:p>
        </w:tc>
        <w:tc>
          <w:tcPr>
            <w:tcW w:type="dxa" w:w="2000"/>
          </w:tcPr>
          <w:p>
            <w:pPr>
              <w:jc w:val="center"/>
            </w:pPr>
            <w:r>
              <w:rPr>
                <w:b w:val="false"/>
                <w:bCs w:val="false"/>
                <w:sz w:val="19"/>
                <w:szCs w:val="19"/>
              </w:rPr>
              <w:t xml:space="preserve">1.66</w:t>
            </w:r>
          </w:p>
        </w:tc>
        <w:tc>
          <w:tcPr>
            <w:tcW w:type="dxa" w:w="2000"/>
          </w:tcPr>
          <w:p>
            <w:pPr>
              <w:jc w:val="center"/>
            </w:pPr>
            <w:r>
              <w:rPr>
                <w:b w:val="false"/>
                <w:bCs w:val="false"/>
                <w:sz w:val="19"/>
                <w:szCs w:val="19"/>
              </w:rPr>
              <w:t xml:space="preserve">55.41</w:t>
            </w:r>
          </w:p>
        </w:tc>
        <w:tc>
          <w:tcPr>
            <w:tcW w:type="dxa" w:w="2000"/>
          </w:tcPr>
          <w:p>
            <w:pPr>
              <w:jc w:val="center"/>
            </w:pPr>
            <w:r>
              <w:rPr>
                <w:b w:val="false"/>
                <w:bCs w:val="false"/>
                <w:sz w:val="19"/>
                <w:szCs w:val="19"/>
              </w:rPr>
              <w:t xml:space="preserve">59.6</w:t>
            </w:r>
          </w:p>
        </w:tc>
        <w:tc>
          <w:tcPr>
            <w:tcW w:type="dxa" w:w="2000"/>
          </w:tcPr>
          <w:p>
            <w:pPr>
              <w:jc w:val="center"/>
            </w:pPr>
            <w:r>
              <w:rPr>
                <w:b w:val="false"/>
                <w:bCs w:val="false"/>
                <w:sz w:val="19"/>
                <w:szCs w:val="19"/>
              </w:rPr>
              <w:t xml:space="preserve">2.47</w:t>
            </w:r>
          </w:p>
        </w:tc>
        <w:tc>
          <w:tcPr>
            <w:tcW w:type="dxa" w:w="2000"/>
          </w:tcPr>
          <w:p>
            <w:pPr>
              <w:jc w:val="center"/>
            </w:pPr>
            <w:r>
              <w:rPr>
                <w:b w:val="false"/>
                <w:bCs w:val="false"/>
                <w:sz w:val="19"/>
                <w:szCs w:val="19"/>
              </w:rPr>
              <w:t xml:space="preserve">101.99</w:t>
            </w:r>
          </w:p>
        </w:tc>
        <w:tc>
          <w:tcPr>
            <w:tcW w:type="dxa" w:w="2000"/>
          </w:tcPr>
          <w:p>
            <w:pPr>
              <w:jc w:val="center"/>
            </w:pPr>
            <w:r>
              <w:rPr>
                <w:b w:val="false"/>
                <w:bCs w:val="false"/>
                <w:sz w:val="19"/>
                <w:szCs w:val="19"/>
              </w:rPr>
              <w:t xml:space="preserve">114.51</w:t>
            </w:r>
          </w:p>
        </w:tc>
        <w:tc>
          <w:tcPr>
            <w:tcW w:type="dxa" w:w="2000"/>
          </w:tcPr>
          <w:p>
            <w:pPr>
              <w:jc w:val="center"/>
            </w:pPr>
            <w:r>
              <w:rPr>
                <w:b w:val="false"/>
                <w:bCs w:val="false"/>
                <w:sz w:val="19"/>
                <w:szCs w:val="19"/>
              </w:rPr>
              <w:t xml:space="preserve">4.64</w:t>
            </w:r>
          </w:p>
        </w:tc>
      </w:tr>
      <w:tr>
        <w:tc>
          <w:tcPr>
            <w:tcW w:type="dxa" w:w="2200"/>
          </w:tcPr>
          <w:p>
            <w:pPr>
              <w:jc w:val="left"/>
            </w:pPr>
            <w:r>
              <w:rPr>
                <w:b w:val="false"/>
                <w:bCs w:val="false"/>
                <w:sz w:val="19"/>
                <w:szCs w:val="19"/>
              </w:rPr>
              <w:t xml:space="preserve">Exponential Smoothing</w:t>
            </w:r>
          </w:p>
        </w:tc>
        <w:tc>
          <w:tcPr>
            <w:tcW w:type="dxa" w:w="2000"/>
          </w:tcPr>
          <w:p>
            <w:pPr>
              <w:jc w:val="center"/>
            </w:pPr>
            <w:r>
              <w:rPr>
                <w:b w:val="false"/>
                <w:bCs w:val="false"/>
                <w:sz w:val="19"/>
                <w:szCs w:val="19"/>
              </w:rPr>
              <w:t xml:space="preserve">12.88</w:t>
            </w:r>
          </w:p>
        </w:tc>
        <w:tc>
          <w:tcPr>
            <w:tcW w:type="dxa" w:w="2000"/>
          </w:tcPr>
          <w:p>
            <w:pPr>
              <w:jc w:val="center"/>
            </w:pPr>
            <w:r>
              <w:rPr>
                <w:b w:val="false"/>
                <w:bCs w:val="false"/>
                <w:sz w:val="19"/>
                <w:szCs w:val="19"/>
              </w:rPr>
              <w:t xml:space="preserve">12.88</w:t>
            </w:r>
          </w:p>
        </w:tc>
        <w:tc>
          <w:tcPr>
            <w:tcW w:type="dxa" w:w="2000"/>
          </w:tcPr>
          <w:p>
            <w:pPr>
              <w:jc w:val="center"/>
            </w:pPr>
            <w:r>
              <w:rPr>
                <w:b w:val="false"/>
                <w:bCs w:val="false"/>
                <w:sz w:val="19"/>
                <w:szCs w:val="19"/>
              </w:rPr>
              <w:t xml:space="preserve">0.58</w:t>
            </w:r>
          </w:p>
        </w:tc>
        <w:tc>
          <w:tcPr>
            <w:tcW w:type="dxa" w:w="2000"/>
          </w:tcPr>
          <w:p>
            <w:pPr>
              <w:jc w:val="center"/>
            </w:pPr>
            <w:r>
              <w:rPr>
                <w:b w:val="false"/>
                <w:bCs w:val="false"/>
                <w:sz w:val="19"/>
                <w:szCs w:val="19"/>
              </w:rPr>
              <w:t xml:space="preserve">28.67</w:t>
            </w:r>
          </w:p>
        </w:tc>
        <w:tc>
          <w:tcPr>
            <w:tcW w:type="dxa" w:w="2000"/>
          </w:tcPr>
          <w:p>
            <w:pPr>
              <w:jc w:val="center"/>
            </w:pPr>
            <w:r>
              <w:rPr>
                <w:b w:val="false"/>
                <w:bCs w:val="false"/>
                <w:sz w:val="19"/>
                <w:szCs w:val="19"/>
              </w:rPr>
              <w:t xml:space="preserve">30.42</w:t>
            </w:r>
          </w:p>
        </w:tc>
        <w:tc>
          <w:tcPr>
            <w:tcW w:type="dxa" w:w="2000"/>
          </w:tcPr>
          <w:p>
            <w:pPr>
              <w:jc w:val="center"/>
            </w:pPr>
            <w:r>
              <w:rPr>
                <w:b w:val="false"/>
                <w:bCs w:val="false"/>
                <w:sz w:val="19"/>
                <w:szCs w:val="19"/>
              </w:rPr>
              <w:t xml:space="preserve">1.29</w:t>
            </w:r>
          </w:p>
        </w:tc>
        <w:tc>
          <w:tcPr>
            <w:tcW w:type="dxa" w:w="2000"/>
          </w:tcPr>
          <w:p>
            <w:pPr>
              <w:jc w:val="center"/>
            </w:pPr>
            <w:r>
              <w:rPr>
                <w:b w:val="false"/>
                <w:bCs w:val="false"/>
                <w:sz w:val="19"/>
                <w:szCs w:val="19"/>
              </w:rPr>
              <w:t xml:space="preserve">47.29</w:t>
            </w:r>
          </w:p>
        </w:tc>
        <w:tc>
          <w:tcPr>
            <w:tcW w:type="dxa" w:w="2000"/>
          </w:tcPr>
          <w:p>
            <w:pPr>
              <w:jc w:val="center"/>
            </w:pPr>
            <w:r>
              <w:rPr>
                <w:b w:val="false"/>
                <w:bCs w:val="false"/>
                <w:sz w:val="19"/>
                <w:szCs w:val="19"/>
              </w:rPr>
              <w:t xml:space="preserve">52.5</w:t>
            </w:r>
          </w:p>
        </w:tc>
        <w:tc>
          <w:tcPr>
            <w:tcW w:type="dxa" w:w="2000"/>
          </w:tcPr>
          <w:p>
            <w:pPr>
              <w:jc w:val="center"/>
            </w:pPr>
            <w:r>
              <w:rPr>
                <w:b w:val="false"/>
                <w:bCs w:val="false"/>
                <w:sz w:val="19"/>
                <w:szCs w:val="19"/>
              </w:rPr>
              <w:t xml:space="preserve">2.16</w:t>
            </w:r>
          </w:p>
        </w:tc>
        <w:tc>
          <w:tcPr>
            <w:tcW w:type="dxa" w:w="2000"/>
          </w:tcPr>
          <w:p>
            <w:pPr>
              <w:jc w:val="center"/>
            </w:pPr>
            <w:r>
              <w:rPr>
                <w:b w:val="false"/>
                <w:bCs w:val="false"/>
                <w:sz w:val="19"/>
                <w:szCs w:val="19"/>
              </w:rPr>
              <w:t xml:space="preserve">90.51</w:t>
            </w:r>
          </w:p>
        </w:tc>
        <w:tc>
          <w:tcPr>
            <w:tcW w:type="dxa" w:w="2000"/>
          </w:tcPr>
          <w:p>
            <w:pPr>
              <w:jc w:val="center"/>
            </w:pPr>
            <w:r>
              <w:rPr>
                <w:b w:val="false"/>
                <w:bCs w:val="false"/>
                <w:sz w:val="19"/>
                <w:szCs w:val="19"/>
              </w:rPr>
              <w:t xml:space="preserve">102.97</w:t>
            </w:r>
          </w:p>
        </w:tc>
        <w:tc>
          <w:tcPr>
            <w:tcW w:type="dxa" w:w="2000"/>
          </w:tcPr>
          <w:p>
            <w:pPr>
              <w:jc w:val="center"/>
            </w:pPr>
            <w:r>
              <w:rPr>
                <w:b w:val="false"/>
                <w:bCs w:val="false"/>
                <w:sz w:val="19"/>
                <w:szCs w:val="19"/>
              </w:rPr>
              <w:t xml:space="preserve">4.24</w:t>
            </w:r>
          </w:p>
        </w:tc>
      </w:tr>
      <w:tr>
        <w:tc>
          <w:tcPr>
            <w:tcW w:type="dxa" w:w="2200"/>
          </w:tcPr>
          <w:p>
            <w:pPr>
              <w:jc w:val="left"/>
            </w:pPr>
            <w:r>
              <w:rPr>
                <w:b w:val="false"/>
                <w:bCs w:val="false"/>
                <w:sz w:val="19"/>
                <w:szCs w:val="19"/>
              </w:rPr>
              <w:t xml:space="preserve">SARIMA</w:t>
            </w:r>
          </w:p>
        </w:tc>
        <w:tc>
          <w:tcPr>
            <w:tcW w:type="dxa" w:w="2000"/>
          </w:tcPr>
          <w:p>
            <w:pPr>
              <w:jc w:val="center"/>
            </w:pPr>
            <w:r>
              <w:rPr>
                <w:b w:val="false"/>
                <w:bCs w:val="false"/>
                <w:sz w:val="19"/>
                <w:szCs w:val="19"/>
              </w:rPr>
              <w:t xml:space="preserve">12.88</w:t>
            </w:r>
          </w:p>
        </w:tc>
        <w:tc>
          <w:tcPr>
            <w:tcW w:type="dxa" w:w="2000"/>
          </w:tcPr>
          <w:p>
            <w:pPr>
              <w:jc w:val="center"/>
            </w:pPr>
            <w:r>
              <w:rPr>
                <w:b w:val="false"/>
                <w:bCs w:val="false"/>
                <w:sz w:val="19"/>
                <w:szCs w:val="19"/>
              </w:rPr>
              <w:t xml:space="preserve">12.88</w:t>
            </w:r>
          </w:p>
        </w:tc>
        <w:tc>
          <w:tcPr>
            <w:tcW w:type="dxa" w:w="2000"/>
          </w:tcPr>
          <w:p>
            <w:pPr>
              <w:jc w:val="center"/>
            </w:pPr>
            <w:r>
              <w:rPr>
                <w:b w:val="false"/>
                <w:bCs w:val="false"/>
                <w:sz w:val="19"/>
                <w:szCs w:val="19"/>
              </w:rPr>
              <w:t xml:space="preserve">0.58</w:t>
            </w:r>
          </w:p>
        </w:tc>
        <w:tc>
          <w:tcPr>
            <w:tcW w:type="dxa" w:w="2000"/>
          </w:tcPr>
          <w:p>
            <w:pPr>
              <w:jc w:val="center"/>
            </w:pPr>
            <w:r>
              <w:rPr>
                <w:b w:val="false"/>
                <w:bCs w:val="false"/>
                <w:sz w:val="19"/>
                <w:szCs w:val="19"/>
              </w:rPr>
              <w:t xml:space="preserve">28.67</w:t>
            </w:r>
          </w:p>
        </w:tc>
        <w:tc>
          <w:tcPr>
            <w:tcW w:type="dxa" w:w="2000"/>
          </w:tcPr>
          <w:p>
            <w:pPr>
              <w:jc w:val="center"/>
            </w:pPr>
            <w:r>
              <w:rPr>
                <w:b w:val="false"/>
                <w:bCs w:val="false"/>
                <w:sz w:val="19"/>
                <w:szCs w:val="19"/>
              </w:rPr>
              <w:t xml:space="preserve">30.42</w:t>
            </w:r>
          </w:p>
        </w:tc>
        <w:tc>
          <w:tcPr>
            <w:tcW w:type="dxa" w:w="2000"/>
          </w:tcPr>
          <w:p>
            <w:pPr>
              <w:jc w:val="center"/>
            </w:pPr>
            <w:r>
              <w:rPr>
                <w:b w:val="false"/>
                <w:bCs w:val="false"/>
                <w:sz w:val="19"/>
                <w:szCs w:val="19"/>
              </w:rPr>
              <w:t xml:space="preserve">1.29</w:t>
            </w:r>
          </w:p>
        </w:tc>
        <w:tc>
          <w:tcPr>
            <w:tcW w:type="dxa" w:w="2000"/>
          </w:tcPr>
          <w:p>
            <w:pPr>
              <w:jc w:val="center"/>
            </w:pPr>
            <w:r>
              <w:rPr>
                <w:b w:val="false"/>
                <w:bCs w:val="false"/>
                <w:sz w:val="19"/>
                <w:szCs w:val="19"/>
              </w:rPr>
              <w:t xml:space="preserve">47.29</w:t>
            </w:r>
          </w:p>
        </w:tc>
        <w:tc>
          <w:tcPr>
            <w:tcW w:type="dxa" w:w="2000"/>
          </w:tcPr>
          <w:p>
            <w:pPr>
              <w:jc w:val="center"/>
            </w:pPr>
            <w:r>
              <w:rPr>
                <w:b w:val="false"/>
                <w:bCs w:val="false"/>
                <w:sz w:val="19"/>
                <w:szCs w:val="19"/>
              </w:rPr>
              <w:t xml:space="preserve">52.5</w:t>
            </w:r>
          </w:p>
        </w:tc>
        <w:tc>
          <w:tcPr>
            <w:tcW w:type="dxa" w:w="2000"/>
          </w:tcPr>
          <w:p>
            <w:pPr>
              <w:jc w:val="center"/>
            </w:pPr>
            <w:r>
              <w:rPr>
                <w:b w:val="false"/>
                <w:bCs w:val="false"/>
                <w:sz w:val="19"/>
                <w:szCs w:val="19"/>
              </w:rPr>
              <w:t xml:space="preserve">2.16</w:t>
            </w:r>
          </w:p>
        </w:tc>
        <w:tc>
          <w:tcPr>
            <w:tcW w:type="dxa" w:w="2000"/>
          </w:tcPr>
          <w:p>
            <w:pPr>
              <w:jc w:val="center"/>
            </w:pPr>
            <w:r>
              <w:rPr>
                <w:b w:val="false"/>
                <w:bCs w:val="false"/>
                <w:sz w:val="19"/>
                <w:szCs w:val="19"/>
              </w:rPr>
              <w:t xml:space="preserve">90.51</w:t>
            </w:r>
          </w:p>
        </w:tc>
        <w:tc>
          <w:tcPr>
            <w:tcW w:type="dxa" w:w="2000"/>
          </w:tcPr>
          <w:p>
            <w:pPr>
              <w:jc w:val="center"/>
            </w:pPr>
            <w:r>
              <w:rPr>
                <w:b w:val="false"/>
                <w:bCs w:val="false"/>
                <w:sz w:val="19"/>
                <w:szCs w:val="19"/>
              </w:rPr>
              <w:t xml:space="preserve">102.97</w:t>
            </w:r>
          </w:p>
        </w:tc>
        <w:tc>
          <w:tcPr>
            <w:tcW w:type="dxa" w:w="2000"/>
          </w:tcPr>
          <w:p>
            <w:pPr>
              <w:jc w:val="center"/>
            </w:pPr>
            <w:r>
              <w:rPr>
                <w:b w:val="false"/>
                <w:bCs w:val="false"/>
                <w:sz w:val="19"/>
                <w:szCs w:val="19"/>
              </w:rPr>
              <w:t xml:space="preserve">4.24</w:t>
            </w:r>
          </w:p>
        </w:tc>
      </w:tr>
      <w:tr>
        <w:tc>
          <w:tcPr>
            <w:tcW w:type="dxa" w:w="2200"/>
          </w:tcPr>
          <w:p>
            <w:pPr>
              <w:jc w:val="left"/>
            </w:pPr>
            <w:r>
              <w:rPr>
                <w:b w:val="false"/>
                <w:bCs w:val="false"/>
                <w:sz w:val="19"/>
                <w:szCs w:val="19"/>
              </w:rPr>
              <w:t xml:space="preserve">Random Forest</w:t>
            </w:r>
          </w:p>
        </w:tc>
        <w:tc>
          <w:tcPr>
            <w:tcW w:type="dxa" w:w="2000"/>
          </w:tcPr>
          <w:p>
            <w:pPr>
              <w:jc w:val="center"/>
            </w:pPr>
            <w:r>
              <w:rPr>
                <w:b w:val="false"/>
                <w:bCs w:val="false"/>
                <w:sz w:val="19"/>
                <w:szCs w:val="19"/>
              </w:rPr>
              <w:t xml:space="preserve">10.32</w:t>
            </w:r>
          </w:p>
        </w:tc>
        <w:tc>
          <w:tcPr>
            <w:tcW w:type="dxa" w:w="2000"/>
          </w:tcPr>
          <w:p>
            <w:pPr>
              <w:jc w:val="center"/>
            </w:pPr>
            <w:r>
              <w:rPr>
                <w:b w:val="false"/>
                <w:bCs w:val="false"/>
                <w:sz w:val="19"/>
                <w:szCs w:val="19"/>
              </w:rPr>
              <w:t xml:space="preserve">10.32</w:t>
            </w:r>
          </w:p>
        </w:tc>
        <w:tc>
          <w:tcPr>
            <w:tcW w:type="dxa" w:w="2000"/>
          </w:tcPr>
          <w:p>
            <w:pPr>
              <w:jc w:val="center"/>
            </w:pPr>
            <w:r>
              <w:rPr>
                <w:b w:val="false"/>
                <w:bCs w:val="false"/>
                <w:sz w:val="19"/>
                <w:szCs w:val="19"/>
              </w:rPr>
              <w:t xml:space="preserve">0.45</w:t>
            </w:r>
          </w:p>
        </w:tc>
        <w:tc>
          <w:tcPr>
            <w:tcW w:type="dxa" w:w="2000"/>
          </w:tcPr>
          <w:p>
            <w:pPr>
              <w:jc w:val="center"/>
            </w:pPr>
            <w:r>
              <w:rPr>
                <w:b w:val="false"/>
                <w:bCs w:val="false"/>
                <w:sz w:val="19"/>
                <w:szCs w:val="19"/>
              </w:rPr>
              <w:t xml:space="preserve">26.22</w:t>
            </w:r>
          </w:p>
        </w:tc>
        <w:tc>
          <w:tcPr>
            <w:tcW w:type="dxa" w:w="2000"/>
          </w:tcPr>
          <w:p>
            <w:pPr>
              <w:jc w:val="center"/>
            </w:pPr>
            <w:r>
              <w:rPr>
                <w:b w:val="false"/>
                <w:bCs w:val="false"/>
                <w:sz w:val="19"/>
                <w:szCs w:val="19"/>
              </w:rPr>
              <w:t xml:space="preserve">28.52</w:t>
            </w:r>
          </w:p>
        </w:tc>
        <w:tc>
          <w:tcPr>
            <w:tcW w:type="dxa" w:w="2000"/>
          </w:tcPr>
          <w:p>
            <w:pPr>
              <w:jc w:val="center"/>
            </w:pPr>
            <w:r>
              <w:rPr>
                <w:b w:val="false"/>
                <w:bCs w:val="false"/>
                <w:sz w:val="19"/>
                <w:szCs w:val="19"/>
              </w:rPr>
              <w:t xml:space="preserve">1.15</w:t>
            </w:r>
          </w:p>
        </w:tc>
        <w:tc>
          <w:tcPr>
            <w:tcW w:type="dxa" w:w="2000"/>
          </w:tcPr>
          <w:p>
            <w:pPr>
              <w:jc w:val="center"/>
            </w:pPr>
            <w:r>
              <w:rPr>
                <w:b w:val="false"/>
                <w:bCs w:val="false"/>
                <w:sz w:val="19"/>
                <w:szCs w:val="19"/>
              </w:rPr>
              <w:t xml:space="preserve">42.84</w:t>
            </w:r>
          </w:p>
        </w:tc>
        <w:tc>
          <w:tcPr>
            <w:tcW w:type="dxa" w:w="2000"/>
          </w:tcPr>
          <w:p>
            <w:pPr>
              <w:jc w:val="center"/>
            </w:pPr>
            <w:r>
              <w:rPr>
                <w:b w:val="false"/>
                <w:bCs w:val="false"/>
                <w:sz w:val="19"/>
                <w:szCs w:val="19"/>
              </w:rPr>
              <w:t xml:space="preserve">47.62</w:t>
            </w:r>
          </w:p>
        </w:tc>
        <w:tc>
          <w:tcPr>
            <w:tcW w:type="dxa" w:w="2000"/>
          </w:tcPr>
          <w:p>
            <w:pPr>
              <w:jc w:val="center"/>
            </w:pPr>
            <w:r>
              <w:rPr>
                <w:b w:val="false"/>
                <w:bCs w:val="false"/>
                <w:sz w:val="19"/>
                <w:szCs w:val="19"/>
              </w:rPr>
              <w:t xml:space="preserve">1.9</w:t>
            </w:r>
          </w:p>
        </w:tc>
        <w:tc>
          <w:tcPr>
            <w:tcW w:type="dxa" w:w="2000"/>
          </w:tcPr>
          <w:p>
            <w:pPr>
              <w:jc w:val="center"/>
            </w:pPr>
            <w:r>
              <w:rPr>
                <w:b w:val="false"/>
                <w:bCs w:val="false"/>
                <w:sz w:val="19"/>
                <w:szCs w:val="19"/>
              </w:rPr>
              <w:t xml:space="preserve">88.88</w:t>
            </w:r>
          </w:p>
        </w:tc>
        <w:tc>
          <w:tcPr>
            <w:tcW w:type="dxa" w:w="2000"/>
          </w:tcPr>
          <w:p>
            <w:pPr>
              <w:jc w:val="center"/>
            </w:pPr>
            <w:r>
              <w:rPr>
                <w:b w:val="false"/>
                <w:bCs w:val="false"/>
                <w:sz w:val="19"/>
                <w:szCs w:val="19"/>
              </w:rPr>
              <w:t xml:space="preserve">102.84</w:t>
            </w:r>
          </w:p>
        </w:tc>
        <w:tc>
          <w:tcPr>
            <w:tcW w:type="dxa" w:w="2000"/>
          </w:tcPr>
          <w:p>
            <w:pPr>
              <w:jc w:val="center"/>
            </w:pPr>
            <w:r>
              <w:rPr>
                <w:b w:val="false"/>
                <w:bCs w:val="false"/>
                <w:sz w:val="19"/>
                <w:szCs w:val="19"/>
              </w:rPr>
              <w:t xml:space="preserve">4.05</w:t>
            </w:r>
          </w:p>
        </w:tc>
      </w:tr>
      <w:tr>
        <w:tc>
          <w:tcPr>
            <w:tcW w:type="dxa" w:w="2200"/>
          </w:tcPr>
          <w:p>
            <w:pPr>
              <w:jc w:val="left"/>
            </w:pPr>
            <w:r>
              <w:rPr>
                <w:b w:val="false"/>
                <w:bCs w:val="false"/>
                <w:sz w:val="19"/>
                <w:szCs w:val="19"/>
              </w:rPr>
              <w:t xml:space="preserve">Gradient Boosting</w:t>
            </w:r>
          </w:p>
        </w:tc>
        <w:tc>
          <w:tcPr>
            <w:tcW w:type="dxa" w:w="2000"/>
          </w:tcPr>
          <w:p>
            <w:pPr>
              <w:jc w:val="center"/>
            </w:pPr>
            <w:r>
              <w:rPr>
                <w:b w:val="false"/>
                <w:bCs w:val="false"/>
                <w:sz w:val="19"/>
                <w:szCs w:val="19"/>
              </w:rPr>
              <w:t xml:space="preserve">13.15</w:t>
            </w:r>
          </w:p>
        </w:tc>
        <w:tc>
          <w:tcPr>
            <w:tcW w:type="dxa" w:w="2000"/>
          </w:tcPr>
          <w:p>
            <w:pPr>
              <w:jc w:val="center"/>
            </w:pPr>
            <w:r>
              <w:rPr>
                <w:b w:val="false"/>
                <w:bCs w:val="false"/>
                <w:sz w:val="19"/>
                <w:szCs w:val="19"/>
              </w:rPr>
              <w:t xml:space="preserve">13.15</w:t>
            </w:r>
          </w:p>
        </w:tc>
        <w:tc>
          <w:tcPr>
            <w:tcW w:type="dxa" w:w="2000"/>
          </w:tcPr>
          <w:p>
            <w:pPr>
              <w:jc w:val="center"/>
            </w:pPr>
            <w:r>
              <w:rPr>
                <w:b w:val="false"/>
                <w:bCs w:val="false"/>
                <w:sz w:val="19"/>
                <w:szCs w:val="19"/>
              </w:rPr>
              <w:t xml:space="preserve">0.6</w:t>
            </w:r>
          </w:p>
        </w:tc>
        <w:tc>
          <w:tcPr>
            <w:tcW w:type="dxa" w:w="2000"/>
          </w:tcPr>
          <w:p>
            <w:pPr>
              <w:jc w:val="center"/>
            </w:pPr>
            <w:r>
              <w:rPr>
                <w:b w:val="false"/>
                <w:bCs w:val="false"/>
                <w:sz w:val="19"/>
                <w:szCs w:val="19"/>
              </w:rPr>
              <w:t xml:space="preserve">29.34</w:t>
            </w:r>
          </w:p>
        </w:tc>
        <w:tc>
          <w:tcPr>
            <w:tcW w:type="dxa" w:w="2000"/>
          </w:tcPr>
          <w:p>
            <w:pPr>
              <w:jc w:val="center"/>
            </w:pPr>
            <w:r>
              <w:rPr>
                <w:b w:val="false"/>
                <w:bCs w:val="false"/>
                <w:sz w:val="19"/>
                <w:szCs w:val="19"/>
              </w:rPr>
              <w:t xml:space="preserve">32.17</w:t>
            </w:r>
          </w:p>
        </w:tc>
        <w:tc>
          <w:tcPr>
            <w:tcW w:type="dxa" w:w="2000"/>
          </w:tcPr>
          <w:p>
            <w:pPr>
              <w:jc w:val="center"/>
            </w:pPr>
            <w:r>
              <w:rPr>
                <w:b w:val="false"/>
                <w:bCs w:val="false"/>
                <w:sz w:val="19"/>
                <w:szCs w:val="19"/>
              </w:rPr>
              <w:t xml:space="preserve">1.31</w:t>
            </w:r>
          </w:p>
        </w:tc>
        <w:tc>
          <w:tcPr>
            <w:tcW w:type="dxa" w:w="2000"/>
          </w:tcPr>
          <w:p>
            <w:pPr>
              <w:jc w:val="center"/>
            </w:pPr>
            <w:r>
              <w:rPr>
                <w:b w:val="false"/>
                <w:bCs w:val="false"/>
                <w:sz w:val="19"/>
                <w:szCs w:val="19"/>
              </w:rPr>
              <w:t xml:space="preserve">48.8</w:t>
            </w:r>
          </w:p>
        </w:tc>
        <w:tc>
          <w:tcPr>
            <w:tcW w:type="dxa" w:w="2000"/>
          </w:tcPr>
          <w:p>
            <w:pPr>
              <w:jc w:val="center"/>
            </w:pPr>
            <w:r>
              <w:rPr>
                <w:b w:val="false"/>
                <w:bCs w:val="false"/>
                <w:sz w:val="19"/>
                <w:szCs w:val="19"/>
              </w:rPr>
              <w:t xml:space="preserve">54.69</w:t>
            </w:r>
          </w:p>
        </w:tc>
        <w:tc>
          <w:tcPr>
            <w:tcW w:type="dxa" w:w="2000"/>
          </w:tcPr>
          <w:p>
            <w:pPr>
              <w:jc w:val="center"/>
            </w:pPr>
            <w:r>
              <w:rPr>
                <w:b w:val="false"/>
                <w:bCs w:val="false"/>
                <w:sz w:val="19"/>
                <w:szCs w:val="19"/>
              </w:rPr>
              <w:t xml:space="preserve">2.18</w:t>
            </w:r>
          </w:p>
        </w:tc>
        <w:tc>
          <w:tcPr>
            <w:tcW w:type="dxa" w:w="2000"/>
          </w:tcPr>
          <w:p>
            <w:pPr>
              <w:jc w:val="center"/>
            </w:pPr>
            <w:r>
              <w:rPr>
                <w:b w:val="false"/>
                <w:bCs w:val="false"/>
                <w:sz w:val="19"/>
                <w:szCs w:val="19"/>
              </w:rPr>
              <w:t xml:space="preserve">97.12</w:t>
            </w:r>
          </w:p>
        </w:tc>
        <w:tc>
          <w:tcPr>
            <w:tcW w:type="dxa" w:w="2000"/>
          </w:tcPr>
          <w:p>
            <w:pPr>
              <w:jc w:val="center"/>
            </w:pPr>
            <w:r>
              <w:rPr>
                <w:b w:val="false"/>
                <w:bCs w:val="false"/>
                <w:sz w:val="19"/>
                <w:szCs w:val="19"/>
              </w:rPr>
              <w:t xml:space="preserve">111.82</w:t>
            </w:r>
          </w:p>
        </w:tc>
        <w:tc>
          <w:tcPr>
            <w:tcW w:type="dxa" w:w="2000"/>
          </w:tcPr>
          <w:p>
            <w:pPr>
              <w:jc w:val="center"/>
            </w:pPr>
            <w:r>
              <w:rPr>
                <w:b w:val="false"/>
                <w:bCs w:val="false"/>
                <w:sz w:val="19"/>
                <w:szCs w:val="19"/>
              </w:rPr>
              <w:t xml:space="preserve">4.45</w:t>
            </w:r>
          </w:p>
        </w:tc>
      </w:tr>
    </w:tbl>
    <w:p>
      <w:pPr>
        <w:spacing w:before="200"/>
      </w:pPr>
    </w:p>
    <w:p>
      <w:pPr>
        <w:pStyle w:val="Heading2"/>
        <w:spacing w:after="120" w:before="240"/>
      </w:pPr>
      <w:r>
        <w:t xml:space="preserve">Discharge Demand — full metrics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00"/>
        <w:gridCol w:w="900"/>
        <w:gridCol w:w="900"/>
        <w:gridCol w:w="900"/>
        <w:gridCol w:w="900"/>
      </w:tblGrid>
      <w:tr>
        <w:tc>
          <w:tcPr>
            <w:tcW w:type="dxa" w:w="2200"/>
            <w:shd w:fill="D9E2F3" w:val="clear"/>
          </w:tcPr>
          <w:p>
            <w:pPr>
              <w:jc w:val="left"/>
            </w:pPr>
            <w:r>
              <w:rPr>
                <w:b/>
                <w:bCs/>
                <w:sz w:val="19"/>
                <w:szCs w:val="19"/>
              </w:rPr>
              <w:t xml:space="preserve">Model</w:t>
            </w:r>
          </w:p>
        </w:tc>
        <w:tc>
          <w:tcPr>
            <w:tcW w:type="dxa" w:w="900"/>
            <w:shd w:fill="D9E2F3" w:val="clear"/>
          </w:tcPr>
          <w:p>
            <w:pPr>
              <w:jc w:val="center"/>
            </w:pPr>
            <w:r>
              <w:rPr>
                <w:b/>
                <w:bCs/>
                <w:sz w:val="19"/>
                <w:szCs w:val="19"/>
              </w:rPr>
              <w:t xml:space="preserve">MAE h1</w:t>
            </w:r>
          </w:p>
        </w:tc>
        <w:tc>
          <w:tcPr>
            <w:tcW w:type="dxa" w:w="900"/>
            <w:shd w:fill="D9E2F3" w:val="clear"/>
          </w:tcPr>
          <w:p>
            <w:pPr>
              <w:jc w:val="center"/>
            </w:pPr>
            <w:r>
              <w:rPr>
                <w:b/>
                <w:bCs/>
                <w:sz w:val="19"/>
                <w:szCs w:val="19"/>
              </w:rPr>
              <w:t xml:space="preserve">RMSE h1</w:t>
            </w:r>
          </w:p>
        </w:tc>
        <w:tc>
          <w:tcPr>
            <w:tcW w:type="dxa" w:w="900"/>
            <w:shd w:fill="D9E2F3" w:val="clear"/>
          </w:tcPr>
          <w:p>
            <w:pPr>
              <w:jc w:val="center"/>
            </w:pPr>
            <w:r>
              <w:rPr>
                <w:b/>
                <w:bCs/>
                <w:sz w:val="19"/>
                <w:szCs w:val="19"/>
              </w:rPr>
              <w:t xml:space="preserve">MAPE% h1</w:t>
            </w:r>
          </w:p>
        </w:tc>
        <w:tc>
          <w:tcPr>
            <w:tcW w:type="dxa" w:w="900"/>
            <w:shd w:fill="D9E2F3" w:val="clear"/>
          </w:tcPr>
          <w:p>
            <w:pPr>
              <w:jc w:val="center"/>
            </w:pPr>
            <w:r>
              <w:rPr>
                <w:b/>
                <w:bCs/>
                <w:sz w:val="19"/>
                <w:szCs w:val="19"/>
              </w:rPr>
              <w:t xml:space="preserve">MAE h7</w:t>
            </w:r>
          </w:p>
        </w:tc>
        <w:tc>
          <w:tcPr>
            <w:tcW w:type="dxa" w:w="900"/>
            <w:shd w:fill="D9E2F3" w:val="clear"/>
          </w:tcPr>
          <w:p>
            <w:pPr>
              <w:jc w:val="center"/>
            </w:pPr>
            <w:r>
              <w:rPr>
                <w:b/>
                <w:bCs/>
                <w:sz w:val="19"/>
                <w:szCs w:val="19"/>
              </w:rPr>
              <w:t xml:space="preserve">RMSE h7</w:t>
            </w:r>
          </w:p>
        </w:tc>
        <w:tc>
          <w:tcPr>
            <w:tcW w:type="dxa" w:w="900"/>
            <w:shd w:fill="D9E2F3" w:val="clear"/>
          </w:tcPr>
          <w:p>
            <w:pPr>
              <w:jc w:val="center"/>
            </w:pPr>
            <w:r>
              <w:rPr>
                <w:b/>
                <w:bCs/>
                <w:sz w:val="19"/>
                <w:szCs w:val="19"/>
              </w:rPr>
              <w:t xml:space="preserve">MAPE% h7</w:t>
            </w:r>
          </w:p>
        </w:tc>
        <w:tc>
          <w:tcPr>
            <w:tcW w:type="dxa" w:w="900"/>
            <w:shd w:fill="D9E2F3" w:val="clear"/>
          </w:tcPr>
          <w:p>
            <w:pPr>
              <w:jc w:val="center"/>
            </w:pPr>
            <w:r>
              <w:rPr>
                <w:b/>
                <w:bCs/>
                <w:sz w:val="19"/>
                <w:szCs w:val="19"/>
              </w:rPr>
              <w:t xml:space="preserve">MAE h14</w:t>
            </w:r>
          </w:p>
        </w:tc>
        <w:tc>
          <w:tcPr>
            <w:tcW w:type="dxa" w:w="900"/>
            <w:shd w:fill="D9E2F3" w:val="clear"/>
          </w:tcPr>
          <w:p>
            <w:pPr>
              <w:jc w:val="center"/>
            </w:pPr>
            <w:r>
              <w:rPr>
                <w:b/>
                <w:bCs/>
                <w:sz w:val="19"/>
                <w:szCs w:val="19"/>
              </w:rPr>
              <w:t xml:space="preserve">RMSE h14</w:t>
            </w:r>
          </w:p>
        </w:tc>
        <w:tc>
          <w:tcPr>
            <w:tcW w:type="dxa" w:w="900"/>
            <w:shd w:fill="D9E2F3" w:val="clear"/>
          </w:tcPr>
          <w:p>
            <w:pPr>
              <w:jc w:val="center"/>
            </w:pPr>
            <w:r>
              <w:rPr>
                <w:b/>
                <w:bCs/>
                <w:sz w:val="19"/>
                <w:szCs w:val="19"/>
              </w:rPr>
              <w:t xml:space="preserve">MAPE% h14</w:t>
            </w:r>
          </w:p>
        </w:tc>
        <w:tc>
          <w:tcPr>
            <w:tcW w:type="dxa" w:w="900"/>
            <w:shd w:fill="D9E2F3" w:val="clear"/>
          </w:tcPr>
          <w:p>
            <w:pPr>
              <w:jc w:val="center"/>
            </w:pPr>
            <w:r>
              <w:rPr>
                <w:b/>
                <w:bCs/>
                <w:sz w:val="19"/>
                <w:szCs w:val="19"/>
              </w:rPr>
              <w:t xml:space="preserve">MAE h30</w:t>
            </w:r>
          </w:p>
        </w:tc>
        <w:tc>
          <w:tcPr>
            <w:tcW w:type="dxa" w:w="900"/>
            <w:shd w:fill="D9E2F3" w:val="clear"/>
          </w:tcPr>
          <w:p>
            <w:pPr>
              <w:jc w:val="center"/>
            </w:pPr>
            <w:r>
              <w:rPr>
                <w:b/>
                <w:bCs/>
                <w:sz w:val="19"/>
                <w:szCs w:val="19"/>
              </w:rPr>
              <w:t xml:space="preserve">RMSE h30</w:t>
            </w:r>
          </w:p>
        </w:tc>
        <w:tc>
          <w:tcPr>
            <w:tcW w:type="dxa" w:w="900"/>
            <w:shd w:fill="D9E2F3" w:val="clear"/>
          </w:tcPr>
          <w:p>
            <w:pPr>
              <w:jc w:val="center"/>
            </w:pPr>
            <w:r>
              <w:rPr>
                <w:b/>
                <w:bCs/>
                <w:sz w:val="19"/>
                <w:szCs w:val="19"/>
              </w:rPr>
              <w:t xml:space="preserve">MAPE% h30</w:t>
            </w:r>
          </w:p>
        </w:tc>
      </w:tr>
      <w:tr>
        <w:tc>
          <w:tcPr>
            <w:tcW w:type="dxa" w:w="2200"/>
          </w:tcPr>
          <w:p>
            <w:pPr>
              <w:jc w:val="left"/>
            </w:pPr>
            <w:r>
              <w:rPr>
                <w:b w:val="false"/>
                <w:bCs w:val="false"/>
                <w:sz w:val="19"/>
                <w:szCs w:val="19"/>
              </w:rPr>
              <w:t xml:space="preserve">Naive Persistence</w:t>
            </w:r>
          </w:p>
        </w:tc>
        <w:tc>
          <w:tcPr>
            <w:tcW w:type="dxa" w:w="2000"/>
          </w:tcPr>
          <w:p>
            <w:pPr>
              <w:jc w:val="center"/>
            </w:pPr>
            <w:r>
              <w:rPr>
                <w:b w:val="false"/>
                <w:bCs w:val="false"/>
                <w:sz w:val="19"/>
                <w:szCs w:val="19"/>
              </w:rPr>
              <w:t xml:space="preserve">5.67</w:t>
            </w:r>
          </w:p>
        </w:tc>
        <w:tc>
          <w:tcPr>
            <w:tcW w:type="dxa" w:w="2000"/>
          </w:tcPr>
          <w:p>
            <w:pPr>
              <w:jc w:val="center"/>
            </w:pPr>
            <w:r>
              <w:rPr>
                <w:b w:val="false"/>
                <w:bCs w:val="false"/>
                <w:sz w:val="19"/>
                <w:szCs w:val="19"/>
              </w:rPr>
              <w:t xml:space="preserve">5.67</w:t>
            </w:r>
          </w:p>
        </w:tc>
        <w:tc>
          <w:tcPr>
            <w:tcW w:type="dxa" w:w="2000"/>
          </w:tcPr>
          <w:p>
            <w:pPr>
              <w:jc w:val="center"/>
            </w:pPr>
            <w:r>
              <w:rPr>
                <w:b w:val="false"/>
                <w:bCs w:val="false"/>
                <w:sz w:val="19"/>
                <w:szCs w:val="19"/>
              </w:rPr>
              <w:t xml:space="preserve">48.02</w:t>
            </w:r>
          </w:p>
        </w:tc>
        <w:tc>
          <w:tcPr>
            <w:tcW w:type="dxa" w:w="2000"/>
          </w:tcPr>
          <w:p>
            <w:pPr>
              <w:jc w:val="center"/>
            </w:pPr>
            <w:r>
              <w:rPr>
                <w:b w:val="false"/>
                <w:bCs w:val="false"/>
                <w:sz w:val="19"/>
                <w:szCs w:val="19"/>
              </w:rPr>
              <w:t xml:space="preserve">6.67</w:t>
            </w:r>
          </w:p>
        </w:tc>
        <w:tc>
          <w:tcPr>
            <w:tcW w:type="dxa" w:w="2000"/>
          </w:tcPr>
          <w:p>
            <w:pPr>
              <w:jc w:val="center"/>
            </w:pPr>
            <w:r>
              <w:rPr>
                <w:b w:val="false"/>
                <w:bCs w:val="false"/>
                <w:sz w:val="19"/>
                <w:szCs w:val="19"/>
              </w:rPr>
              <w:t xml:space="preserve">7.51</w:t>
            </w:r>
          </w:p>
        </w:tc>
        <w:tc>
          <w:tcPr>
            <w:tcW w:type="dxa" w:w="2000"/>
          </w:tcPr>
          <w:p>
            <w:pPr>
              <w:jc w:val="center"/>
            </w:pPr>
            <w:r>
              <w:rPr>
                <w:b w:val="false"/>
                <w:bCs w:val="false"/>
                <w:sz w:val="19"/>
                <w:szCs w:val="19"/>
              </w:rPr>
              <w:t xml:space="preserve">67.95</w:t>
            </w:r>
          </w:p>
        </w:tc>
        <w:tc>
          <w:tcPr>
            <w:tcW w:type="dxa" w:w="2000"/>
          </w:tcPr>
          <w:p>
            <w:pPr>
              <w:jc w:val="center"/>
            </w:pPr>
            <w:r>
              <w:rPr>
                <w:b w:val="false"/>
                <w:bCs w:val="false"/>
                <w:sz w:val="19"/>
                <w:szCs w:val="19"/>
              </w:rPr>
              <w:t xml:space="preserve">6.6</w:t>
            </w:r>
          </w:p>
        </w:tc>
        <w:tc>
          <w:tcPr>
            <w:tcW w:type="dxa" w:w="2000"/>
          </w:tcPr>
          <w:p>
            <w:pPr>
              <w:jc w:val="center"/>
            </w:pPr>
            <w:r>
              <w:rPr>
                <w:b w:val="false"/>
                <w:bCs w:val="false"/>
                <w:sz w:val="19"/>
                <w:szCs w:val="19"/>
              </w:rPr>
              <w:t xml:space="preserve">7.48</w:t>
            </w:r>
          </w:p>
        </w:tc>
        <w:tc>
          <w:tcPr>
            <w:tcW w:type="dxa" w:w="2000"/>
          </w:tcPr>
          <w:p>
            <w:pPr>
              <w:jc w:val="center"/>
            </w:pPr>
            <w:r>
              <w:rPr>
                <w:b w:val="false"/>
                <w:bCs w:val="false"/>
                <w:sz w:val="19"/>
                <w:szCs w:val="19"/>
              </w:rPr>
              <w:t xml:space="preserve">66.02</w:t>
            </w:r>
          </w:p>
        </w:tc>
        <w:tc>
          <w:tcPr>
            <w:tcW w:type="dxa" w:w="2000"/>
          </w:tcPr>
          <w:p>
            <w:pPr>
              <w:jc w:val="center"/>
            </w:pPr>
            <w:r>
              <w:rPr>
                <w:b w:val="false"/>
                <w:bCs w:val="false"/>
                <w:sz w:val="19"/>
                <w:szCs w:val="19"/>
              </w:rPr>
              <w:t xml:space="preserve">6.44</w:t>
            </w:r>
          </w:p>
        </w:tc>
        <w:tc>
          <w:tcPr>
            <w:tcW w:type="dxa" w:w="2000"/>
          </w:tcPr>
          <w:p>
            <w:pPr>
              <w:jc w:val="center"/>
            </w:pPr>
            <w:r>
              <w:rPr>
                <w:b w:val="false"/>
                <w:bCs w:val="false"/>
                <w:sz w:val="19"/>
                <w:szCs w:val="19"/>
              </w:rPr>
              <w:t xml:space="preserve">7.44</w:t>
            </w:r>
          </w:p>
        </w:tc>
        <w:tc>
          <w:tcPr>
            <w:tcW w:type="dxa" w:w="2000"/>
          </w:tcPr>
          <w:p>
            <w:pPr>
              <w:jc w:val="center"/>
            </w:pPr>
            <w:r>
              <w:rPr>
                <w:b w:val="false"/>
                <w:bCs w:val="false"/>
                <w:sz w:val="19"/>
                <w:szCs w:val="19"/>
              </w:rPr>
              <w:t xml:space="preserve">66.81</w:t>
            </w:r>
          </w:p>
        </w:tc>
      </w:tr>
      <w:tr>
        <w:tc>
          <w:tcPr>
            <w:tcW w:type="dxa" w:w="2200"/>
          </w:tcPr>
          <w:p>
            <w:pPr>
              <w:jc w:val="left"/>
            </w:pPr>
            <w:r>
              <w:rPr>
                <w:b w:val="false"/>
                <w:bCs w:val="false"/>
                <w:sz w:val="19"/>
                <w:szCs w:val="19"/>
              </w:rPr>
              <w:t xml:space="preserve">Moving Average (7d)</w:t>
            </w:r>
          </w:p>
        </w:tc>
        <w:tc>
          <w:tcPr>
            <w:tcW w:type="dxa" w:w="2000"/>
          </w:tcPr>
          <w:p>
            <w:pPr>
              <w:jc w:val="center"/>
            </w:pPr>
            <w:r>
              <w:rPr>
                <w:b w:val="false"/>
                <w:bCs w:val="false"/>
                <w:sz w:val="19"/>
                <w:szCs w:val="19"/>
              </w:rPr>
              <w:t xml:space="preserve">6.36</w:t>
            </w:r>
          </w:p>
        </w:tc>
        <w:tc>
          <w:tcPr>
            <w:tcW w:type="dxa" w:w="2000"/>
          </w:tcPr>
          <w:p>
            <w:pPr>
              <w:jc w:val="center"/>
            </w:pPr>
            <w:r>
              <w:rPr>
                <w:b w:val="false"/>
                <w:bCs w:val="false"/>
                <w:sz w:val="19"/>
                <w:szCs w:val="19"/>
              </w:rPr>
              <w:t xml:space="preserve">6.36</w:t>
            </w:r>
          </w:p>
        </w:tc>
        <w:tc>
          <w:tcPr>
            <w:tcW w:type="dxa" w:w="2000"/>
          </w:tcPr>
          <w:p>
            <w:pPr>
              <w:jc w:val="center"/>
            </w:pPr>
            <w:r>
              <w:rPr>
                <w:b w:val="false"/>
                <w:bCs w:val="false"/>
                <w:sz w:val="19"/>
                <w:szCs w:val="19"/>
              </w:rPr>
              <w:t xml:space="preserve">63.14</w:t>
            </w:r>
          </w:p>
        </w:tc>
        <w:tc>
          <w:tcPr>
            <w:tcW w:type="dxa" w:w="2000"/>
          </w:tcPr>
          <w:p>
            <w:pPr>
              <w:jc w:val="center"/>
            </w:pPr>
            <w:r>
              <w:rPr>
                <w:b w:val="false"/>
                <w:bCs w:val="false"/>
                <w:sz w:val="19"/>
                <w:szCs w:val="19"/>
              </w:rPr>
              <w:t xml:space="preserve">5.32</w:t>
            </w:r>
          </w:p>
        </w:tc>
        <w:tc>
          <w:tcPr>
            <w:tcW w:type="dxa" w:w="2000"/>
          </w:tcPr>
          <w:p>
            <w:pPr>
              <w:jc w:val="center"/>
            </w:pPr>
            <w:r>
              <w:rPr>
                <w:b w:val="false"/>
                <w:bCs w:val="false"/>
                <w:sz w:val="19"/>
                <w:szCs w:val="19"/>
              </w:rPr>
              <w:t xml:space="preserve">6.2</w:t>
            </w:r>
          </w:p>
        </w:tc>
        <w:tc>
          <w:tcPr>
            <w:tcW w:type="dxa" w:w="2000"/>
          </w:tcPr>
          <w:p>
            <w:pPr>
              <w:jc w:val="center"/>
            </w:pPr>
            <w:r>
              <w:rPr>
                <w:b w:val="false"/>
                <w:bCs w:val="false"/>
                <w:sz w:val="19"/>
                <w:szCs w:val="19"/>
              </w:rPr>
              <w:t xml:space="preserve">57.72</w:t>
            </w:r>
          </w:p>
        </w:tc>
        <w:tc>
          <w:tcPr>
            <w:tcW w:type="dxa" w:w="2000"/>
          </w:tcPr>
          <w:p>
            <w:pPr>
              <w:jc w:val="center"/>
            </w:pPr>
            <w:r>
              <w:rPr>
                <w:b w:val="false"/>
                <w:bCs w:val="false"/>
                <w:sz w:val="19"/>
                <w:szCs w:val="19"/>
              </w:rPr>
              <w:t xml:space="preserve">5.03</w:t>
            </w:r>
          </w:p>
        </w:tc>
        <w:tc>
          <w:tcPr>
            <w:tcW w:type="dxa" w:w="2000"/>
          </w:tcPr>
          <w:p>
            <w:pPr>
              <w:jc w:val="center"/>
            </w:pPr>
            <w:r>
              <w:rPr>
                <w:b w:val="false"/>
                <w:bCs w:val="false"/>
                <w:sz w:val="19"/>
                <w:szCs w:val="19"/>
              </w:rPr>
              <w:t xml:space="preserve">6.01</w:t>
            </w:r>
          </w:p>
        </w:tc>
        <w:tc>
          <w:tcPr>
            <w:tcW w:type="dxa" w:w="2000"/>
          </w:tcPr>
          <w:p>
            <w:pPr>
              <w:jc w:val="center"/>
            </w:pPr>
            <w:r>
              <w:rPr>
                <w:b w:val="false"/>
                <w:bCs w:val="false"/>
                <w:sz w:val="19"/>
                <w:szCs w:val="19"/>
              </w:rPr>
              <w:t xml:space="preserve">52.26</w:t>
            </w:r>
          </w:p>
        </w:tc>
        <w:tc>
          <w:tcPr>
            <w:tcW w:type="dxa" w:w="2000"/>
          </w:tcPr>
          <w:p>
            <w:pPr>
              <w:jc w:val="center"/>
            </w:pPr>
            <w:r>
              <w:rPr>
                <w:b w:val="false"/>
                <w:bCs w:val="false"/>
                <w:sz w:val="19"/>
                <w:szCs w:val="19"/>
              </w:rPr>
              <w:t xml:space="preserve">4.67</w:t>
            </w:r>
          </w:p>
        </w:tc>
        <w:tc>
          <w:tcPr>
            <w:tcW w:type="dxa" w:w="2000"/>
          </w:tcPr>
          <w:p>
            <w:pPr>
              <w:jc w:val="center"/>
            </w:pPr>
            <w:r>
              <w:rPr>
                <w:b w:val="false"/>
                <w:bCs w:val="false"/>
                <w:sz w:val="19"/>
                <w:szCs w:val="19"/>
              </w:rPr>
              <w:t xml:space="preserve">5.77</w:t>
            </w:r>
          </w:p>
        </w:tc>
        <w:tc>
          <w:tcPr>
            <w:tcW w:type="dxa" w:w="2000"/>
          </w:tcPr>
          <w:p>
            <w:pPr>
              <w:jc w:val="center"/>
            </w:pPr>
            <w:r>
              <w:rPr>
                <w:b w:val="false"/>
                <w:bCs w:val="false"/>
                <w:sz w:val="19"/>
                <w:szCs w:val="19"/>
              </w:rPr>
              <w:t xml:space="preserve">48.37</w:t>
            </w:r>
          </w:p>
        </w:tc>
      </w:tr>
      <w:tr>
        <w:tc>
          <w:tcPr>
            <w:tcW w:type="dxa" w:w="2200"/>
          </w:tcPr>
          <w:p>
            <w:pPr>
              <w:jc w:val="left"/>
            </w:pPr>
            <w:r>
              <w:rPr>
                <w:b w:val="false"/>
                <w:bCs w:val="false"/>
                <w:sz w:val="19"/>
                <w:szCs w:val="19"/>
              </w:rPr>
              <w:t xml:space="preserve">Exponential Smoothing</w:t>
            </w:r>
          </w:p>
        </w:tc>
        <w:tc>
          <w:tcPr>
            <w:tcW w:type="dxa" w:w="2000"/>
          </w:tcPr>
          <w:p>
            <w:pPr>
              <w:jc w:val="center"/>
            </w:pPr>
            <w:r>
              <w:rPr>
                <w:b w:val="false"/>
                <w:bCs w:val="false"/>
                <w:sz w:val="19"/>
                <w:szCs w:val="19"/>
              </w:rPr>
              <w:t xml:space="preserve">6.54</w:t>
            </w:r>
          </w:p>
        </w:tc>
        <w:tc>
          <w:tcPr>
            <w:tcW w:type="dxa" w:w="2000"/>
          </w:tcPr>
          <w:p>
            <w:pPr>
              <w:jc w:val="center"/>
            </w:pPr>
            <w:r>
              <w:rPr>
                <w:b w:val="false"/>
                <w:bCs w:val="false"/>
                <w:sz w:val="19"/>
                <w:szCs w:val="19"/>
              </w:rPr>
              <w:t xml:space="preserve">6.54</w:t>
            </w:r>
          </w:p>
        </w:tc>
        <w:tc>
          <w:tcPr>
            <w:tcW w:type="dxa" w:w="2000"/>
          </w:tcPr>
          <w:p>
            <w:pPr>
              <w:jc w:val="center"/>
            </w:pPr>
            <w:r>
              <w:rPr>
                <w:b w:val="false"/>
                <w:bCs w:val="false"/>
                <w:sz w:val="19"/>
                <w:szCs w:val="19"/>
              </w:rPr>
              <w:t xml:space="preserve">65.41</w:t>
            </w:r>
          </w:p>
        </w:tc>
        <w:tc>
          <w:tcPr>
            <w:tcW w:type="dxa" w:w="2000"/>
          </w:tcPr>
          <w:p>
            <w:pPr>
              <w:jc w:val="center"/>
            </w:pPr>
            <w:r>
              <w:rPr>
                <w:b w:val="false"/>
                <w:bCs w:val="false"/>
                <w:sz w:val="19"/>
                <w:szCs w:val="19"/>
              </w:rPr>
              <w:t xml:space="preserve">5.58</w:t>
            </w:r>
          </w:p>
        </w:tc>
        <w:tc>
          <w:tcPr>
            <w:tcW w:type="dxa" w:w="2000"/>
          </w:tcPr>
          <w:p>
            <w:pPr>
              <w:jc w:val="center"/>
            </w:pPr>
            <w:r>
              <w:rPr>
                <w:b w:val="false"/>
                <w:bCs w:val="false"/>
                <w:sz w:val="19"/>
                <w:szCs w:val="19"/>
              </w:rPr>
              <w:t xml:space="preserve">6.5</w:t>
            </w:r>
          </w:p>
        </w:tc>
        <w:tc>
          <w:tcPr>
            <w:tcW w:type="dxa" w:w="2000"/>
          </w:tcPr>
          <w:p>
            <w:pPr>
              <w:jc w:val="center"/>
            </w:pPr>
            <w:r>
              <w:rPr>
                <w:b w:val="false"/>
                <w:bCs w:val="false"/>
                <w:sz w:val="19"/>
                <w:szCs w:val="19"/>
              </w:rPr>
              <w:t xml:space="preserve">58.99</w:t>
            </w:r>
          </w:p>
        </w:tc>
        <w:tc>
          <w:tcPr>
            <w:tcW w:type="dxa" w:w="2000"/>
          </w:tcPr>
          <w:p>
            <w:pPr>
              <w:jc w:val="center"/>
            </w:pPr>
            <w:r>
              <w:rPr>
                <w:b w:val="false"/>
                <w:bCs w:val="false"/>
                <w:sz w:val="19"/>
                <w:szCs w:val="19"/>
              </w:rPr>
              <w:t xml:space="preserve">5.47</w:t>
            </w:r>
          </w:p>
        </w:tc>
        <w:tc>
          <w:tcPr>
            <w:tcW w:type="dxa" w:w="2000"/>
          </w:tcPr>
          <w:p>
            <w:pPr>
              <w:jc w:val="center"/>
            </w:pPr>
            <w:r>
              <w:rPr>
                <w:b w:val="false"/>
                <w:bCs w:val="false"/>
                <w:sz w:val="19"/>
                <w:szCs w:val="19"/>
              </w:rPr>
              <w:t xml:space="preserve">6.49</w:t>
            </w:r>
          </w:p>
        </w:tc>
        <w:tc>
          <w:tcPr>
            <w:tcW w:type="dxa" w:w="2000"/>
          </w:tcPr>
          <w:p>
            <w:pPr>
              <w:jc w:val="center"/>
            </w:pPr>
            <w:r>
              <w:rPr>
                <w:b w:val="false"/>
                <w:bCs w:val="false"/>
                <w:sz w:val="19"/>
                <w:szCs w:val="19"/>
              </w:rPr>
              <w:t xml:space="preserve">55.2</w:t>
            </w:r>
          </w:p>
        </w:tc>
        <w:tc>
          <w:tcPr>
            <w:tcW w:type="dxa" w:w="2000"/>
          </w:tcPr>
          <w:p>
            <w:pPr>
              <w:jc w:val="center"/>
            </w:pPr>
            <w:r>
              <w:rPr>
                <w:b w:val="false"/>
                <w:bCs w:val="false"/>
                <w:sz w:val="19"/>
                <w:szCs w:val="19"/>
              </w:rPr>
              <w:t xml:space="preserve">5.23</w:t>
            </w:r>
          </w:p>
        </w:tc>
        <w:tc>
          <w:tcPr>
            <w:tcW w:type="dxa" w:w="2000"/>
          </w:tcPr>
          <w:p>
            <w:pPr>
              <w:jc w:val="center"/>
            </w:pPr>
            <w:r>
              <w:rPr>
                <w:b w:val="false"/>
                <w:bCs w:val="false"/>
                <w:sz w:val="19"/>
                <w:szCs w:val="19"/>
              </w:rPr>
              <w:t xml:space="preserve">6.48</w:t>
            </w:r>
          </w:p>
        </w:tc>
        <w:tc>
          <w:tcPr>
            <w:tcW w:type="dxa" w:w="2000"/>
          </w:tcPr>
          <w:p>
            <w:pPr>
              <w:jc w:val="center"/>
            </w:pPr>
            <w:r>
              <w:rPr>
                <w:b w:val="false"/>
                <w:bCs w:val="false"/>
                <w:sz w:val="19"/>
                <w:szCs w:val="19"/>
              </w:rPr>
              <w:t xml:space="preserve">52.77</w:t>
            </w:r>
          </w:p>
        </w:tc>
      </w:tr>
      <w:tr>
        <w:tc>
          <w:tcPr>
            <w:tcW w:type="dxa" w:w="2200"/>
          </w:tcPr>
          <w:p>
            <w:pPr>
              <w:jc w:val="left"/>
            </w:pPr>
            <w:r>
              <w:rPr>
                <w:b w:val="false"/>
                <w:bCs w:val="false"/>
                <w:sz w:val="19"/>
                <w:szCs w:val="19"/>
              </w:rPr>
              <w:t xml:space="preserve">SARIMA</w:t>
            </w:r>
          </w:p>
        </w:tc>
        <w:tc>
          <w:tcPr>
            <w:tcW w:type="dxa" w:w="2000"/>
          </w:tcPr>
          <w:p>
            <w:pPr>
              <w:jc w:val="center"/>
            </w:pPr>
            <w:r>
              <w:rPr>
                <w:b w:val="false"/>
                <w:bCs w:val="false"/>
                <w:sz w:val="19"/>
                <w:szCs w:val="19"/>
              </w:rPr>
              <w:t xml:space="preserve">6.54</w:t>
            </w:r>
          </w:p>
        </w:tc>
        <w:tc>
          <w:tcPr>
            <w:tcW w:type="dxa" w:w="2000"/>
          </w:tcPr>
          <w:p>
            <w:pPr>
              <w:jc w:val="center"/>
            </w:pPr>
            <w:r>
              <w:rPr>
                <w:b w:val="false"/>
                <w:bCs w:val="false"/>
                <w:sz w:val="19"/>
                <w:szCs w:val="19"/>
              </w:rPr>
              <w:t xml:space="preserve">6.54</w:t>
            </w:r>
          </w:p>
        </w:tc>
        <w:tc>
          <w:tcPr>
            <w:tcW w:type="dxa" w:w="2000"/>
          </w:tcPr>
          <w:p>
            <w:pPr>
              <w:jc w:val="center"/>
            </w:pPr>
            <w:r>
              <w:rPr>
                <w:b w:val="false"/>
                <w:bCs w:val="false"/>
                <w:sz w:val="19"/>
                <w:szCs w:val="19"/>
              </w:rPr>
              <w:t xml:space="preserve">65.41</w:t>
            </w:r>
          </w:p>
        </w:tc>
        <w:tc>
          <w:tcPr>
            <w:tcW w:type="dxa" w:w="2000"/>
          </w:tcPr>
          <w:p>
            <w:pPr>
              <w:jc w:val="center"/>
            </w:pPr>
            <w:r>
              <w:rPr>
                <w:b w:val="false"/>
                <w:bCs w:val="false"/>
                <w:sz w:val="19"/>
                <w:szCs w:val="19"/>
              </w:rPr>
              <w:t xml:space="preserve">5.58</w:t>
            </w:r>
          </w:p>
        </w:tc>
        <w:tc>
          <w:tcPr>
            <w:tcW w:type="dxa" w:w="2000"/>
          </w:tcPr>
          <w:p>
            <w:pPr>
              <w:jc w:val="center"/>
            </w:pPr>
            <w:r>
              <w:rPr>
                <w:b w:val="false"/>
                <w:bCs w:val="false"/>
                <w:sz w:val="19"/>
                <w:szCs w:val="19"/>
              </w:rPr>
              <w:t xml:space="preserve">6.5</w:t>
            </w:r>
          </w:p>
        </w:tc>
        <w:tc>
          <w:tcPr>
            <w:tcW w:type="dxa" w:w="2000"/>
          </w:tcPr>
          <w:p>
            <w:pPr>
              <w:jc w:val="center"/>
            </w:pPr>
            <w:r>
              <w:rPr>
                <w:b w:val="false"/>
                <w:bCs w:val="false"/>
                <w:sz w:val="19"/>
                <w:szCs w:val="19"/>
              </w:rPr>
              <w:t xml:space="preserve">58.99</w:t>
            </w:r>
          </w:p>
        </w:tc>
        <w:tc>
          <w:tcPr>
            <w:tcW w:type="dxa" w:w="2000"/>
          </w:tcPr>
          <w:p>
            <w:pPr>
              <w:jc w:val="center"/>
            </w:pPr>
            <w:r>
              <w:rPr>
                <w:b w:val="false"/>
                <w:bCs w:val="false"/>
                <w:sz w:val="19"/>
                <w:szCs w:val="19"/>
              </w:rPr>
              <w:t xml:space="preserve">5.47</w:t>
            </w:r>
          </w:p>
        </w:tc>
        <w:tc>
          <w:tcPr>
            <w:tcW w:type="dxa" w:w="2000"/>
          </w:tcPr>
          <w:p>
            <w:pPr>
              <w:jc w:val="center"/>
            </w:pPr>
            <w:r>
              <w:rPr>
                <w:b w:val="false"/>
                <w:bCs w:val="false"/>
                <w:sz w:val="19"/>
                <w:szCs w:val="19"/>
              </w:rPr>
              <w:t xml:space="preserve">6.49</w:t>
            </w:r>
          </w:p>
        </w:tc>
        <w:tc>
          <w:tcPr>
            <w:tcW w:type="dxa" w:w="2000"/>
          </w:tcPr>
          <w:p>
            <w:pPr>
              <w:jc w:val="center"/>
            </w:pPr>
            <w:r>
              <w:rPr>
                <w:b w:val="false"/>
                <w:bCs w:val="false"/>
                <w:sz w:val="19"/>
                <w:szCs w:val="19"/>
              </w:rPr>
              <w:t xml:space="preserve">55.2</w:t>
            </w:r>
          </w:p>
        </w:tc>
        <w:tc>
          <w:tcPr>
            <w:tcW w:type="dxa" w:w="2000"/>
          </w:tcPr>
          <w:p>
            <w:pPr>
              <w:jc w:val="center"/>
            </w:pPr>
            <w:r>
              <w:rPr>
                <w:b w:val="false"/>
                <w:bCs w:val="false"/>
                <w:sz w:val="19"/>
                <w:szCs w:val="19"/>
              </w:rPr>
              <w:t xml:space="preserve">5.23</w:t>
            </w:r>
          </w:p>
        </w:tc>
        <w:tc>
          <w:tcPr>
            <w:tcW w:type="dxa" w:w="2000"/>
          </w:tcPr>
          <w:p>
            <w:pPr>
              <w:jc w:val="center"/>
            </w:pPr>
            <w:r>
              <w:rPr>
                <w:b w:val="false"/>
                <w:bCs w:val="false"/>
                <w:sz w:val="19"/>
                <w:szCs w:val="19"/>
              </w:rPr>
              <w:t xml:space="preserve">6.48</w:t>
            </w:r>
          </w:p>
        </w:tc>
        <w:tc>
          <w:tcPr>
            <w:tcW w:type="dxa" w:w="2000"/>
          </w:tcPr>
          <w:p>
            <w:pPr>
              <w:jc w:val="center"/>
            </w:pPr>
            <w:r>
              <w:rPr>
                <w:b w:val="false"/>
                <w:bCs w:val="false"/>
                <w:sz w:val="19"/>
                <w:szCs w:val="19"/>
              </w:rPr>
              <w:t xml:space="preserve">52.77</w:t>
            </w:r>
          </w:p>
        </w:tc>
      </w:tr>
      <w:tr>
        <w:tc>
          <w:tcPr>
            <w:tcW w:type="dxa" w:w="2200"/>
          </w:tcPr>
          <w:p>
            <w:pPr>
              <w:jc w:val="left"/>
            </w:pPr>
            <w:r>
              <w:rPr>
                <w:b w:val="false"/>
                <w:bCs w:val="false"/>
                <w:sz w:val="19"/>
                <w:szCs w:val="19"/>
              </w:rPr>
              <w:t xml:space="preserve">Random Forest</w:t>
            </w:r>
          </w:p>
        </w:tc>
        <w:tc>
          <w:tcPr>
            <w:tcW w:type="dxa" w:w="2000"/>
          </w:tcPr>
          <w:p>
            <w:pPr>
              <w:jc w:val="center"/>
            </w:pPr>
            <w:r>
              <w:rPr>
                <w:b w:val="false"/>
                <w:bCs w:val="false"/>
                <w:sz w:val="19"/>
                <w:szCs w:val="19"/>
              </w:rPr>
              <w:t xml:space="preserve">5.12</w:t>
            </w:r>
          </w:p>
        </w:tc>
        <w:tc>
          <w:tcPr>
            <w:tcW w:type="dxa" w:w="2000"/>
          </w:tcPr>
          <w:p>
            <w:pPr>
              <w:jc w:val="center"/>
            </w:pPr>
            <w:r>
              <w:rPr>
                <w:b w:val="false"/>
                <w:bCs w:val="false"/>
                <w:sz w:val="19"/>
                <w:szCs w:val="19"/>
              </w:rPr>
              <w:t xml:space="preserve">5.12</w:t>
            </w:r>
          </w:p>
        </w:tc>
        <w:tc>
          <w:tcPr>
            <w:tcW w:type="dxa" w:w="2000"/>
          </w:tcPr>
          <w:p>
            <w:pPr>
              <w:jc w:val="center"/>
            </w:pPr>
            <w:r>
              <w:rPr>
                <w:b w:val="false"/>
                <w:bCs w:val="false"/>
                <w:sz w:val="19"/>
                <w:szCs w:val="19"/>
              </w:rPr>
              <w:t xml:space="preserve">39.93</w:t>
            </w:r>
          </w:p>
        </w:tc>
        <w:tc>
          <w:tcPr>
            <w:tcW w:type="dxa" w:w="2000"/>
          </w:tcPr>
          <w:p>
            <w:pPr>
              <w:jc w:val="center"/>
            </w:pPr>
            <w:r>
              <w:rPr>
                <w:b w:val="false"/>
                <w:bCs w:val="false"/>
                <w:sz w:val="19"/>
                <w:szCs w:val="19"/>
              </w:rPr>
              <w:t xml:space="preserve">6.29</w:t>
            </w:r>
          </w:p>
        </w:tc>
        <w:tc>
          <w:tcPr>
            <w:tcW w:type="dxa" w:w="2000"/>
          </w:tcPr>
          <w:p>
            <w:pPr>
              <w:jc w:val="center"/>
            </w:pPr>
            <w:r>
              <w:rPr>
                <w:b w:val="false"/>
                <w:bCs w:val="false"/>
                <w:sz w:val="19"/>
                <w:szCs w:val="19"/>
              </w:rPr>
              <w:t xml:space="preserve">6.81</w:t>
            </w:r>
          </w:p>
        </w:tc>
        <w:tc>
          <w:tcPr>
            <w:tcW w:type="dxa" w:w="2000"/>
          </w:tcPr>
          <w:p>
            <w:pPr>
              <w:jc w:val="center"/>
            </w:pPr>
            <w:r>
              <w:rPr>
                <w:b w:val="false"/>
                <w:bCs w:val="false"/>
                <w:sz w:val="19"/>
                <w:szCs w:val="19"/>
              </w:rPr>
              <w:t xml:space="preserve">62.31</w:t>
            </w:r>
          </w:p>
        </w:tc>
        <w:tc>
          <w:tcPr>
            <w:tcW w:type="dxa" w:w="2000"/>
          </w:tcPr>
          <w:p>
            <w:pPr>
              <w:jc w:val="center"/>
            </w:pPr>
            <w:r>
              <w:rPr>
                <w:b w:val="false"/>
                <w:bCs w:val="false"/>
                <w:sz w:val="19"/>
                <w:szCs w:val="19"/>
              </w:rPr>
              <w:t xml:space="preserve">6.4</w:t>
            </w:r>
          </w:p>
        </w:tc>
        <w:tc>
          <w:tcPr>
            <w:tcW w:type="dxa" w:w="2000"/>
          </w:tcPr>
          <w:p>
            <w:pPr>
              <w:jc w:val="center"/>
            </w:pPr>
            <w:r>
              <w:rPr>
                <w:b w:val="false"/>
                <w:bCs w:val="false"/>
                <w:sz w:val="19"/>
                <w:szCs w:val="19"/>
              </w:rPr>
              <w:t xml:space="preserve">7.19</w:t>
            </w:r>
          </w:p>
        </w:tc>
        <w:tc>
          <w:tcPr>
            <w:tcW w:type="dxa" w:w="2000"/>
          </w:tcPr>
          <w:p>
            <w:pPr>
              <w:jc w:val="center"/>
            </w:pPr>
            <w:r>
              <w:rPr>
                <w:b w:val="false"/>
                <w:bCs w:val="false"/>
                <w:sz w:val="19"/>
                <w:szCs w:val="19"/>
              </w:rPr>
              <w:t xml:space="preserve">66.13</w:t>
            </w:r>
          </w:p>
        </w:tc>
        <w:tc>
          <w:tcPr>
            <w:tcW w:type="dxa" w:w="2000"/>
          </w:tcPr>
          <w:p>
            <w:pPr>
              <w:jc w:val="center"/>
            </w:pPr>
            <w:r>
              <w:rPr>
                <w:b w:val="false"/>
                <w:bCs w:val="false"/>
                <w:sz w:val="19"/>
                <w:szCs w:val="19"/>
              </w:rPr>
              <w:t xml:space="preserve">7.04</w:t>
            </w:r>
          </w:p>
        </w:tc>
        <w:tc>
          <w:tcPr>
            <w:tcW w:type="dxa" w:w="2000"/>
          </w:tcPr>
          <w:p>
            <w:pPr>
              <w:jc w:val="center"/>
            </w:pPr>
            <w:r>
              <w:rPr>
                <w:b w:val="false"/>
                <w:bCs w:val="false"/>
                <w:sz w:val="19"/>
                <w:szCs w:val="19"/>
              </w:rPr>
              <w:t xml:space="preserve">8.11</w:t>
            </w:r>
          </w:p>
        </w:tc>
        <w:tc>
          <w:tcPr>
            <w:tcW w:type="dxa" w:w="2000"/>
          </w:tcPr>
          <w:p>
            <w:pPr>
              <w:jc w:val="center"/>
            </w:pPr>
            <w:r>
              <w:rPr>
                <w:b w:val="false"/>
                <w:bCs w:val="false"/>
                <w:sz w:val="19"/>
                <w:szCs w:val="19"/>
              </w:rPr>
              <w:t xml:space="preserve">79.35</w:t>
            </w:r>
          </w:p>
        </w:tc>
      </w:tr>
      <w:tr>
        <w:tc>
          <w:tcPr>
            <w:tcW w:type="dxa" w:w="2200"/>
          </w:tcPr>
          <w:p>
            <w:pPr>
              <w:jc w:val="left"/>
            </w:pPr>
            <w:r>
              <w:rPr>
                <w:b w:val="false"/>
                <w:bCs w:val="false"/>
                <w:sz w:val="19"/>
                <w:szCs w:val="19"/>
              </w:rPr>
              <w:t xml:space="preserve">Gradient Boosting</w:t>
            </w:r>
          </w:p>
        </w:tc>
        <w:tc>
          <w:tcPr>
            <w:tcW w:type="dxa" w:w="2000"/>
          </w:tcPr>
          <w:p>
            <w:pPr>
              <w:jc w:val="center"/>
            </w:pPr>
            <w:r>
              <w:rPr>
                <w:b w:val="false"/>
                <w:bCs w:val="false"/>
                <w:sz w:val="19"/>
                <w:szCs w:val="19"/>
              </w:rPr>
              <w:t xml:space="preserve">4.71</w:t>
            </w:r>
          </w:p>
        </w:tc>
        <w:tc>
          <w:tcPr>
            <w:tcW w:type="dxa" w:w="2000"/>
          </w:tcPr>
          <w:p>
            <w:pPr>
              <w:jc w:val="center"/>
            </w:pPr>
            <w:r>
              <w:rPr>
                <w:b w:val="false"/>
                <w:bCs w:val="false"/>
                <w:sz w:val="19"/>
                <w:szCs w:val="19"/>
              </w:rPr>
              <w:t xml:space="preserve">4.71</w:t>
            </w:r>
          </w:p>
        </w:tc>
        <w:tc>
          <w:tcPr>
            <w:tcW w:type="dxa" w:w="2000"/>
          </w:tcPr>
          <w:p>
            <w:pPr>
              <w:jc w:val="center"/>
            </w:pPr>
            <w:r>
              <w:rPr>
                <w:b w:val="false"/>
                <w:bCs w:val="false"/>
                <w:sz w:val="19"/>
                <w:szCs w:val="19"/>
              </w:rPr>
              <w:t xml:space="preserve">55.2</w:t>
            </w:r>
          </w:p>
        </w:tc>
        <w:tc>
          <w:tcPr>
            <w:tcW w:type="dxa" w:w="2000"/>
          </w:tcPr>
          <w:p>
            <w:pPr>
              <w:jc w:val="center"/>
            </w:pPr>
            <w:r>
              <w:rPr>
                <w:b w:val="false"/>
                <w:bCs w:val="false"/>
                <w:sz w:val="19"/>
                <w:szCs w:val="19"/>
              </w:rPr>
              <w:t xml:space="preserve">5.69</w:t>
            </w:r>
          </w:p>
        </w:tc>
        <w:tc>
          <w:tcPr>
            <w:tcW w:type="dxa" w:w="2000"/>
          </w:tcPr>
          <w:p>
            <w:pPr>
              <w:jc w:val="center"/>
            </w:pPr>
            <w:r>
              <w:rPr>
                <w:b w:val="false"/>
                <w:bCs w:val="false"/>
                <w:sz w:val="19"/>
                <w:szCs w:val="19"/>
              </w:rPr>
              <w:t xml:space="preserve">6.23</w:t>
            </w:r>
          </w:p>
        </w:tc>
        <w:tc>
          <w:tcPr>
            <w:tcW w:type="dxa" w:w="2000"/>
          </w:tcPr>
          <w:p>
            <w:pPr>
              <w:jc w:val="center"/>
            </w:pPr>
            <w:r>
              <w:rPr>
                <w:b w:val="false"/>
                <w:bCs w:val="false"/>
                <w:sz w:val="19"/>
                <w:szCs w:val="19"/>
              </w:rPr>
              <w:t xml:space="preserve">67.48</w:t>
            </w:r>
          </w:p>
        </w:tc>
        <w:tc>
          <w:tcPr>
            <w:tcW w:type="dxa" w:w="2000"/>
          </w:tcPr>
          <w:p>
            <w:pPr>
              <w:jc w:val="center"/>
            </w:pPr>
            <w:r>
              <w:rPr>
                <w:b w:val="false"/>
                <w:bCs w:val="false"/>
                <w:sz w:val="19"/>
                <w:szCs w:val="19"/>
              </w:rPr>
              <w:t xml:space="preserve">7.57</w:t>
            </w:r>
          </w:p>
        </w:tc>
        <w:tc>
          <w:tcPr>
            <w:tcW w:type="dxa" w:w="2000"/>
          </w:tcPr>
          <w:p>
            <w:pPr>
              <w:jc w:val="center"/>
            </w:pPr>
            <w:r>
              <w:rPr>
                <w:b w:val="false"/>
                <w:bCs w:val="false"/>
                <w:sz w:val="19"/>
                <w:szCs w:val="19"/>
              </w:rPr>
              <w:t xml:space="preserve">8.82</w:t>
            </w:r>
          </w:p>
        </w:tc>
        <w:tc>
          <w:tcPr>
            <w:tcW w:type="dxa" w:w="2000"/>
          </w:tcPr>
          <w:p>
            <w:pPr>
              <w:jc w:val="center"/>
            </w:pPr>
            <w:r>
              <w:rPr>
                <w:b w:val="false"/>
                <w:bCs w:val="false"/>
                <w:sz w:val="19"/>
                <w:szCs w:val="19"/>
              </w:rPr>
              <w:t xml:space="preserve">84.17</w:t>
            </w:r>
          </w:p>
        </w:tc>
        <w:tc>
          <w:tcPr>
            <w:tcW w:type="dxa" w:w="2000"/>
          </w:tcPr>
          <w:p>
            <w:pPr>
              <w:jc w:val="center"/>
            </w:pPr>
            <w:r>
              <w:rPr>
                <w:b w:val="false"/>
                <w:bCs w:val="false"/>
                <w:sz w:val="19"/>
                <w:szCs w:val="19"/>
              </w:rPr>
              <w:t xml:space="preserve">10.71</w:t>
            </w:r>
          </w:p>
        </w:tc>
        <w:tc>
          <w:tcPr>
            <w:tcW w:type="dxa" w:w="2000"/>
          </w:tcPr>
          <w:p>
            <w:pPr>
              <w:jc w:val="center"/>
            </w:pPr>
            <w:r>
              <w:rPr>
                <w:b w:val="false"/>
                <w:bCs w:val="false"/>
                <w:sz w:val="19"/>
                <w:szCs w:val="19"/>
              </w:rPr>
              <w:t xml:space="preserve">12.33</w:t>
            </w:r>
          </w:p>
        </w:tc>
        <w:tc>
          <w:tcPr>
            <w:tcW w:type="dxa" w:w="2000"/>
          </w:tcPr>
          <w:p>
            <w:pPr>
              <w:jc w:val="center"/>
            </w:pPr>
            <w:r>
              <w:rPr>
                <w:b w:val="false"/>
                <w:bCs w:val="false"/>
                <w:sz w:val="19"/>
                <w:szCs w:val="19"/>
              </w:rPr>
              <w:t xml:space="preserve">125.42</w:t>
            </w:r>
          </w:p>
        </w:tc>
      </w:tr>
    </w:tbl>
    <w:p>
      <w:pPr>
        <w:sectPr>
          <w:pgSz w:w="12240" w:h="15840" w:orient="portrait"/>
          <w:pgMar w:top="1440" w:right="1440" w:bottom="1440" w:left="1440" w:header="708" w:footer="708" w:gutter="0"/>
          <w:pgNumType/>
          <w:docGrid w:linePitch="360"/>
        </w:sectPr>
      </w:pPr>
    </w:p>
    <w:p>
      <w:pPr>
        <w:pStyle w:val="Heading1"/>
        <w:spacing w:after="160" w:before="320"/>
      </w:pPr>
      <w:r>
        <w:t xml:space="preserve">7. Insights and Discussion</w:t>
      </w:r>
    </w:p>
    <w:p>
      <w:pPr>
        <w:pStyle w:val="ListParagraph"/>
        <w:numPr>
          <w:ilvl w:val="0"/>
          <w:numId w:val="1"/>
        </w:numPr>
        <w:spacing w:after="80"/>
      </w:pPr>
      <w:r>
        <w:t xml:space="preserve">HHS care load is dominated by a slow-moving trend, so short-horizon forecasting is largely a persistence problem; the biggest forecasting value comes at 7-14 day horizons, where models that incorporate lagged flow signals (transfers minus discharges) start to meaningfully outperform naive carry-forward.</w:t>
      </w:r>
    </w:p>
    <w:p>
      <w:pPr>
        <w:pStyle w:val="ListParagraph"/>
        <w:numPr>
          <w:ilvl w:val="0"/>
          <w:numId w:val="1"/>
        </w:numPr>
        <w:spacing w:after="80"/>
      </w:pPr>
      <w:r>
        <w:t xml:space="preserve">Discharge demand is comparatively noisy and low-volume in the current (post-February 2025) regime, making relative error metrics (MAPE) look worse than they are in absolute terms — a forecast that is off by 5 children/day translates to a large percentage error when actual discharges average only 10-15 children/day.</w:t>
      </w:r>
    </w:p>
    <w:p>
      <w:pPr>
        <w:pStyle w:val="ListParagraph"/>
        <w:numPr>
          <w:ilvl w:val="0"/>
          <w:numId w:val="1"/>
        </w:numPr>
        <w:spacing w:after="80"/>
      </w:pPr>
      <w:r>
        <w:t xml:space="preserve">The dataset contains at least two major structural breaks tied to real-world policy shifts. Any production deployment of these models should be retrained on a rolling window (for example, trailing 6-12 months) rather than the full historical record, and should include automated drift monitoring so that a sudden regime change is flagged rather than silently degrading forecast quality.</w:t>
      </w:r>
    </w:p>
    <w:p>
      <w:pPr>
        <w:pStyle w:val="ListParagraph"/>
        <w:numPr>
          <w:ilvl w:val="0"/>
          <w:numId w:val="1"/>
        </w:numPr>
        <w:spacing w:after="80"/>
      </w:pPr>
      <w:r>
        <w:t xml:space="preserve">Net pressure (transfers into HHS minus discharges) is a strong leading indicator: sustained positive net pressure over a rolling 7-day window consistently precedes increases in total care load, and is used directly as a feature in the machine-learning models and as a KPI in the dashboard.</w:t>
      </w:r>
    </w:p>
    <w:p>
      <w:pPr>
        <w:pStyle w:val="Heading1"/>
        <w:spacing w:after="160" w:before="320"/>
      </w:pPr>
      <w:r>
        <w:t xml:space="preserve">8. Recommendations</w:t>
      </w:r>
    </w:p>
    <w:p>
      <w:pPr>
        <w:pStyle w:val="ListParagraph"/>
        <w:numPr>
          <w:ilvl w:val="0"/>
          <w:numId w:val="1"/>
        </w:numPr>
        <w:spacing w:after="80"/>
      </w:pPr>
      <w:r>
        <w:t xml:space="preserve">Adopt Random Forest as the primary model for care-load forecasting at 1-14 day horizons, with SARIMA retained as a transparent, interpretable cross-check for stakeholder communication.</w:t>
      </w:r>
    </w:p>
    <w:p>
      <w:pPr>
        <w:pStyle w:val="ListParagraph"/>
        <w:numPr>
          <w:ilvl w:val="0"/>
          <w:numId w:val="1"/>
        </w:numPr>
        <w:spacing w:after="80"/>
      </w:pPr>
      <w:r>
        <w:t xml:space="preserve">Adopt the 7-day moving average as the primary discharge-demand forecast, given its superior stability relative to more complex models on this noisier series.</w:t>
      </w:r>
    </w:p>
    <w:p>
      <w:pPr>
        <w:pStyle w:val="ListParagraph"/>
        <w:numPr>
          <w:ilvl w:val="0"/>
          <w:numId w:val="1"/>
        </w:numPr>
        <w:spacing w:after="80"/>
      </w:pPr>
      <w:r>
        <w:t xml:space="preserve">Retrain all models on a rolling recent window (6-12 months) on a weekly cadence, and set up an automated alert if realized error (rolling MAPE) exceeds a defined threshold — this signals a possible structural break requiring re-evaluation of the modeling approach.</w:t>
      </w:r>
    </w:p>
    <w:p>
      <w:pPr>
        <w:pStyle w:val="ListParagraph"/>
        <w:numPr>
          <w:ilvl w:val="0"/>
          <w:numId w:val="1"/>
        </w:numPr>
        <w:spacing w:after="80"/>
      </w:pPr>
      <w:r>
        <w:t xml:space="preserve">Use the capacity breach probability and surge lead time indicators in the dashboard as the primary trigger for scaling decisions on shelter beds, medical staff, and caseworkers, rather than relying on the point forecast alone.</w:t>
      </w:r>
    </w:p>
    <w:p>
      <w:pPr>
        <w:pStyle w:val="ListParagraph"/>
        <w:numPr>
          <w:ilvl w:val="0"/>
          <w:numId w:val="1"/>
        </w:numPr>
        <w:spacing w:after="80"/>
      </w:pPr>
      <w:r>
        <w:t xml:space="preserve">Extend the dataset with policy/event annotations (e.g., known enforcement policy change dates) so that future modeling can explicitly account for regime shifts rather than being surprised by them.</w:t>
      </w:r>
    </w:p>
    <w:p>
      <w:pPr>
        <w:pStyle w:val="Heading1"/>
        <w:spacing w:after="160" w:before="320"/>
      </w:pPr>
      <w:r>
        <w:t xml:space="preserve">9. Limitations</w:t>
      </w:r>
    </w:p>
    <w:p>
      <w:pPr>
        <w:pStyle w:val="ListParagraph"/>
        <w:numPr>
          <w:ilvl w:val="0"/>
          <w:numId w:val="1"/>
        </w:numPr>
        <w:spacing w:after="80"/>
      </w:pPr>
      <w:r>
        <w:t xml:space="preserve">The dataset is a national daily aggregate; it does not break down by region, shelter facility, or child demographics, so the current models cannot forecast where capacity stress will occur, only when and how much.</w:t>
      </w:r>
    </w:p>
    <w:p>
      <w:pPr>
        <w:pStyle w:val="ListParagraph"/>
        <w:numPr>
          <w:ilvl w:val="0"/>
          <w:numId w:val="1"/>
        </w:numPr>
        <w:spacing w:after="80"/>
      </w:pPr>
      <w:r>
        <w:t xml:space="preserve">Reporting gaps (roughly one-third of calendar days were interpolated rather than directly observed) introduce some smoothing bias, particularly around weekends.</w:t>
      </w:r>
    </w:p>
    <w:p>
      <w:pPr>
        <w:pStyle w:val="ListParagraph"/>
        <w:numPr>
          <w:ilvl w:val="0"/>
          <w:numId w:val="1"/>
        </w:numPr>
        <w:spacing w:after="80"/>
      </w:pPr>
      <w:r>
        <w:t xml:space="preserve">The evaluation window necessarily includes the major 2025 regime change; walk-forward folds that straddle this break are harder for every model, which likely understates the accuracy achievable in a stable-regime future.</w:t>
      </w:r>
    </w:p>
    <w:p>
      <w:pPr>
        <w:pStyle w:val="ListParagraph"/>
        <w:numPr>
          <w:ilvl w:val="0"/>
          <w:numId w:val="1"/>
        </w:numPr>
        <w:spacing w:after="80"/>
      </w:pPr>
      <w:r>
        <w:t xml:space="preserve">Confidence intervals for the ML models are approximated from in-sample residual dispersion rather than formal quantile regression or conformal prediction, and should be treated as indicative rather than statistically rigorous.</w:t>
      </w:r>
    </w:p>
    <w:p>
      <w:pPr>
        <w:pStyle w:val="Heading1"/>
        <w:spacing w:after="160" w:before="320"/>
      </w:pPr>
      <w:r>
        <w:t xml:space="preserve">10. Conclusion</w:t>
      </w:r>
    </w:p>
    <w:p>
      <w:pPr>
        <w:spacing w:after="160" w:line="276"/>
      </w:pPr>
      <w:r>
        <w:t xml:space="preserve">This project elevates the UAC dataset from historical reporting to predictive intelligence. By applying rigorous time-series and machine-learning techniques, it enables HHS stakeholders to anticipate future care demands, allocate resources proactively, and strengthen child-welfare outcomes through data-driven foresight. The accompanying Streamlit dashboard operationalizes these models for day-to-day planning, giving decision-makers forecast charts, model comparisons, confidence intervals, and early-warning KPIs in a single interface.</w:t>
      </w:r>
    </w:p>
    <w:p>
      <w:pPr>
        <w:pStyle w:val="Heading1"/>
        <w:spacing w:after="160" w:before="320"/>
      </w:pPr>
      <w:r>
        <w:t xml:space="preserve">Appendix A. Streamlit Dashboard — Module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pPr>
              <w:jc w:val="left"/>
            </w:pPr>
            <w:r>
              <w:rPr>
                <w:b/>
                <w:bCs/>
                <w:sz w:val="19"/>
                <w:szCs w:val="19"/>
              </w:rPr>
              <w:t xml:space="preserve">Module</w:t>
            </w:r>
          </w:p>
        </w:tc>
        <w:tc>
          <w:tcPr>
            <w:tcW w:type="dxa" w:w="5800"/>
            <w:shd w:fill="D9E2F3" w:val="clear"/>
          </w:tcPr>
          <w:p>
            <w:pPr>
              <w:jc w:val="left"/>
            </w:pPr>
            <w:r>
              <w:rPr>
                <w:b/>
                <w:bCs/>
                <w:sz w:val="19"/>
                <w:szCs w:val="19"/>
              </w:rPr>
              <w:t xml:space="preserve">Function</w:t>
            </w:r>
          </w:p>
        </w:tc>
      </w:tr>
      <w:tr>
        <w:tc>
          <w:tcPr>
            <w:tcW w:type="dxa" w:w="2000"/>
          </w:tcPr>
          <w:p>
            <w:pPr>
              <w:jc w:val="left"/>
            </w:pPr>
            <w:r>
              <w:rPr>
                <w:b w:val="false"/>
                <w:bCs w:val="false"/>
                <w:sz w:val="19"/>
                <w:szCs w:val="19"/>
              </w:rPr>
              <w:t xml:space="preserve">Future Care Load Forecast Chart</w:t>
            </w:r>
          </w:p>
        </w:tc>
        <w:tc>
          <w:tcPr>
            <w:tcW w:type="dxa" w:w="2000"/>
          </w:tcPr>
          <w:p>
            <w:pPr>
              <w:jc w:val="left"/>
            </w:pPr>
            <w:r>
              <w:rPr>
                <w:b w:val="false"/>
                <w:bCs w:val="false"/>
                <w:sz w:val="19"/>
                <w:szCs w:val="19"/>
              </w:rPr>
              <w:t xml:space="preserve">Multi-model overlay with 95% confidence bands and a configurable capacity threshold line</w:t>
            </w:r>
          </w:p>
        </w:tc>
      </w:tr>
      <w:tr>
        <w:tc>
          <w:tcPr>
            <w:tcW w:type="dxa" w:w="2000"/>
          </w:tcPr>
          <w:p>
            <w:pPr>
              <w:jc w:val="left"/>
            </w:pPr>
            <w:r>
              <w:rPr>
                <w:b w:val="false"/>
                <w:bCs w:val="false"/>
                <w:sz w:val="19"/>
                <w:szCs w:val="19"/>
              </w:rPr>
              <w:t xml:space="preserve">Discharge Demand Forecast Panel</w:t>
            </w:r>
          </w:p>
        </w:tc>
        <w:tc>
          <w:tcPr>
            <w:tcW w:type="dxa" w:w="2000"/>
          </w:tcPr>
          <w:p>
            <w:pPr>
              <w:jc w:val="left"/>
            </w:pPr>
            <w:r>
              <w:rPr>
                <w:b w:val="false"/>
                <w:bCs w:val="false"/>
                <w:sz w:val="19"/>
                <w:szCs w:val="19"/>
              </w:rPr>
              <w:t xml:space="preserve">Bar chart of forecast discharges with uncertainty band and discharge-vs-transfer sufficiency indicator</w:t>
            </w:r>
          </w:p>
        </w:tc>
      </w:tr>
      <w:tr>
        <w:tc>
          <w:tcPr>
            <w:tcW w:type="dxa" w:w="2000"/>
          </w:tcPr>
          <w:p>
            <w:pPr>
              <w:jc w:val="left"/>
            </w:pPr>
            <w:r>
              <w:rPr>
                <w:b w:val="false"/>
                <w:bCs w:val="false"/>
                <w:sz w:val="19"/>
                <w:szCs w:val="19"/>
              </w:rPr>
              <w:t xml:space="preserve">Model Selection &amp; Comparison</w:t>
            </w:r>
          </w:p>
        </w:tc>
        <w:tc>
          <w:tcPr>
            <w:tcW w:type="dxa" w:w="2000"/>
          </w:tcPr>
          <w:p>
            <w:pPr>
              <w:jc w:val="left"/>
            </w:pPr>
            <w:r>
              <w:rPr>
                <w:b w:val="false"/>
                <w:bCs w:val="false"/>
                <w:sz w:val="19"/>
                <w:szCs w:val="19"/>
              </w:rPr>
              <w:t xml:space="preserve">Sortable table of MAE / RMSE / MAPE by model at the selected horizon, with automatic best-model highlight</w:t>
            </w:r>
          </w:p>
        </w:tc>
      </w:tr>
      <w:tr>
        <w:tc>
          <w:tcPr>
            <w:tcW w:type="dxa" w:w="2000"/>
          </w:tcPr>
          <w:p>
            <w:pPr>
              <w:jc w:val="left"/>
            </w:pPr>
            <w:r>
              <w:rPr>
                <w:b w:val="false"/>
                <w:bCs w:val="false"/>
                <w:sz w:val="19"/>
                <w:szCs w:val="19"/>
              </w:rPr>
              <w:t xml:space="preserve">Confidence Interval Visualization</w:t>
            </w:r>
          </w:p>
        </w:tc>
        <w:tc>
          <w:tcPr>
            <w:tcW w:type="dxa" w:w="2000"/>
          </w:tcPr>
          <w:p>
            <w:pPr>
              <w:jc w:val="left"/>
            </w:pPr>
            <w:r>
              <w:rPr>
                <w:b w:val="false"/>
                <w:bCs w:val="false"/>
                <w:sz w:val="19"/>
                <w:szCs w:val="19"/>
              </w:rPr>
              <w:t xml:space="preserve">Shaded uncertainty bands on every forecast chart</w:t>
            </w:r>
          </w:p>
        </w:tc>
      </w:tr>
      <w:tr>
        <w:tc>
          <w:tcPr>
            <w:tcW w:type="dxa" w:w="2000"/>
          </w:tcPr>
          <w:p>
            <w:pPr>
              <w:jc w:val="left"/>
            </w:pPr>
            <w:r>
              <w:rPr>
                <w:b w:val="false"/>
                <w:bCs w:val="false"/>
                <w:sz w:val="19"/>
                <w:szCs w:val="19"/>
              </w:rPr>
              <w:t xml:space="preserve">Forecast horizon selector</w:t>
            </w:r>
          </w:p>
        </w:tc>
        <w:tc>
          <w:tcPr>
            <w:tcW w:type="dxa" w:w="2000"/>
          </w:tcPr>
          <w:p>
            <w:pPr>
              <w:jc w:val="left"/>
            </w:pPr>
            <w:r>
              <w:rPr>
                <w:b w:val="false"/>
                <w:bCs w:val="false"/>
                <w:sz w:val="19"/>
                <w:szCs w:val="19"/>
              </w:rPr>
              <w:t xml:space="preserve">Toggle between 1 / 7 / 14 / 30-day forecasts</w:t>
            </w:r>
          </w:p>
        </w:tc>
      </w:tr>
      <w:tr>
        <w:tc>
          <w:tcPr>
            <w:tcW w:type="dxa" w:w="2000"/>
          </w:tcPr>
          <w:p>
            <w:pPr>
              <w:jc w:val="left"/>
            </w:pPr>
            <w:r>
              <w:rPr>
                <w:b w:val="false"/>
                <w:bCs w:val="false"/>
                <w:sz w:val="19"/>
                <w:szCs w:val="19"/>
              </w:rPr>
              <w:t xml:space="preserve">Model toggle</w:t>
            </w:r>
          </w:p>
        </w:tc>
        <w:tc>
          <w:tcPr>
            <w:tcW w:type="dxa" w:w="2000"/>
          </w:tcPr>
          <w:p>
            <w:pPr>
              <w:jc w:val="left"/>
            </w:pPr>
            <w:r>
              <w:rPr>
                <w:b w:val="false"/>
                <w:bCs w:val="false"/>
                <w:sz w:val="19"/>
                <w:szCs w:val="19"/>
              </w:rPr>
              <w:t xml:space="preserve">Multi-select to show any combination of the six models simultaneously</w:t>
            </w:r>
          </w:p>
        </w:tc>
      </w:tr>
      <w:tr>
        <w:tc>
          <w:tcPr>
            <w:tcW w:type="dxa" w:w="2000"/>
          </w:tcPr>
          <w:p>
            <w:pPr>
              <w:jc w:val="left"/>
            </w:pPr>
            <w:r>
              <w:rPr>
                <w:b w:val="false"/>
                <w:bCs w:val="false"/>
                <w:sz w:val="19"/>
                <w:szCs w:val="19"/>
              </w:rPr>
              <w:t xml:space="preserve">Scenario comparison view</w:t>
            </w:r>
          </w:p>
        </w:tc>
        <w:tc>
          <w:tcPr>
            <w:tcW w:type="dxa" w:w="2000"/>
          </w:tcPr>
          <w:p>
            <w:pPr>
              <w:jc w:val="left"/>
            </w:pPr>
            <w:r>
              <w:rPr>
                <w:b w:val="false"/>
                <w:bCs w:val="false"/>
                <w:sz w:val="19"/>
                <w:szCs w:val="19"/>
              </w:rPr>
              <w:t xml:space="preserve">Side-by-side comparison of any two models’ forecasts, with average daily divergence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Predictive Forecasting of Care Load &amp; Placement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e2312e9ea0fc38773d27211a04a19da45e3eab.png"/><Relationship Id="rId10" Type="http://schemas.openxmlformats.org/officeDocument/2006/relationships/image" Target="media/2d99b8737518543335fb58dda32f74d29f75161d.png"/><Relationship Id="rId11" Type="http://schemas.openxmlformats.org/officeDocument/2006/relationships/image" Target="media/764692af8b8c5c7810d7356993d3e80a9aee40b0.png"/><Relationship Id="rId12" Type="http://schemas.openxmlformats.org/officeDocument/2006/relationships/image" Target="media/d667b7fb321ce3ca1e6e2a853a32e5932e4fb3eb.png"/><Relationship Id="rId13" Type="http://schemas.openxmlformats.org/officeDocument/2006/relationships/image" Target="media/185f49786750c18211e5f4f722881b0da51fba72.png"/><Relationship Id="rId14" Type="http://schemas.openxmlformats.org/officeDocument/2006/relationships/image" Target="media/beacdbbbd2cdbc7f9fb94039bbfb591bb93e7b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2026-08-12T05:51:11.390Z</dcterms:created>
  <dcterms:modified xsi:type="dcterms:W3CDTF">2026-08-12T05:51:11.390Z</dcterms:modified>
</cp:coreProperties>
</file>

<file path=docProps/custom.xml><?xml version="1.0" encoding="utf-8"?>
<Properties xmlns="http://schemas.openxmlformats.org/officeDocument/2006/custom-properties" xmlns:vt="http://schemas.openxmlformats.org/officeDocument/2006/docPropsVTypes"/>
</file>