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Analyst Working Notes</w:t>
      </w:r>
    </w:p>
    <w:p>
      <w:pPr>
        <w:jc w:val="center"/>
      </w:pPr>
      <w:r>
        <w:rPr>
          <w:i/>
          <w:sz w:val="18"/>
        </w:rPr>
        <w:t>Fictional interview dataset for evaluation purposes only.</w:t>
      </w:r>
    </w:p>
    <w:p>
      <w:pPr>
        <w:pStyle w:val="Heading2"/>
      </w:pPr>
      <w:r>
        <w:t>Case log extracts</w:t>
      </w:r>
    </w:p>
    <w:p>
      <w:r>
        <w:t>CAND-102: Utility bill is older than 90 days relative to analyst review on 2026-02-04. Need fresher address proof. Provisional start approved, but closure not permitted.</w:t>
      </w:r>
    </w:p>
    <w:p>
      <w:r>
        <w:t>CAND-104: Address proof not scanned into folder. Analyst recalled seeing a council tax letter during live video call, but no copy retained. Prior employment coverage incomplete; verbal confirmation from manager does not satisfy policy.</w:t>
      </w:r>
    </w:p>
    <w:p>
      <w:r>
        <w:t>CAND-105: Candidate referenced updated visa and police certificate in email, but no files were stored in case folder. Cannot verify. Missing 18 months employment history.</w:t>
      </w:r>
    </w:p>
    <w:p>
      <w:r>
        <w:t>CAND-106: Recruiter believes limited-company structure removes individual right-to-work requirement. Policy does not state this.</w:t>
      </w:r>
    </w:p>
    <w:p>
      <w:pPr>
        <w:pStyle w:val="Heading2"/>
      </w:pPr>
      <w:r>
        <w:t>Review dates</w:t>
      </w:r>
    </w:p>
    <w:p>
      <w:r>
        <w:t>Primary analyst reviews were performed between 2026-02-03 and 2026-03-03 depending on case.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