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8E34" w14:textId="77777777" w:rsidR="00163792" w:rsidRPr="00EE426C" w:rsidRDefault="00163792" w:rsidP="00163792">
      <w:pPr>
        <w:pStyle w:val="papertitle"/>
      </w:pPr>
      <w:r w:rsidRPr="00AE11D4">
        <w:t>Prana-Emotion Coupling in Sagarbha and Agarbha Pranayama: A Conceptual Review Through Indian Knowledge Systems</w:t>
      </w:r>
    </w:p>
    <w:p w14:paraId="73C73C73" w14:textId="0973A154" w:rsidR="00163792" w:rsidRPr="00937C10" w:rsidRDefault="00937C10" w:rsidP="00163792">
      <w:pPr>
        <w:pStyle w:val="author"/>
      </w:pPr>
      <w:r w:rsidRPr="00937C10">
        <w:t>Rudrakshi Tomar</w:t>
      </w:r>
      <w:r w:rsidR="00163792" w:rsidRPr="00937C10">
        <w:rPr>
          <w:vertAlign w:val="superscript"/>
        </w:rPr>
        <w:t>1</w:t>
      </w:r>
      <w:r w:rsidR="00163792" w:rsidRPr="00937C10">
        <w:t xml:space="preserve">, </w:t>
      </w:r>
      <w:r w:rsidRPr="00937C10">
        <w:t>Satyam Tiwari</w:t>
      </w:r>
      <w:r w:rsidR="00163792" w:rsidRPr="00937C10">
        <w:rPr>
          <w:vertAlign w:val="superscript"/>
        </w:rPr>
        <w:t>2</w:t>
      </w:r>
      <w:r w:rsidRPr="00937C10">
        <w:t xml:space="preserve">, </w:t>
      </w:r>
      <w:r w:rsidR="00163792" w:rsidRPr="00937C10">
        <w:t xml:space="preserve">and Deepti </w:t>
      </w:r>
      <w:r w:rsidR="0079740C">
        <w:t>N</w:t>
      </w:r>
      <w:r w:rsidR="00163792" w:rsidRPr="00937C10">
        <w:t>avaratna</w:t>
      </w:r>
      <w:r w:rsidR="00163792" w:rsidRPr="00937C10">
        <w:rPr>
          <w:vertAlign w:val="superscript"/>
        </w:rPr>
        <w:t>3</w:t>
      </w:r>
    </w:p>
    <w:p w14:paraId="73D8D9EC" w14:textId="77777777" w:rsidR="00937C10" w:rsidRDefault="00163792" w:rsidP="00163792">
      <w:pPr>
        <w:pStyle w:val="address"/>
      </w:pPr>
      <w:r w:rsidRPr="00EE426C">
        <w:rPr>
          <w:vertAlign w:val="superscript"/>
        </w:rPr>
        <w:t>1</w:t>
      </w:r>
      <w:r w:rsidRPr="00EE426C">
        <w:t xml:space="preserve"> </w:t>
      </w:r>
      <w:r w:rsidR="00937C10" w:rsidRPr="00683067">
        <w:t xml:space="preserve">National Institute of Advanced Studies, IISC, Bengaluru 560012, Karnataka, India  </w:t>
      </w:r>
    </w:p>
    <w:p w14:paraId="34763C42" w14:textId="323D9259" w:rsidR="00163792" w:rsidRDefault="00937C10" w:rsidP="00937C10">
      <w:pPr>
        <w:pStyle w:val="address"/>
      </w:pPr>
      <w:r>
        <w:rPr>
          <w:vertAlign w:val="superscript"/>
        </w:rPr>
        <w:t>2</w:t>
      </w:r>
      <w:r w:rsidRPr="00EE426C">
        <w:t xml:space="preserve"> </w:t>
      </w:r>
      <w:r w:rsidR="00163792" w:rsidRPr="00683067">
        <w:t>Indian Knowledge System and Mental Health Applications Centre, IIT Mandi</w:t>
      </w:r>
      <w:r w:rsidR="00163792">
        <w:t>, H.P.-175005</w:t>
      </w:r>
      <w:r w:rsidR="00163792" w:rsidRPr="006809AE">
        <w:t xml:space="preserve"> </w:t>
      </w:r>
    </w:p>
    <w:p w14:paraId="36F28DCA" w14:textId="77777777" w:rsidR="00163792" w:rsidRPr="006809AE" w:rsidRDefault="00163792" w:rsidP="00163792">
      <w:pPr>
        <w:pStyle w:val="address"/>
      </w:pPr>
      <w:r>
        <w:rPr>
          <w:vertAlign w:val="superscript"/>
        </w:rPr>
        <w:t>3</w:t>
      </w:r>
      <w:r w:rsidRPr="006809AE">
        <w:t xml:space="preserve"> </w:t>
      </w:r>
      <w:r w:rsidRPr="00AE11D4">
        <w:t xml:space="preserve">Manipal Academy of Higher Education, Manipal 576104, Karnataka, India   </w:t>
      </w:r>
      <w:r w:rsidRPr="006809AE">
        <w:br/>
      </w:r>
      <w:r w:rsidRPr="00163792">
        <w:rPr>
          <w:rStyle w:val="e-mail"/>
          <w:rFonts w:eastAsiaTheme="majorEastAsia"/>
        </w:rPr>
        <w:t>Rudrakshi.tomar@nias.res.in</w:t>
      </w:r>
    </w:p>
    <w:p w14:paraId="123641BF" w14:textId="2BC4E93C" w:rsidR="00163792" w:rsidRPr="001C2156" w:rsidRDefault="00163792" w:rsidP="00163792">
      <w:pPr>
        <w:pStyle w:val="abstract"/>
        <w:ind w:firstLine="0"/>
      </w:pPr>
      <w:r w:rsidRPr="00163792">
        <w:rPr>
          <w:b/>
        </w:rPr>
        <w:t>Abstract.</w:t>
      </w:r>
      <w:r w:rsidR="00DA7B81">
        <w:t xml:space="preserve"> </w:t>
      </w:r>
      <w:r w:rsidRPr="001C2156">
        <w:t>Classical Indian texts lay out two primary methods of breath regulation: Sagarbha ("with seed" i.e, breath integrated with bija mantra, visualisation, and meditative elements) and Agarbha ("without seed" i.e, only breath control). This distinction, although the most fundamental taxonomic classification in the yoga corpus, is completely lacking in current pranayama research [1, 2], resulting in unmeasured confounding variables in clinical trial design. This conceptual review reconstructs the Sagarbha–Agarbha framework from primary IKS sources and proposes the Sagarbha-Agarbha Differential Processing (SADP) model of prana-emotion coupling.</w:t>
      </w:r>
    </w:p>
    <w:p w14:paraId="4684FB2D" w14:textId="77777777" w:rsidR="00163792" w:rsidRPr="001C2156" w:rsidRDefault="00163792" w:rsidP="00163792">
      <w:pPr>
        <w:pStyle w:val="abstract"/>
      </w:pPr>
      <w:r w:rsidRPr="001C2156">
        <w:t>The Gheranda Samhita (5.47–53) describes Sagarbha as the control of breath combined with the bija mantra (A-U-M), visualisation of deities, and imagery of the elements during the three phases of breathing. The Shiva Purana (Vayaviya Samhita, Uttara XXXVII.34) regards Sagarbha as "a hundredfold superior" to Agarbha, a statement substantiated by the Mrigendratantra (Yogapada 28–29) given its unmatched ability to stabilise the mind. The theoretical foundation for this superiority is found in the Hatha Yoga Pradipika's principal axiom (HYP 2.2): cale vāte calaṃ cittaṃ, niścale niścalaṃ bhavet which translated as- When the breath (vata) moves, the mind (chittam) moves. The Taittiriya Upanishad (Brahmananda Valli 2.3–2.4) provides the structural framework: Manomaya Kosha (mind-emotion layer of the body) constitutes the inner self of Pranamaya Kosha (breath-vital force),  making the breath layer the natural access point for emotional modulation. The Shiva Swarodaya (vv. 50–62) correlates nostril dominance with emotional valence, Ida/left as cooling-parasympathetic and Pingala/right as activating-sympathetic, a correlation later substantiated by empirical studies [3, 4].</w:t>
      </w:r>
    </w:p>
    <w:p w14:paraId="76A4CF6D" w14:textId="77777777" w:rsidR="00163792" w:rsidRDefault="00163792" w:rsidP="00163792">
      <w:pPr>
        <w:pStyle w:val="abstract"/>
      </w:pPr>
      <w:r w:rsidRPr="001C2156">
        <w:t xml:space="preserve">The suggested SADP framework suggests that there are two parallel processing pathways. The Agarbha pathway is unimodal: the rhythm of breathing changes Pranamaya Kosha, which has automatic effects that indirectly control Manomaya Kosha through the coupling of Prana and Manas. The Sagarbha pathway is multimodal: bija mantra adds respiratory entrainment (~6 bpm) and the cortical "mantra effect" [5]; visualisation engages default mode network suppression [6]; and chakra-specific body focus (Sat Chakra Nirupana) constitutes a structured interoceptive curriculum [7], together engaging both koshas </w:t>
      </w:r>
      <w:r w:rsidRPr="001C2156">
        <w:lastRenderedPageBreak/>
        <w:t>simultaneously. Neuroscience commentary on interoception [7], embodied cognition [8], and autonomic research [3] serves as a supplementary layer that elucidates the IKS framework without providing confirmation to it. No empirical research has directly contrasted Sagarbha and Agarbha pranayama concerning emotional or autonomic outcomes. The SADP framework produces testable hypotheses and delineates a prioritised research agenda, encompassing a four-arm randomised controlled trial (RCT) incorporating heart rate variability (HRV), electroencephalography (EEG), and interoceptive accuracy metrics, thereby providing a theoretically robust foundation for the advancement of pranayama science.</w:t>
      </w:r>
    </w:p>
    <w:p w14:paraId="2BB67FE3" w14:textId="77777777" w:rsidR="00163792" w:rsidRDefault="00163792" w:rsidP="00163792">
      <w:pPr>
        <w:pStyle w:val="abstract"/>
        <w:spacing w:after="0"/>
        <w:ind w:firstLine="0"/>
        <w:rPr>
          <w:b/>
          <w:bCs/>
        </w:rPr>
      </w:pPr>
    </w:p>
    <w:p w14:paraId="1354E18A" w14:textId="19BAF46B" w:rsidR="00163792" w:rsidRPr="00937C10" w:rsidRDefault="00163792" w:rsidP="00163792">
      <w:pPr>
        <w:pStyle w:val="keywords"/>
      </w:pPr>
      <w:r w:rsidRPr="00937C10">
        <w:rPr>
          <w:b/>
          <w:bCs/>
        </w:rPr>
        <w:t>Keywords:</w:t>
      </w:r>
      <w:r w:rsidRPr="00937C10">
        <w:t xml:space="preserve"> Sagarbha </w:t>
      </w:r>
      <w:r w:rsidR="00937C10">
        <w:t>P</w:t>
      </w:r>
      <w:r w:rsidRPr="00937C10">
        <w:t xml:space="preserve">ranayama, </w:t>
      </w:r>
      <w:r w:rsidR="00937C10" w:rsidRPr="00937C10">
        <w:t>Agarbha Pranayama, Nadish</w:t>
      </w:r>
      <w:r w:rsidR="00937C10">
        <w:t>odhana, Alternate Nostril Breathing</w:t>
      </w:r>
    </w:p>
    <w:p w14:paraId="2BDA945E" w14:textId="700783B8" w:rsidR="003A7454" w:rsidRPr="00937C10" w:rsidRDefault="00163792" w:rsidP="003A7454">
      <w:pPr>
        <w:pStyle w:val="heading1"/>
        <w:numPr>
          <w:ilvl w:val="0"/>
          <w:numId w:val="0"/>
        </w:numPr>
        <w:ind w:left="567" w:hanging="567"/>
        <w:rPr>
          <w:lang w:val="pt-PT"/>
        </w:rPr>
      </w:pPr>
      <w:r w:rsidRPr="00937C10">
        <w:rPr>
          <w:lang w:val="pt-PT"/>
        </w:rPr>
        <w:t>References</w:t>
      </w:r>
    </w:p>
    <w:p w14:paraId="7B7AAC31" w14:textId="77777777" w:rsidR="003A7454" w:rsidRPr="003A7454" w:rsidRDefault="003A7454" w:rsidP="003A7454">
      <w:pPr>
        <w:pStyle w:val="referenceitem"/>
      </w:pPr>
      <w:r w:rsidRPr="003A7454">
        <w:t>Zaccaro, A., et al.: How breath-control can change your life: a systematic review on psycho-physiological correlates of slow breathing. Frontiers in Human Neuroscience 12, 353 (2018).</w:t>
      </w:r>
    </w:p>
    <w:p w14:paraId="2C2CD009" w14:textId="77777777" w:rsidR="003A7454" w:rsidRPr="003A7454" w:rsidRDefault="003A7454" w:rsidP="003A7454">
      <w:pPr>
        <w:pStyle w:val="referenceitem"/>
      </w:pPr>
      <w:r w:rsidRPr="003A7454">
        <w:t>Fincham, G.W., et al.: Effect of breathwork on stress and mental health. Scientific Reports 13, 432 (2023).</w:t>
      </w:r>
    </w:p>
    <w:p w14:paraId="4E35A30A" w14:textId="77777777" w:rsidR="003A7454" w:rsidRPr="003A7454" w:rsidRDefault="003A7454" w:rsidP="003A7454">
      <w:pPr>
        <w:pStyle w:val="referenceitem"/>
      </w:pPr>
      <w:r w:rsidRPr="003A7454">
        <w:t>Pal, G.K., et al.: Slow yogic breathing through right and left nostril influences sympathovagal balance, heart rate variability, and cardiovascular risks in young adults. North American Journal of Medical Sciences 6(3), 145–151 (2014).</w:t>
      </w:r>
    </w:p>
    <w:p w14:paraId="7ABC9231" w14:textId="77777777" w:rsidR="003A7454" w:rsidRPr="003A7454" w:rsidRDefault="003A7454" w:rsidP="003A7454">
      <w:pPr>
        <w:pStyle w:val="referenceitem"/>
      </w:pPr>
      <w:r w:rsidRPr="003A7454">
        <w:t>Stancak, A., et al.: Cortical responses to slow and fast rhythmic sensory stimulation. Scientific Reports 12, 1140 (2022).</w:t>
      </w:r>
    </w:p>
    <w:p w14:paraId="2F4160A8" w14:textId="77777777" w:rsidR="003A7454" w:rsidRPr="003A7454" w:rsidRDefault="003A7454" w:rsidP="003A7454">
      <w:pPr>
        <w:pStyle w:val="referenceitem"/>
      </w:pPr>
      <w:r w:rsidRPr="003A7454">
        <w:t>Bernardi, L., et al.: Effect of rosary prayer and yoga mantras on autonomic cardiovascular rhythms. BMJ 323(7327), 1446–1449 (2001).</w:t>
      </w:r>
    </w:p>
    <w:p w14:paraId="7A25D46F" w14:textId="77777777" w:rsidR="003A7454" w:rsidRPr="003A7454" w:rsidRDefault="003A7454" w:rsidP="003A7454">
      <w:pPr>
        <w:pStyle w:val="referenceitem"/>
      </w:pPr>
      <w:r w:rsidRPr="003A7454">
        <w:t>Brewer, J.A., et al.: Meditation experience is associated with differences in default mode network activity and connectivity. PNAS 108(50), 20254–20259 (2011).</w:t>
      </w:r>
    </w:p>
    <w:p w14:paraId="1853AA80" w14:textId="77777777" w:rsidR="003A7454" w:rsidRPr="003A7454" w:rsidRDefault="003A7454" w:rsidP="003A7454">
      <w:pPr>
        <w:pStyle w:val="referenceitem"/>
      </w:pPr>
      <w:r w:rsidRPr="003A7454">
        <w:t>Farb, N., et al.: Interoception, contemplative practice, and health. Frontiers in Psychology 6, 763 (2015).</w:t>
      </w:r>
    </w:p>
    <w:p w14:paraId="69F925C6" w14:textId="5F047076" w:rsidR="00A6515B" w:rsidRPr="003A7454" w:rsidRDefault="003A7454" w:rsidP="003A7454">
      <w:pPr>
        <w:pStyle w:val="referenceitem"/>
      </w:pPr>
      <w:r w:rsidRPr="003A7454">
        <w:t>Varela, F., Thompson, E., Rosch, E.: The Embodied Mind. MIT Press (1991).</w:t>
      </w:r>
    </w:p>
    <w:sectPr w:rsidR="00A6515B" w:rsidRPr="003A7454" w:rsidSect="009F7FCE">
      <w:headerReference w:type="even" r:id="rId8"/>
      <w:headerReference w:type="default" r:id="rId9"/>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B55BD" w14:textId="77777777" w:rsidR="00C44676" w:rsidRDefault="00C44676">
      <w:r>
        <w:separator/>
      </w:r>
    </w:p>
  </w:endnote>
  <w:endnote w:type="continuationSeparator" w:id="0">
    <w:p w14:paraId="24E1F32B" w14:textId="77777777" w:rsidR="00C44676" w:rsidRDefault="00C44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86860" w14:textId="77777777" w:rsidR="00C44676" w:rsidRDefault="00C44676" w:rsidP="009F7FCE">
      <w:pPr>
        <w:ind w:firstLine="0"/>
      </w:pPr>
      <w:r>
        <w:separator/>
      </w:r>
    </w:p>
  </w:footnote>
  <w:footnote w:type="continuationSeparator" w:id="0">
    <w:p w14:paraId="5E7F4136" w14:textId="77777777" w:rsidR="00C44676" w:rsidRDefault="00C44676"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3B45" w14:textId="64839170"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E1A3" w14:textId="77777777" w:rsidR="00A6515B" w:rsidRPr="00090B89" w:rsidRDefault="00000000" w:rsidP="00090B89">
    <w:pPr>
      <w:pStyle w:val="runningheadright"/>
    </w:pPr>
    <w:r>
      <w:tab/>
    </w:r>
    <w:r w:rsidRPr="00090B89">
      <w:t>Contribution Title (shortened if too long)</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45615281"/>
    <w:multiLevelType w:val="multilevel"/>
    <w:tmpl w:val="EC72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D9521C8"/>
    <w:multiLevelType w:val="multilevel"/>
    <w:tmpl w:val="20441202"/>
    <w:styleLink w:val="referencelist"/>
    <w:lvl w:ilvl="0">
      <w:start w:val="1"/>
      <w:numFmt w:val="decimal"/>
      <w:pStyle w:val="referenceitem"/>
      <w:lvlText w:val="%1."/>
      <w:lvlJc w:val="right"/>
      <w:pPr>
        <w:tabs>
          <w:tab w:val="num" w:pos="384"/>
        </w:tabs>
        <w:ind w:left="384" w:hanging="114"/>
      </w:pPr>
      <w:rPr>
        <w:rFonts w:hint="default"/>
      </w:rPr>
    </w:lvl>
    <w:lvl w:ilvl="1">
      <w:start w:val="1"/>
      <w:numFmt w:val="lowerLetter"/>
      <w:lvlText w:val="%2."/>
      <w:lvlJc w:val="left"/>
      <w:pPr>
        <w:tabs>
          <w:tab w:val="num" w:pos="2139"/>
        </w:tabs>
        <w:ind w:left="2139" w:hanging="360"/>
      </w:pPr>
      <w:rPr>
        <w:rFonts w:hint="default"/>
      </w:rPr>
    </w:lvl>
    <w:lvl w:ilvl="2">
      <w:start w:val="1"/>
      <w:numFmt w:val="lowerRoman"/>
      <w:lvlText w:val="%3."/>
      <w:lvlJc w:val="right"/>
      <w:pPr>
        <w:tabs>
          <w:tab w:val="num" w:pos="2859"/>
        </w:tabs>
        <w:ind w:left="2859" w:hanging="180"/>
      </w:pPr>
      <w:rPr>
        <w:rFonts w:hint="default"/>
      </w:rPr>
    </w:lvl>
    <w:lvl w:ilvl="3">
      <w:start w:val="1"/>
      <w:numFmt w:val="decimal"/>
      <w:lvlText w:val="%4."/>
      <w:lvlJc w:val="left"/>
      <w:pPr>
        <w:tabs>
          <w:tab w:val="num" w:pos="3579"/>
        </w:tabs>
        <w:ind w:left="3579" w:hanging="360"/>
      </w:pPr>
      <w:rPr>
        <w:rFonts w:hint="default"/>
      </w:rPr>
    </w:lvl>
    <w:lvl w:ilvl="4">
      <w:start w:val="1"/>
      <w:numFmt w:val="lowerLetter"/>
      <w:lvlText w:val="%5."/>
      <w:lvlJc w:val="left"/>
      <w:pPr>
        <w:tabs>
          <w:tab w:val="num" w:pos="4299"/>
        </w:tabs>
        <w:ind w:left="4299" w:hanging="360"/>
      </w:pPr>
      <w:rPr>
        <w:rFonts w:hint="default"/>
      </w:rPr>
    </w:lvl>
    <w:lvl w:ilvl="5">
      <w:start w:val="1"/>
      <w:numFmt w:val="lowerRoman"/>
      <w:lvlText w:val="%6."/>
      <w:lvlJc w:val="right"/>
      <w:pPr>
        <w:tabs>
          <w:tab w:val="num" w:pos="5019"/>
        </w:tabs>
        <w:ind w:left="5019" w:hanging="180"/>
      </w:pPr>
      <w:rPr>
        <w:rFonts w:hint="default"/>
      </w:rPr>
    </w:lvl>
    <w:lvl w:ilvl="6">
      <w:start w:val="1"/>
      <w:numFmt w:val="decimal"/>
      <w:lvlText w:val="%7."/>
      <w:lvlJc w:val="left"/>
      <w:pPr>
        <w:tabs>
          <w:tab w:val="num" w:pos="5739"/>
        </w:tabs>
        <w:ind w:left="5739" w:hanging="360"/>
      </w:pPr>
      <w:rPr>
        <w:rFonts w:hint="default"/>
      </w:rPr>
    </w:lvl>
    <w:lvl w:ilvl="7">
      <w:start w:val="1"/>
      <w:numFmt w:val="lowerLetter"/>
      <w:lvlText w:val="%8."/>
      <w:lvlJc w:val="left"/>
      <w:pPr>
        <w:tabs>
          <w:tab w:val="num" w:pos="6459"/>
        </w:tabs>
        <w:ind w:left="6459" w:hanging="360"/>
      </w:pPr>
      <w:rPr>
        <w:rFonts w:hint="default"/>
      </w:rPr>
    </w:lvl>
    <w:lvl w:ilvl="8">
      <w:start w:val="1"/>
      <w:numFmt w:val="lowerRoman"/>
      <w:lvlText w:val="%9."/>
      <w:lvlJc w:val="right"/>
      <w:pPr>
        <w:tabs>
          <w:tab w:val="num" w:pos="7179"/>
        </w:tabs>
        <w:ind w:left="7179" w:hanging="180"/>
      </w:pPr>
      <w:rPr>
        <w:rFonts w:hint="default"/>
      </w:rPr>
    </w:lvl>
  </w:abstractNum>
  <w:num w:numId="1" w16cid:durableId="1852060180">
    <w:abstractNumId w:val="0"/>
  </w:num>
  <w:num w:numId="2" w16cid:durableId="1224682421">
    <w:abstractNumId w:val="0"/>
  </w:num>
  <w:num w:numId="3" w16cid:durableId="1183939966">
    <w:abstractNumId w:val="2"/>
  </w:num>
  <w:num w:numId="4" w16cid:durableId="1863979149">
    <w:abstractNumId w:val="2"/>
  </w:num>
  <w:num w:numId="5" w16cid:durableId="551892896">
    <w:abstractNumId w:val="4"/>
  </w:num>
  <w:num w:numId="6" w16cid:durableId="1411468451">
    <w:abstractNumId w:val="4"/>
  </w:num>
  <w:num w:numId="7" w16cid:durableId="1584601493">
    <w:abstractNumId w:val="3"/>
  </w:num>
  <w:num w:numId="8" w16cid:durableId="1620258781">
    <w:abstractNumId w:val="5"/>
  </w:num>
  <w:num w:numId="9" w16cid:durableId="1860386388">
    <w:abstractNumId w:val="5"/>
  </w:num>
  <w:num w:numId="10" w16cid:durableId="71068981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163792"/>
    <w:rsid w:val="001C6639"/>
    <w:rsid w:val="00321EA1"/>
    <w:rsid w:val="00356A31"/>
    <w:rsid w:val="003A7454"/>
    <w:rsid w:val="003D0EF9"/>
    <w:rsid w:val="00651C4E"/>
    <w:rsid w:val="0079740C"/>
    <w:rsid w:val="007B1F5E"/>
    <w:rsid w:val="00937C10"/>
    <w:rsid w:val="0095682A"/>
    <w:rsid w:val="009930E4"/>
    <w:rsid w:val="009B2539"/>
    <w:rsid w:val="009F7FCE"/>
    <w:rsid w:val="00A13D60"/>
    <w:rsid w:val="00A6515B"/>
    <w:rsid w:val="00AA7405"/>
    <w:rsid w:val="00B23481"/>
    <w:rsid w:val="00C44676"/>
    <w:rsid w:val="00C8105A"/>
    <w:rsid w:val="00DA7B81"/>
    <w:rsid w:val="00F321B4"/>
    <w:rsid w:val="00F44A5D"/>
    <w:rsid w:val="00F556D7"/>
    <w:rsid w:val="00FF73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A4809"/>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3A7454"/>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717</Words>
  <Characters>4087</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Kshitij Goel</dc:creator>
  <dc:description>Styles and macros for Springer Lecture Notes</dc:description>
  <cp:lastModifiedBy>Kshitij Goel</cp:lastModifiedBy>
  <cp:revision>7</cp:revision>
  <dcterms:created xsi:type="dcterms:W3CDTF">2026-04-10T16:35:00Z</dcterms:created>
  <dcterms:modified xsi:type="dcterms:W3CDTF">2026-04-10T16:51:00Z</dcterms:modified>
</cp:coreProperties>
</file>