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300" w:lineRule="auto"/>
      </w:pPr>
      <w:r>
        <w:rPr>
          <w:rFonts w:ascii="Calibri" w:hAnsi="Calibri"/>
          <w:b/>
          <w:i w:val="0"/>
          <w:color w:val="2E74B5"/>
          <w:sz w:val="20"/>
        </w:rPr>
        <w:t>RECORDED DEMONSTRATION</w:t>
      </w:r>
    </w:p>
    <w:p>
      <w:pPr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58"/>
        </w:rPr>
        <w:t>CIP Wayfinder</w:t>
      </w:r>
    </w:p>
    <w:p>
      <w:pPr>
        <w:spacing w:before="0" w:after="280" w:line="300" w:lineRule="auto"/>
      </w:pPr>
      <w:r>
        <w:rPr>
          <w:rFonts w:ascii="Calibri" w:hAnsi="Calibri"/>
          <w:b w:val="0"/>
          <w:i w:val="0"/>
          <w:color w:val="5B6573"/>
          <w:sz w:val="26"/>
        </w:rPr>
        <w:t>Under-five-minute demo script and recording 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0" w:type="dxa"/>
      </w:tblPr>
      <w:tblGrid>
        <w:gridCol w:w="3110"/>
        <w:gridCol w:w="3110"/>
        <w:gridCol w:w="3139"/>
      </w:tblGrid>
      <w:tr>
        <w:tc>
          <w:tcPr>
            <w:tcW w:type="dxa" w:w="31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TARGET LENGTH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4 minutes 40 seconds</w:t>
            </w:r>
          </w:p>
        </w:tc>
        <w:tc>
          <w:tcPr>
            <w:tcW w:type="dxa" w:w="311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DEMO USER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Compliance analyst</w:t>
            </w:r>
          </w:p>
        </w:tc>
        <w:tc>
          <w:tcPr>
            <w:tcW w:type="dxa" w:w="313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SAFETY BOUNDARY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Local + synthetic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Purpose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Use this script to record a concise product demonstration for the Week 3 submission. It proves the end-to-end learning MVP: local source review, draft control design, synthetic evidence and baseline analysis, bounded graph control flow, human approval, guarded export, tests, and evaluations.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0" w:type="dxa"/>
      </w:tblPr>
      <w:tblGrid>
        <w:gridCol w:w="9360"/>
      </w:tblGrid>
      <w:tr>
        <w:tc>
          <w:tcPr>
            <w:tcW w:type="dxa" w:w="9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Important wording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Call the results drafts and review observations. Do not say the app makes a NERC compliance determination, gives legal advice, or changes an operational system.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Before you record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Start the Streamlit app and open the local address in your browser.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Use only the approved public CIP-010-5 or CIP-007-6 source and the fictional Northstar Grid Services case.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Keep .env files, API keys, terminal history, and non-synthetic documents out of the recording.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Prepare the local evaluation command: uv run python -m nerc_compliance_intelligence.evaluations.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If showing the optional Kimi-K3 draft, show an already-approved result or the approval boundary—never a secret or a paid request without approval.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Timed recording script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Read naturally rather than word-for-word. The “Show” column tells you what to click; the “Say” column gives the key message for the reviewer.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0" w:type="dxa"/>
      </w:tblPr>
      <w:tblGrid>
        <w:gridCol w:w="1037"/>
        <w:gridCol w:w="3341"/>
        <w:gridCol w:w="4982"/>
      </w:tblGrid>
      <w:tr>
        <w:tc>
          <w:tcPr>
            <w:tcW w:type="dxa" w:w="103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Time</w:t>
            </w:r>
          </w:p>
        </w:tc>
        <w:tc>
          <w:tcPr>
            <w:tcW w:type="dxa" w:w="334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Show</w:t>
            </w:r>
          </w:p>
        </w:tc>
        <w:tc>
          <w:tcPr>
            <w:tcW w:type="dxa" w:w="498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Say</w:t>
            </w:r>
          </w:p>
        </w:tc>
      </w:tr>
      <w:tr>
        <w:tc>
          <w:tcPr>
            <w:tcW w:type="dxa" w:w="103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0:00–0:25</w:t>
            </w:r>
          </w:p>
        </w:tc>
        <w:tc>
          <w:tcPr>
            <w:tcW w:type="dxa" w:w="3341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Landing page</w:t>
            </w:r>
          </w:p>
        </w:tc>
        <w:tc>
          <w:tcPr>
            <w:tcW w:type="dxa" w:w="4982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CIP Wayfinder helps a compliance analyst explore a public NERC CIP standard and build a starting-point review package. Northstar Grid Services, SUB-ALPHA-RTU-01, and all evidence are fictional or synthetic. The app does not declare compliance and does not make operational changes.</w:t>
            </w:r>
          </w:p>
        </w:tc>
      </w:tr>
      <w:tr>
        <w:tc>
          <w:tcPr>
            <w:tcW w:type="dxa" w:w="103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0:25–0:55</w:t>
            </w:r>
          </w:p>
        </w:tc>
        <w:tc>
          <w:tcPr>
            <w:tcW w:type="dxa" w:w="3341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Start a review</w:t>
            </w:r>
          </w:p>
        </w:tc>
        <w:tc>
          <w:tcPr>
            <w:tcW w:type="dxa" w:w="4982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Enter the Functional Entity, jurisdiction, asset scope, review objective, and upload one approved public standard. First leave a required field empty. The Applicability Agent asks for the missing detail instead of guessing. Complete it and continue.</w:t>
            </w:r>
          </w:p>
        </w:tc>
      </w:tr>
      <w:tr>
        <w:tc>
          <w:tcPr>
            <w:tcW w:type="dxa" w:w="103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0:55–1:20</w:t>
            </w:r>
          </w:p>
        </w:tc>
        <w:tc>
          <w:tcPr>
            <w:tcW w:type="dxa" w:w="3341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Review package → Source and requirement</w:t>
            </w:r>
          </w:p>
        </w:tc>
        <w:tc>
          <w:tcPr>
            <w:tcW w:type="dxa" w:w="4982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The package now shows all requirements found for this uploaded standard. Each material claim is tied to a local source with its standard/version, page or section, source URL, and retrieval date. The local corpus is read-only.</w:t>
            </w:r>
          </w:p>
        </w:tc>
      </w:tr>
      <w:tr>
        <w:tc>
          <w:tcPr>
            <w:tcW w:type="dxa" w:w="103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1:20–1:50</w:t>
            </w:r>
          </w:p>
        </w:tc>
        <w:tc>
          <w:tcPr>
            <w:tcW w:type="dxa" w:w="3341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Graph progress</w:t>
            </w:r>
          </w:p>
        </w:tc>
        <w:tc>
          <w:tcPr>
            <w:tcW w:type="dxa" w:w="4982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Here is a safe failure and recovery. A missing requirement reference follows the empty-retrieval route, performs no more than one repair, and stops safely when it cannot prove a source. I then rerun with a known requirement reference; the system does not invent one.</w:t>
            </w:r>
          </w:p>
        </w:tc>
      </w:tr>
      <w:tr>
        <w:tc>
          <w:tcPr>
            <w:tcW w:type="dxa" w:w="103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1:50–2:25</w:t>
            </w:r>
          </w:p>
        </w:tc>
        <w:tc>
          <w:tcPr>
            <w:tcW w:type="dxa" w:w="3341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Controls, Evidence, Baseline</w:t>
            </w:r>
          </w:p>
        </w:tc>
        <w:tc>
          <w:tcPr>
            <w:tcW w:type="dxa" w:w="4982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The app produces draft controls linked to retrieved requirement IDs. Synthetic evidence is treated as untrusted input; the app extracts observable facts, gaps, age, and SME questions. The baseline comparison turns only bounded differences into review observations.</w:t>
            </w:r>
          </w:p>
        </w:tc>
      </w:tr>
      <w:tr>
        <w:tc>
          <w:tcPr>
            <w:tcW w:type="dxa" w:w="103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2:25–2:50</w:t>
            </w:r>
          </w:p>
        </w:tc>
        <w:tc>
          <w:tcPr>
            <w:tcW w:type="dxa" w:w="3341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Findings and remediation</w:t>
            </w:r>
          </w:p>
        </w:tc>
        <w:tc>
          <w:tcPr>
            <w:tcW w:type="dxa" w:w="4982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Risk is a simple High, Medium, or Low demo rubric based on evidence completeness, asset variance, and requirement criticality. Potential findings and remediation steps remain drafts. Nothing is automatically closed.</w:t>
            </w:r>
          </w:p>
        </w:tc>
      </w:tr>
      <w:tr>
        <w:tc>
          <w:tcPr>
            <w:tcW w:type="dxa" w:w="103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2:50–3:20</w:t>
            </w:r>
          </w:p>
        </w:tc>
        <w:tc>
          <w:tcPr>
            <w:tcW w:type="dxa" w:w="3341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Review graph progress</w:t>
            </w:r>
          </w:p>
        </w:tc>
        <w:tc>
          <w:tcPr>
            <w:tcW w:type="dxa" w:w="4982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The visual path explains the tested LangGraph flow: missing scope, empty retrieval, tool error retries limited to two, validation repair limited to one, and a safe stop. The path reaches a human approval interrupt before any export.</w:t>
            </w:r>
          </w:p>
        </w:tc>
      </w:tr>
      <w:tr>
        <w:tc>
          <w:tcPr>
            <w:tcW w:type="dxa" w:w="103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3:20–3:45</w:t>
            </w:r>
          </w:p>
        </w:tc>
        <w:tc>
          <w:tcPr>
            <w:tcW w:type="dxa" w:w="3341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Human decision</w:t>
            </w:r>
          </w:p>
        </w:tc>
        <w:tc>
          <w:tcPr>
            <w:tcW w:type="dxa" w:w="4982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 can choose edit, reject, or approve. I will edit once, give a reviewer role and reason, and return to the same approval interrupt using the saved thread ID and local checkpointer.</w:t>
            </w:r>
          </w:p>
        </w:tc>
      </w:tr>
      <w:tr>
        <w:tc>
          <w:tcPr>
            <w:tcW w:type="dxa" w:w="103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3:45–4:15</w:t>
            </w:r>
          </w:p>
        </w:tc>
        <w:tc>
          <w:tcPr>
            <w:tcW w:type="dxa" w:w="3341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Approve and guarded export</w:t>
            </w:r>
          </w:p>
        </w:tc>
        <w:tc>
          <w:tcPr>
            <w:tcW w:type="dxa" w:w="4982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With explicit reviewer data, the approved graph route may create a synthetic JSON workflow package only under the safe local outputs folder. It does not create a ticket, contact an external system, or change an operational control.</w:t>
            </w:r>
          </w:p>
        </w:tc>
      </w:tr>
      <w:tr>
        <w:tc>
          <w:tcPr>
            <w:tcW w:type="dxa" w:w="103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4:15–4:40</w:t>
            </w:r>
          </w:p>
        </w:tc>
        <w:tc>
          <w:tcPr>
            <w:tcW w:type="dxa" w:w="3341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Terminal → evaluations</w:t>
            </w:r>
          </w:p>
        </w:tc>
        <w:tc>
          <w:tcPr>
            <w:tcW w:type="dxa" w:w="4982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Finally, the offline evaluation runner reports 15 passing checks. The limits remain clear: human tailoring is required, optional tracing is disconnected by default, and this MVP is informational—not a compliance conclusion.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Optional source-grounded model moment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Use this only if you already have an approved public-source result. It is not needed to prove the offline MVP.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0" w:type="dxa"/>
      </w:tblPr>
      <w:tblGrid>
        <w:gridCol w:w="9360"/>
      </w:tblGrid>
      <w:tr>
        <w:tc>
          <w:tcPr>
            <w:tcW w:type="dxa" w:w="9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Show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Open Review and send a source-grounded draft. Point to the selected requirement, cited local excerpts, model name, bounded token limit, timeout, and the human approval step before a paid external call.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0" w:type="dxa"/>
      </w:tblPr>
      <w:tblGrid>
        <w:gridCol w:w="9360"/>
      </w:tblGrid>
      <w:tr>
        <w:tc>
          <w:tcPr>
            <w:tcW w:type="dxa" w:w="9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Say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The live adapter is isolated behind a provider boundary. It receives the selected public requirement and local citations, returns a structured draft, and cannot export or change an operational system. The fake provider remains the automated-test default.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Close-out checklist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Keep the final video under five minutes.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Show failure, recovery, interrupt, one human edit or approval, and the guarded local export boundary.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Show citations and provenance for material NERC claims.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End with tests/evaluations and the no-compliance-declaration limitation.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Do not show secrets, confidential records, or live utility asset exports.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Recording fallback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If a live model call is slow or unavailable, skip it. The deterministic fake-provider and graph demonstration still prove tools, state, control flow, errors, retries, checkpointer, interrupt, human review, tracing boundary, evaluation, and end-to-end package behavior.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B6573"/>
        <w:sz w:val="17"/>
      </w:rPr>
      <w:t xml:space="preserve">CIP Wayfinder | Learning MVP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 Wayfinder Demo Script</dc:title>
  <dc:subject>Under-five-minute product demonstration</dc:subject>
  <dc:creator>CIP Wayfinder project team</dc:creator>
  <cp:keywords/>
  <dc:description>Local learning MVP; no confidential data or credentials.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