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jc w:val="center"/>
      </w:pPr>
      <w:r>
        <w:rPr>
          <w:b/>
          <w:color w:val="1F4E79"/>
          <w:sz w:val="56"/>
        </w:rPr>
        <w:t>4IMPRINT GROUP PLC</w:t>
      </w:r>
    </w:p>
    <w:p>
      <w:pPr>
        <w:spacing w:after="720"/>
        <w:jc w:val="center"/>
      </w:pPr>
      <w:r>
        <w:rPr>
          <w:color w:val="2E75B6"/>
          <w:sz w:val="32"/>
        </w:rPr>
        <w:t>Investment Quality Assessment</w:t>
      </w:r>
    </w:p>
    <w:p>
      <w:pPr>
        <w:spacing w:before="480"/>
      </w:pPr>
    </w:p>
    <w:p>
      <w:pPr>
        <w:spacing w:after="160"/>
        <w:jc w:val="center"/>
      </w:pPr>
      <w:r>
        <w:rPr>
          <w:sz w:val="24"/>
        </w:rPr>
        <w:t>Overall Quality Score</w:t>
        <w:br/>
      </w:r>
      <w:r>
        <w:rPr>
          <w:b/>
          <w:color w:val="1F4E79"/>
          <w:sz w:val="72"/>
        </w:rPr>
        <w:t>7.3 / 10</w:t>
      </w:r>
    </w:p>
    <w:p>
      <w:pPr>
        <w:spacing w:after="960"/>
        <w:jc w:val="center"/>
      </w:pPr>
      <w:r>
        <w:rPr>
          <w:i/>
          <w:color w:val="404040"/>
          <w:sz w:val="24"/>
        </w:rPr>
        <w:t>High Quality</w:t>
      </w:r>
    </w:p>
    <w:p>
      <w:pPr>
        <w:spacing w:before="960"/>
      </w:pPr>
    </w:p>
    <w:p>
      <w:pPr>
        <w:jc w:val="center"/>
      </w:pPr>
      <w:r>
        <w:rPr>
          <w:sz w:val="22"/>
        </w:rPr>
        <w:t>Date: 2025-05-22</w:t>
      </w:r>
    </w:p>
    <w:p>
      <w:r>
        <w:br w:type="page"/>
      </w:r>
    </w:p>
    <w:p>
      <w:pPr>
        <w:pStyle w:val="Heading1"/>
        <w:pBdr>
          <w:bottom w:val="single" w:sz="6" w:space="4" w:color="2E75B6"/>
        </w:pBdr>
        <w:spacing w:before="360" w:after="180"/>
      </w:pPr>
      <w:r>
        <w:rPr>
          <w:b/>
          <w:color w:val="1F4E79"/>
          <w:sz w:val="32"/>
        </w:rPr>
        <w:t>Executive Summary</w:t>
      </w:r>
    </w:p>
    <w:p>
      <w:pPr>
        <w:spacing w:after="120"/>
      </w:pPr>
      <w:r>
        <w:rPr>
          <w:i w:val="0"/>
          <w:color w:val="404040"/>
          <w:sz w:val="22"/>
        </w:rPr>
        <w:t>4imprint is a highly efficient, direct-to-customer marketer that has successfully scaled in the fragmented promotional products industry. By leveraging a centralized, data-driven marketing model and a strong service culture, the company has achieved consistent market share gains. While the business is inherently cyclical and faces intense competition, its asset-light model and strong balance sheet provide significant resilience. The company's focus on customer retention and operational excellence makes it a high-quality operator in a commoditized space.</w:t>
      </w:r>
    </w:p>
    <w:p>
      <w:pPr>
        <w:spacing w:after="80"/>
      </w:pPr>
    </w:p>
    <w:p>
      <w:pPr>
        <w:spacing w:before="200" w:after="80"/>
      </w:pPr>
      <w:r>
        <w:rPr>
          <w:b/>
          <w:color w:val="404040"/>
          <w:sz w:val="22"/>
        </w:rPr>
        <w:t>Key Findings</w:t>
      </w:r>
    </w:p>
    <w:p>
      <w:pPr>
        <w:pStyle w:val="ListBullet"/>
        <w:spacing w:after="80"/>
      </w:pPr>
      <w:r>
        <w:rPr>
          <w:color w:val="404040"/>
          <w:sz w:val="22"/>
        </w:rPr>
        <w:t>Strong, consistent market share growth in the North American promotional products market.</w:t>
      </w:r>
    </w:p>
    <w:p>
      <w:pPr>
        <w:pStyle w:val="ListBullet"/>
        <w:spacing w:after="80"/>
      </w:pPr>
      <w:r>
        <w:rPr>
          <w:color w:val="404040"/>
          <w:sz w:val="22"/>
        </w:rPr>
        <w:t>Highly effective, data-driven direct marketing model with high customer retention.</w:t>
      </w:r>
    </w:p>
    <w:p>
      <w:pPr>
        <w:pStyle w:val="ListBullet"/>
        <w:spacing w:after="80"/>
      </w:pPr>
      <w:r>
        <w:rPr>
          <w:color w:val="404040"/>
          <w:sz w:val="22"/>
        </w:rPr>
        <w:t>Asset-light business model with minimal capital expenditure requirements.</w:t>
      </w:r>
    </w:p>
    <w:p>
      <w:pPr>
        <w:pStyle w:val="ListBullet"/>
        <w:spacing w:after="80"/>
      </w:pPr>
      <w:r>
        <w:rPr>
          <w:color w:val="404040"/>
          <w:sz w:val="22"/>
        </w:rPr>
        <w:t>Significant cyclical exposure due to reliance on corporate marketing budgets.</w:t>
      </w:r>
    </w:p>
    <w:p>
      <w:pPr>
        <w:pStyle w:val="ListBullet"/>
        <w:spacing w:after="80"/>
      </w:pPr>
      <w:r>
        <w:rPr>
          <w:color w:val="404040"/>
          <w:sz w:val="22"/>
        </w:rPr>
        <w:t>Highly fragmented industry structure with no single dominant competitor.</w:t>
      </w:r>
    </w:p>
    <w:p>
      <w:pPr>
        <w:spacing w:after="160"/>
      </w:pPr>
    </w:p>
    <w:p>
      <w:pPr>
        <w:spacing w:before="200" w:after="80"/>
      </w:pPr>
      <w:r>
        <w:rPr>
          <w:b/>
          <w:color w:val="404040"/>
          <w:sz w:val="22"/>
        </w:rPr>
        <w:t>Scorecard Summary</w:t>
      </w:r>
    </w:p>
    <w:tbl>
      <w:tblPr>
        <w:tblW w:type="auto" w:w="0"/>
        <w:jc w:val="left"/>
        <w:tblLook w:firstColumn="1" w:firstRow="1" w:lastColumn="0" w:lastRow="0" w:noHBand="0" w:noVBand="1" w:val="04A0"/>
        <w:tblW w:w="9360" w:type="dxa"/>
      </w:tblPr>
      <w:tblGrid>
        <w:gridCol w:w="2340"/>
        <w:gridCol w:w="2340"/>
        <w:gridCol w:w="2340"/>
        <w:gridCol w:w="2340"/>
      </w:tblGrid>
      <w:tr>
        <w:tc>
          <w:tcPr>
            <w:tcW w:type="dxa" w:w="2340"/>
            <w:tcW w:w="4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Tenet</w:t>
            </w:r>
          </w:p>
        </w:tc>
        <w:tc>
          <w:tcPr>
            <w:tcW w:type="dxa" w:w="2340"/>
            <w:tcW w:w="1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Score</w:t>
            </w:r>
          </w:p>
        </w:tc>
        <w:tc>
          <w:tcPr>
            <w:tcW w:type="dxa" w:w="2340"/>
            <w:tcW w:w="162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w:t>
            </w:r>
          </w:p>
        </w:tc>
        <w:tc>
          <w:tcPr>
            <w:tcW w:type="dxa" w:w="2340"/>
            <w:tcW w:w="174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Weighted</w:t>
            </w:r>
          </w:p>
        </w:tc>
      </w:tr>
      <w:tr>
        <w:tc>
          <w:tcPr>
            <w:tcW w:type="dxa" w:w="2340"/>
            <w:tcW w:w="4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Durability (Moat Strength)</w:t>
            </w:r>
          </w:p>
        </w:tc>
        <w:tc>
          <w:tcPr>
            <w:tcW w:type="dxa" w:w="2340"/>
            <w:tcW w:w="1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7</w:t>
            </w:r>
          </w:p>
        </w:tc>
        <w:tc>
          <w:tcPr>
            <w:tcW w:type="dxa" w:w="2340"/>
            <w:tcW w:w="162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40%</w:t>
            </w:r>
          </w:p>
        </w:tc>
        <w:tc>
          <w:tcPr>
            <w:tcW w:type="dxa" w:w="2340"/>
            <w:tcW w:w="174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Compounding Capability</w:t>
            </w:r>
          </w:p>
        </w:tc>
        <w:tc>
          <w:tcPr>
            <w:tcW w:type="dxa" w:w="2340"/>
            <w:tcW w:w="1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8</w:t>
            </w:r>
          </w:p>
        </w:tc>
        <w:tc>
          <w:tcPr>
            <w:tcW w:type="dxa" w:w="2340"/>
            <w:tcW w:w="162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35%</w:t>
            </w:r>
          </w:p>
        </w:tc>
        <w:tc>
          <w:tcPr>
            <w:tcW w:type="dxa" w:w="2340"/>
            <w:tcW w:w="174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Fragility (10 = least fragile)</w:t>
            </w:r>
          </w:p>
        </w:tc>
        <w:tc>
          <w:tcPr>
            <w:tcW w:type="dxa" w:w="2340"/>
            <w:tcW w:w="1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7</w:t>
            </w:r>
          </w:p>
        </w:tc>
        <w:tc>
          <w:tcPr>
            <w:tcW w:type="dxa" w:w="2340"/>
            <w:tcW w:w="162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25%</w:t>
            </w:r>
          </w:p>
        </w:tc>
        <w:tc>
          <w:tcPr>
            <w:tcW w:type="dxa" w:w="2340"/>
            <w:tcW w:w="174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1.8</w:t>
            </w:r>
          </w:p>
        </w:tc>
      </w:tr>
      <w:tr>
        <w:tc>
          <w:tcPr>
            <w:tcW w:type="dxa" w:w="2340"/>
            <w:tcW w:w="4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OVERALL QUALITY SCORE</w:t>
            </w:r>
          </w:p>
        </w:tc>
        <w:tc>
          <w:tcPr>
            <w:tcW w:type="dxa" w:w="2340"/>
            <w:tcW w:w="1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7.3</w:t>
            </w:r>
          </w:p>
        </w:tc>
        <w:tc>
          <w:tcPr>
            <w:tcW w:type="dxa" w:w="2340"/>
            <w:tcW w:w="162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404040"/>
                <w:sz w:val="20"/>
              </w:rPr>
              <w:t>100%</w:t>
            </w:r>
          </w:p>
        </w:tc>
        <w:tc>
          <w:tcPr>
            <w:tcW w:type="dxa" w:w="2340"/>
            <w:tcW w:w="174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7.3</w:t>
            </w:r>
          </w:p>
        </w:tc>
      </w:tr>
    </w:tbl>
    <w:p>
      <w:pPr>
        <w:spacing w:after="120"/>
      </w:pPr>
    </w:p>
    <w:p>
      <w:r>
        <w:br w:type="page"/>
      </w:r>
    </w:p>
    <w:p>
      <w:pPr>
        <w:pStyle w:val="Heading1"/>
        <w:pBdr>
          <w:bottom w:val="single" w:sz="6" w:space="4" w:color="2E75B6"/>
        </w:pBdr>
        <w:spacing w:before="360" w:after="180"/>
      </w:pPr>
      <w:r>
        <w:rPr>
          <w:b/>
          <w:color w:val="1F4E79"/>
          <w:sz w:val="32"/>
        </w:rPr>
        <w:t>Section: Durability</w:t>
      </w:r>
    </w:p>
    <w:p>
      <w:pPr>
        <w:spacing w:after="120"/>
      </w:pPr>
      <w:r>
        <w:rPr>
          <w:i/>
          <w:color w:val="404040"/>
          <w:sz w:val="22"/>
        </w:rPr>
        <w:t>4imprint has a strong, scalable, and defensible business model, though it operates in a commoditized and competitive industry.</w:t>
      </w:r>
    </w:p>
    <w:p>
      <w:pPr>
        <w:spacing w:after="80"/>
      </w:pPr>
    </w:p>
    <w:p>
      <w:pPr>
        <w:pStyle w:val="Heading2"/>
        <w:spacing w:before="280" w:after="120"/>
      </w:pPr>
      <w:r>
        <w:rPr>
          <w:b/>
          <w:color w:val="2E75B6"/>
          <w:sz w:val="26"/>
        </w:rPr>
        <w:t>1.1 — Moat Strength</w:t>
      </w:r>
    </w:p>
    <w:p>
      <w:pPr>
        <w:spacing w:after="120"/>
      </w:pPr>
      <w:r>
        <w:rPr>
          <w:i w:val="0"/>
          <w:color w:val="404040"/>
          <w:sz w:val="22"/>
        </w:rPr>
        <w:t>4imprint's moat is built on scale, data-driven marketing efficiency, and a superior customer service model that is difficult for smaller competitors to replicate. Its ability to acquire customers at a lower cost than peers while maintaining high retention creates a durable advantage. However, the promotional products industry has low barriers to entry, meaning the moat is more about operational excellence than proprietary technology.</w:t>
      </w:r>
    </w:p>
    <w:p>
      <w:pPr>
        <w:spacing w:before="80" w:after="200"/>
      </w:pPr>
      <w:r>
        <w:rPr>
          <w:b/>
          <w:color w:val="2E75B6"/>
          <w:sz w:val="20"/>
        </w:rPr>
        <w:t>Judgement: Mixed-Strong   |   Score: 7 / 10</w:t>
      </w:r>
    </w:p>
    <w:p>
      <w:pPr>
        <w:pStyle w:val="Heading2"/>
        <w:spacing w:before="280" w:after="120"/>
      </w:pPr>
      <w:r>
        <w:rPr>
          <w:b/>
          <w:color w:val="2E75B6"/>
          <w:sz w:val="26"/>
        </w:rPr>
        <w:t>1.2 — Industry Structure</w:t>
      </w:r>
    </w:p>
    <w:p>
      <w:pPr>
        <w:spacing w:after="120"/>
      </w:pPr>
      <w:r>
        <w:rPr>
          <w:i w:val="0"/>
          <w:color w:val="404040"/>
          <w:sz w:val="22"/>
        </w:rPr>
        <w:t>The promotional products industry is highly fragmented, consisting of thousands of small distributors and a few larger players. While this allows for market share consolidation, it also leads to intense price competition and commoditization of products. 4imprint's scale allows it to navigate this better than smaller players, but it remains a competitive, low-margin environment.</w:t>
      </w:r>
    </w:p>
    <w:p>
      <w:pPr>
        <w:spacing w:before="80" w:after="200"/>
      </w:pPr>
      <w:r>
        <w:rPr>
          <w:b/>
          <w:color w:val="2E75B6"/>
          <w:sz w:val="20"/>
        </w:rPr>
        <w:t>Judgement: Mixed   |   Score: 6 / 10</w:t>
      </w:r>
    </w:p>
    <w:p>
      <w:pPr>
        <w:pStyle w:val="Heading2"/>
        <w:spacing w:before="280" w:after="120"/>
      </w:pPr>
      <w:r>
        <w:rPr>
          <w:b/>
          <w:color w:val="2E75B6"/>
          <w:sz w:val="26"/>
        </w:rPr>
        <w:t>1.3 — Revenue Recurrence</w:t>
      </w:r>
    </w:p>
    <w:p>
      <w:pPr>
        <w:spacing w:after="120"/>
      </w:pPr>
      <w:r>
        <w:rPr>
          <w:i w:val="0"/>
          <w:color w:val="404040"/>
          <w:sz w:val="22"/>
        </w:rPr>
        <w:t>Revenue is not contracted, but it is highly habitual, with a large percentage of sales coming from repeat customers. The company benefits from the recurring nature of corporate marketing and branding needs, though these are discretionary and can be cut during downturns. Predictability is high in stable economic environments due to the large, diversified customer base.</w:t>
      </w:r>
    </w:p>
    <w:p>
      <w:pPr>
        <w:spacing w:before="80" w:after="200"/>
      </w:pPr>
      <w:r>
        <w:rPr>
          <w:b/>
          <w:color w:val="2E75B6"/>
          <w:sz w:val="20"/>
        </w:rPr>
        <w:t>Judgement: Mixed-Strong   |   Score: 7 / 10</w:t>
      </w:r>
    </w:p>
    <w:p>
      <w:pPr>
        <w:pStyle w:val="Heading2"/>
        <w:spacing w:before="280" w:after="120"/>
      </w:pPr>
      <w:r>
        <w:rPr>
          <w:b/>
          <w:color w:val="2E75B6"/>
          <w:sz w:val="26"/>
        </w:rPr>
        <w:t>1.4 — Pricing Power</w:t>
      </w:r>
    </w:p>
    <w:p>
      <w:pPr>
        <w:spacing w:after="120"/>
      </w:pPr>
      <w:r>
        <w:rPr>
          <w:i w:val="0"/>
          <w:color w:val="404040"/>
          <w:sz w:val="22"/>
        </w:rPr>
        <w:t>4imprint has moderate pricing power derived from its service quality, speed, and reliability rather than product uniqueness. Customers are often willing to pay a slight premium for the assurance that their branded merchandise will be correct and delivered on time. However, because the products themselves are commodities, there is a limit to how much they can raise prices without losing volume.</w:t>
      </w:r>
    </w:p>
    <w:p>
      <w:pPr>
        <w:spacing w:before="80" w:after="200"/>
      </w:pPr>
      <w:r>
        <w:rPr>
          <w:b/>
          <w:color w:val="2E75B6"/>
          <w:sz w:val="20"/>
        </w:rPr>
        <w:t>Judgement: Mixed   |   Score: 6 / 10</w:t>
      </w:r>
    </w:p>
    <w:p>
      <w:pPr>
        <w:pStyle w:val="Heading2"/>
        <w:spacing w:before="280" w:after="120"/>
      </w:pPr>
      <w:r>
        <w:rPr>
          <w:b/>
          <w:color w:val="2E75B6"/>
          <w:sz w:val="26"/>
        </w:rPr>
        <w:t>1.5 — Pricing Power</w:t>
      </w:r>
    </w:p>
    <w:p>
      <w:pPr>
        <w:spacing w:after="120"/>
      </w:pPr>
      <w:r>
        <w:rPr>
          <w:i w:val="0"/>
          <w:color w:val="404040"/>
          <w:sz w:val="22"/>
        </w:rPr>
        <w:t>As one of the largest distributors in the industry, 4imprint has significant bargaining power with its network of suppliers. It does not manufacture its own products, which allows it to source from the most cost-effective and reliable vendors globally. This structure protects it from being locked into single-source dependencies.</w:t>
      </w:r>
    </w:p>
    <w:p>
      <w:pPr>
        <w:spacing w:before="80" w:after="200"/>
      </w:pPr>
      <w:r>
        <w:rPr>
          <w:b/>
          <w:color w:val="2E75B6"/>
          <w:sz w:val="20"/>
        </w:rPr>
        <w:t>Judgement: Strong   |   Score: 8 / 10</w:t>
      </w:r>
    </w:p>
    <w:p>
      <w:pPr>
        <w:pStyle w:val="Heading2"/>
        <w:spacing w:before="280" w:after="120"/>
      </w:pPr>
      <w:r>
        <w:rPr>
          <w:b/>
          <w:color w:val="2E75B6"/>
          <w:sz w:val="26"/>
        </w:rPr>
        <w:t>1.6 — Market Leadership</w:t>
      </w:r>
    </w:p>
    <w:p>
      <w:pPr>
        <w:spacing w:after="120"/>
      </w:pPr>
      <w:r>
        <w:rPr>
          <w:i w:val="0"/>
          <w:color w:val="404040"/>
          <w:sz w:val="22"/>
        </w:rPr>
        <w:t>4imprint is a clear leader in the North American direct-to-customer promotional products space. Its brand is synonymous with reliability and ease of use, and its market share has consistently grown over the last decade. The brand position is strengthening as it continues to outpace the industry growth rate.</w:t>
      </w:r>
    </w:p>
    <w:p>
      <w:pPr>
        <w:spacing w:before="80" w:after="200"/>
      </w:pPr>
      <w:r>
        <w:rPr>
          <w:b/>
          <w:color w:val="2E75B6"/>
          <w:sz w:val="20"/>
        </w:rPr>
        <w:t>Judgement: Strong   |   Score: 8 / 10</w:t>
      </w:r>
    </w:p>
    <w:p>
      <w:pPr>
        <w:pStyle w:val="Heading2"/>
        <w:spacing w:before="280" w:after="120"/>
      </w:pPr>
      <w:r>
        <w:rPr>
          <w:b/>
          <w:color w:val="2E75B6"/>
          <w:sz w:val="26"/>
        </w:rPr>
        <w:t>1.7 — Counter-positioning</w:t>
      </w:r>
    </w:p>
    <w:p>
      <w:pPr>
        <w:spacing w:after="120"/>
      </w:pPr>
      <w:r>
        <w:rPr>
          <w:i w:val="0"/>
          <w:color w:val="404040"/>
          <w:sz w:val="22"/>
        </w:rPr>
        <w:t>The company's direct-to-customer model is a form of counter-positioning against traditional distributors who rely on sales representatives and local relationships. Incumbents with large, expensive sales forces struggle to pivot to 4imprint's low-cost, digital-first model without disrupting their existing, high-cost business structures.</w:t>
      </w:r>
    </w:p>
    <w:p>
      <w:pPr>
        <w:spacing w:before="80" w:after="200"/>
      </w:pPr>
      <w:r>
        <w:rPr>
          <w:b/>
          <w:color w:val="2E75B6"/>
          <w:sz w:val="20"/>
        </w:rPr>
        <w:t>Judgement: Strong   |   Score: 8 / 10</w:t>
      </w:r>
    </w:p>
    <w:p>
      <w:pPr>
        <w:pStyle w:val="Heading2"/>
        <w:spacing w:before="280" w:after="120"/>
      </w:pPr>
      <w:r>
        <w:rPr>
          <w:b/>
          <w:color w:val="2E75B6"/>
          <w:sz w:val="26"/>
        </w:rPr>
        <w:t>1.8 — Customer Surplus</w:t>
      </w:r>
    </w:p>
    <w:p>
      <w:pPr>
        <w:spacing w:after="120"/>
      </w:pPr>
      <w:r>
        <w:rPr>
          <w:i w:val="0"/>
          <w:color w:val="404040"/>
          <w:sz w:val="22"/>
        </w:rPr>
        <w:t>4imprint provides high value by simplifying a complex procurement process for businesses, saving them time and reducing the risk of errors. This high customer surplus, combined with competitive pricing, ensures strong customer loyalty and repeat business. The value proposition is clear and well-aligned with the needs of its target market.</w:t>
      </w:r>
    </w:p>
    <w:p>
      <w:pPr>
        <w:spacing w:before="80" w:after="200"/>
      </w:pPr>
      <w:r>
        <w:rPr>
          <w:b/>
          <w:color w:val="2E75B6"/>
          <w:sz w:val="20"/>
        </w:rPr>
        <w:t>Judgement: Strong   |   Score: 8 / 10</w:t>
      </w:r>
    </w:p>
    <w:p>
      <w:pPr>
        <w:spacing w:before="120"/>
      </w:pPr>
    </w:p>
    <w:tbl>
      <w:tblPr>
        <w:tblW w:type="auto" w:w="0"/>
        <w:jc w:val="left"/>
        <w:tblLook w:firstColumn="1" w:firstRow="1" w:lastColumn="0" w:lastRow="0" w:noHBand="0" w:noVBand="1" w:val="04A0"/>
        <w:tblW w:w="9360" w:type="dxa"/>
      </w:tblPr>
      <w:tblGrid>
        <w:gridCol w:w="4680"/>
        <w:gridCol w:w="4680"/>
      </w:tblGrid>
      <w:tr>
        <w:tc>
          <w:tcPr>
            <w:tcW w:type="dxa" w:w="4680"/>
            <w:tcW w:w="72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404040"/>
                <w:sz w:val="22"/>
              </w:rPr>
              <w:t>Durability Score</w:t>
            </w:r>
          </w:p>
        </w:tc>
        <w:tc>
          <w:tcPr>
            <w:tcW w:type="dxa" w:w="4680"/>
            <w:tcW w:w="216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6"/>
              </w:rPr>
              <w:t>7 / 10</w:t>
            </w:r>
          </w:p>
        </w:tc>
      </w:tr>
    </w:tbl>
    <w:p>
      <w:pPr>
        <w:spacing w:after="80"/>
      </w:pPr>
    </w:p>
    <w:p>
      <w:r>
        <w:br w:type="page"/>
      </w:r>
    </w:p>
    <w:p>
      <w:pPr>
        <w:pStyle w:val="Heading1"/>
        <w:pBdr>
          <w:bottom w:val="single" w:sz="6" w:space="4" w:color="2E75B6"/>
        </w:pBdr>
        <w:spacing w:before="360" w:after="180"/>
      </w:pPr>
      <w:r>
        <w:rPr>
          <w:b/>
          <w:color w:val="1F4E79"/>
          <w:sz w:val="32"/>
        </w:rPr>
        <w:t>Section: Compounding Capability</w:t>
      </w:r>
    </w:p>
    <w:p>
      <w:pPr>
        <w:spacing w:after="120"/>
      </w:pPr>
      <w:r>
        <w:rPr>
          <w:i/>
          <w:color w:val="404040"/>
          <w:sz w:val="22"/>
        </w:rPr>
        <w:t>The company has a proven, asset-light, and repeatable growth engine with a long runway for continued market share gains.</w:t>
      </w:r>
    </w:p>
    <w:p>
      <w:pPr>
        <w:spacing w:after="80"/>
      </w:pPr>
    </w:p>
    <w:p>
      <w:pPr>
        <w:pStyle w:val="Heading2"/>
        <w:spacing w:before="280" w:after="120"/>
      </w:pPr>
      <w:r>
        <w:rPr>
          <w:b/>
          <w:color w:val="2E75B6"/>
          <w:sz w:val="26"/>
        </w:rPr>
        <w:t>2.1 — Asset-light Model</w:t>
      </w:r>
    </w:p>
    <w:p>
      <w:pPr>
        <w:spacing w:after="120"/>
      </w:pPr>
      <w:r>
        <w:rPr>
          <w:i w:val="0"/>
          <w:color w:val="404040"/>
          <w:sz w:val="22"/>
        </w:rPr>
        <w:t>The business model is highly asset-light, as 4imprint does not own manufacturing facilities and carries minimal inventory. Incremental growth requires primarily marketing spend and customer service headcount, allowing for high returns on invested capital. This scalability is a core driver of the company's financial success.</w:t>
      </w:r>
    </w:p>
    <w:p>
      <w:pPr>
        <w:spacing w:before="80" w:after="200"/>
      </w:pPr>
      <w:r>
        <w:rPr>
          <w:b/>
          <w:color w:val="2E75B6"/>
          <w:sz w:val="20"/>
        </w:rPr>
        <w:t>Judgement: Strong   |   Score: 9 / 10</w:t>
      </w:r>
    </w:p>
    <w:p>
      <w:pPr>
        <w:pStyle w:val="Heading2"/>
        <w:spacing w:before="280" w:after="120"/>
      </w:pPr>
      <w:r>
        <w:rPr>
          <w:b/>
          <w:color w:val="2E75B6"/>
          <w:sz w:val="26"/>
        </w:rPr>
        <w:t>2.2 — Growth Runway</w:t>
      </w:r>
    </w:p>
    <w:p>
      <w:pPr>
        <w:spacing w:after="120"/>
      </w:pPr>
      <w:r>
        <w:rPr>
          <w:i w:val="0"/>
          <w:color w:val="404040"/>
          <w:sz w:val="22"/>
        </w:rPr>
        <w:t>The promotional products market is massive and highly fragmented, providing a long runway for continued market share gains. 4imprint has significant room to grow by continuing to capture share from smaller, less efficient distributors. The company has a proven ability to reinvest profits into marketing to drive this growth.</w:t>
      </w:r>
    </w:p>
    <w:p>
      <w:pPr>
        <w:spacing w:before="80" w:after="200"/>
      </w:pPr>
      <w:r>
        <w:rPr>
          <w:b/>
          <w:color w:val="2E75B6"/>
          <w:sz w:val="20"/>
        </w:rPr>
        <w:t>Judgement: Strong   |   Score: 8 / 10</w:t>
      </w:r>
    </w:p>
    <w:p>
      <w:pPr>
        <w:pStyle w:val="Heading2"/>
        <w:spacing w:before="280" w:after="120"/>
      </w:pPr>
      <w:r>
        <w:rPr>
          <w:b/>
          <w:color w:val="2E75B6"/>
          <w:sz w:val="26"/>
        </w:rPr>
        <w:t>2.3 — Repeatable Growth</w:t>
      </w:r>
    </w:p>
    <w:p>
      <w:pPr>
        <w:spacing w:after="120"/>
      </w:pPr>
      <w:r>
        <w:rPr>
          <w:i w:val="0"/>
          <w:color w:val="404040"/>
          <w:sz w:val="22"/>
        </w:rPr>
        <w:t>The company has a highly repeatable growth engine based on its data-driven marketing and customer acquisition strategy. By consistently testing and optimizing its marketing spend, it has demonstrated the ability to scale revenue across different customer segments and product categories. This process is systematic and repeatable.</w:t>
      </w:r>
    </w:p>
    <w:p>
      <w:pPr>
        <w:spacing w:before="80" w:after="200"/>
      </w:pPr>
      <w:r>
        <w:rPr>
          <w:b/>
          <w:color w:val="2E75B6"/>
          <w:sz w:val="20"/>
        </w:rPr>
        <w:t>Judgement: Strong   |   Score: 8 / 10</w:t>
      </w:r>
    </w:p>
    <w:p>
      <w:pPr>
        <w:spacing w:before="120"/>
      </w:pPr>
    </w:p>
    <w:tbl>
      <w:tblPr>
        <w:tblW w:type="auto" w:w="0"/>
        <w:jc w:val="left"/>
        <w:tblLook w:firstColumn="1" w:firstRow="1" w:lastColumn="0" w:lastRow="0" w:noHBand="0" w:noVBand="1" w:val="04A0"/>
        <w:tblW w:w="9360" w:type="dxa"/>
      </w:tblPr>
      <w:tblGrid>
        <w:gridCol w:w="4680"/>
        <w:gridCol w:w="4680"/>
      </w:tblGrid>
      <w:tr>
        <w:tc>
          <w:tcPr>
            <w:tcW w:type="dxa" w:w="4680"/>
            <w:tcW w:w="72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404040"/>
                <w:sz w:val="22"/>
              </w:rPr>
              <w:t>Compounding Capability Score</w:t>
            </w:r>
          </w:p>
        </w:tc>
        <w:tc>
          <w:tcPr>
            <w:tcW w:type="dxa" w:w="4680"/>
            <w:tcW w:w="216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6"/>
              </w:rPr>
              <w:t>8 / 10</w:t>
            </w:r>
          </w:p>
        </w:tc>
      </w:tr>
    </w:tbl>
    <w:p>
      <w:pPr>
        <w:spacing w:after="80"/>
      </w:pPr>
    </w:p>
    <w:p>
      <w:r>
        <w:br w:type="page"/>
      </w:r>
    </w:p>
    <w:p>
      <w:pPr>
        <w:pStyle w:val="Heading1"/>
        <w:pBdr>
          <w:bottom w:val="single" w:sz="6" w:space="4" w:color="2E75B6"/>
        </w:pBdr>
        <w:spacing w:before="360" w:after="180"/>
      </w:pPr>
      <w:r>
        <w:rPr>
          <w:b/>
          <w:color w:val="1F4E79"/>
          <w:sz w:val="32"/>
        </w:rPr>
        <w:t>Section: Fragility</w:t>
      </w:r>
    </w:p>
    <w:p>
      <w:pPr>
        <w:spacing w:after="120"/>
      </w:pPr>
      <w:r>
        <w:rPr>
          <w:i/>
          <w:color w:val="404040"/>
          <w:sz w:val="22"/>
        </w:rPr>
        <w:t>While the business is highly resilient in terms of customer and supplier concentration, it is inherently cyclical and sensitive to macro-economic conditions.</w:t>
      </w:r>
    </w:p>
    <w:p>
      <w:pPr>
        <w:spacing w:after="80"/>
      </w:pPr>
    </w:p>
    <w:p>
      <w:pPr>
        <w:pStyle w:val="Heading2"/>
        <w:spacing w:before="280" w:after="120"/>
      </w:pPr>
      <w:r>
        <w:rPr>
          <w:b/>
          <w:color w:val="2E75B6"/>
          <w:sz w:val="26"/>
        </w:rPr>
        <w:t>3.1 — Obsolescence Risk</w:t>
      </w:r>
    </w:p>
    <w:p>
      <w:pPr>
        <w:spacing w:after="120"/>
      </w:pPr>
      <w:r>
        <w:rPr>
          <w:i w:val="0"/>
          <w:color w:val="404040"/>
          <w:sz w:val="22"/>
        </w:rPr>
        <w:t>The core offering—branded merchandise—is unlikely to become obsolete, as it serves a fundamental human need for recognition and marketing. The primary risk is a shift in how these products are procured, but 4imprint's digital-first model positions it well to adapt to changing consumer behaviors. The risk of disruption is low, provided they maintain their digital edge.</w:t>
      </w:r>
    </w:p>
    <w:p>
      <w:pPr>
        <w:spacing w:before="80" w:after="200"/>
      </w:pPr>
      <w:r>
        <w:rPr>
          <w:b/>
          <w:color w:val="2E75B6"/>
          <w:sz w:val="20"/>
        </w:rPr>
        <w:t>Judgement: Strong   |   Score: 8 / 10</w:t>
      </w:r>
    </w:p>
    <w:p>
      <w:pPr>
        <w:pStyle w:val="Heading2"/>
        <w:spacing w:before="280" w:after="120"/>
      </w:pPr>
      <w:r>
        <w:rPr>
          <w:b/>
          <w:color w:val="2E75B6"/>
          <w:sz w:val="26"/>
        </w:rPr>
        <w:t>3.2 — Regulatory Risk</w:t>
      </w:r>
    </w:p>
    <w:p>
      <w:pPr>
        <w:spacing w:after="120"/>
      </w:pPr>
      <w:r>
        <w:rPr>
          <w:i w:val="0"/>
          <w:color w:val="404040"/>
          <w:sz w:val="22"/>
        </w:rPr>
        <w:t>Regulatory risks are generally low, primarily centered on product safety standards and environmental regulations regarding materials. The company manages these risks through rigorous supplier vetting and compliance programs. There are no significant political risks that threaten the core business model.</w:t>
      </w:r>
    </w:p>
    <w:p>
      <w:pPr>
        <w:spacing w:before="80" w:after="200"/>
      </w:pPr>
      <w:r>
        <w:rPr>
          <w:b/>
          <w:color w:val="2E75B6"/>
          <w:sz w:val="20"/>
        </w:rPr>
        <w:t>Judgement: Strong   |   Score: 9 / 10</w:t>
      </w:r>
    </w:p>
    <w:p>
      <w:pPr>
        <w:pStyle w:val="Heading2"/>
        <w:spacing w:before="280" w:after="120"/>
      </w:pPr>
      <w:r>
        <w:rPr>
          <w:b/>
          <w:color w:val="2E75B6"/>
          <w:sz w:val="26"/>
        </w:rPr>
        <w:t>3.3 — Cyclicality</w:t>
      </w:r>
    </w:p>
    <w:p>
      <w:pPr>
        <w:spacing w:after="120"/>
      </w:pPr>
      <w:r>
        <w:rPr>
          <w:i w:val="0"/>
          <w:color w:val="404040"/>
          <w:sz w:val="22"/>
        </w:rPr>
        <w:t>The business is inherently cyclical, as promotional products are often among the first items cut from corporate budgets during economic downturns. While the company has shown resilience through its strong service model, it is not defensive and will experience revenue declines during recessions. Its performance is closely tied to the health of the broader economy.</w:t>
      </w:r>
    </w:p>
    <w:p>
      <w:pPr>
        <w:spacing w:before="80" w:after="200"/>
      </w:pPr>
      <w:r>
        <w:rPr>
          <w:b/>
          <w:color w:val="2E75B6"/>
          <w:sz w:val="20"/>
        </w:rPr>
        <w:t>Judgement: Weak-Mixed   |   Score: 4 / 10</w:t>
      </w:r>
    </w:p>
    <w:p>
      <w:pPr>
        <w:pStyle w:val="Heading2"/>
        <w:spacing w:before="280" w:after="120"/>
      </w:pPr>
      <w:r>
        <w:rPr>
          <w:b/>
          <w:color w:val="2E75B6"/>
          <w:sz w:val="26"/>
        </w:rPr>
        <w:t>3.4 — Customer Concentration</w:t>
      </w:r>
    </w:p>
    <w:p>
      <w:pPr>
        <w:spacing w:after="120"/>
      </w:pPr>
      <w:r>
        <w:rPr>
          <w:i w:val="0"/>
          <w:color w:val="404040"/>
          <w:sz w:val="22"/>
        </w:rPr>
        <w:t>Customer concentration is very low, with a highly diversified base of small and medium-sized businesses. No single customer accounts for a material portion of revenue, which significantly reduces the risk of a single client loss impacting the business. This diversification is a key strength.</w:t>
      </w:r>
    </w:p>
    <w:p>
      <w:pPr>
        <w:spacing w:before="80" w:after="200"/>
      </w:pPr>
      <w:r>
        <w:rPr>
          <w:b/>
          <w:color w:val="2E75B6"/>
          <w:sz w:val="20"/>
        </w:rPr>
        <w:t>Judgement: Strong   |   Score: 10 / 10</w:t>
      </w:r>
    </w:p>
    <w:p>
      <w:pPr>
        <w:pStyle w:val="Heading2"/>
        <w:spacing w:before="280" w:after="120"/>
      </w:pPr>
      <w:r>
        <w:rPr>
          <w:b/>
          <w:color w:val="2E75B6"/>
          <w:sz w:val="26"/>
        </w:rPr>
        <w:t>3.5 — Supplier Concentration</w:t>
      </w:r>
    </w:p>
    <w:p>
      <w:pPr>
        <w:spacing w:after="120"/>
      </w:pPr>
      <w:r>
        <w:rPr>
          <w:i w:val="0"/>
          <w:color w:val="404040"/>
          <w:sz w:val="22"/>
        </w:rPr>
        <w:t>The company sources from a large, global network of suppliers, ensuring no single-point-of-failure risk. This decentralized supply chain allows 4imprint to mitigate disruptions and maintain competitive pricing. The risk of supplier concentration is minimal.</w:t>
      </w:r>
    </w:p>
    <w:p>
      <w:pPr>
        <w:spacing w:before="80" w:after="200"/>
      </w:pPr>
      <w:r>
        <w:rPr>
          <w:b/>
          <w:color w:val="2E75B6"/>
          <w:sz w:val="20"/>
        </w:rPr>
        <w:t>Judgement: Strong   |   Score: 9 / 10</w:t>
      </w:r>
    </w:p>
    <w:p>
      <w:pPr>
        <w:pStyle w:val="Heading2"/>
        <w:spacing w:before="280" w:after="120"/>
      </w:pPr>
      <w:r>
        <w:rPr>
          <w:b/>
          <w:color w:val="2E75B6"/>
          <w:sz w:val="26"/>
        </w:rPr>
        <w:t>3.6 — Macro Sensitivity</w:t>
      </w:r>
    </w:p>
    <w:p>
      <w:pPr>
        <w:spacing w:after="120"/>
      </w:pPr>
      <w:r>
        <w:rPr>
          <w:i w:val="0"/>
          <w:color w:val="404040"/>
          <w:sz w:val="22"/>
        </w:rPr>
        <w:t>The company has high exposure to macro-sensitive demand, as its revenue is directly tied to corporate marketing budgets and general business activity. When companies reduce spending, 4imprint's revenue is directly impacted. This sensitivity is the primary source of fragility for the business.</w:t>
      </w:r>
    </w:p>
    <w:p>
      <w:pPr>
        <w:spacing w:before="80" w:after="200"/>
      </w:pPr>
      <w:r>
        <w:rPr>
          <w:b/>
          <w:color w:val="2E75B6"/>
          <w:sz w:val="20"/>
        </w:rPr>
        <w:t>Judgement: Weak-Mixed   |   Score: 4 / 10</w:t>
      </w:r>
    </w:p>
    <w:p>
      <w:pPr>
        <w:spacing w:before="120"/>
      </w:pPr>
    </w:p>
    <w:tbl>
      <w:tblPr>
        <w:tblW w:type="auto" w:w="0"/>
        <w:jc w:val="left"/>
        <w:tblLook w:firstColumn="1" w:firstRow="1" w:lastColumn="0" w:lastRow="0" w:noHBand="0" w:noVBand="1" w:val="04A0"/>
        <w:tblW w:w="9360" w:type="dxa"/>
      </w:tblPr>
      <w:tblGrid>
        <w:gridCol w:w="4680"/>
        <w:gridCol w:w="4680"/>
      </w:tblGrid>
      <w:tr>
        <w:tc>
          <w:tcPr>
            <w:tcW w:type="dxa" w:w="4680"/>
            <w:tcW w:w="72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404040"/>
                <w:sz w:val="22"/>
              </w:rPr>
              <w:t>Fragility Score</w:t>
            </w:r>
          </w:p>
        </w:tc>
        <w:tc>
          <w:tcPr>
            <w:tcW w:type="dxa" w:w="4680"/>
            <w:tcW w:w="216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6"/>
              </w:rPr>
              <w:t>7 / 10</w:t>
            </w:r>
          </w:p>
        </w:tc>
      </w:tr>
    </w:tbl>
    <w:p>
      <w:pPr>
        <w:spacing w:after="80"/>
      </w:pPr>
    </w:p>
    <w:p>
      <w:r>
        <w:br w:type="page"/>
      </w:r>
    </w:p>
    <w:p>
      <w:pPr>
        <w:pStyle w:val="Heading1"/>
        <w:pBdr>
          <w:bottom w:val="single" w:sz="6" w:space="4" w:color="2E75B6"/>
        </w:pBdr>
        <w:spacing w:before="360" w:after="180"/>
      </w:pPr>
      <w:r>
        <w:rPr>
          <w:b/>
          <w:color w:val="1F4E79"/>
          <w:sz w:val="32"/>
        </w:rPr>
        <w:t>Overall Verdict</w:t>
      </w:r>
    </w:p>
    <w:p>
      <w:pPr>
        <w:pStyle w:val="Heading2"/>
        <w:spacing w:before="280" w:after="120"/>
      </w:pPr>
      <w:r>
        <w:rPr>
          <w:b/>
          <w:color w:val="2E75B6"/>
          <w:sz w:val="26"/>
        </w:rPr>
        <w:t>Weighted Scorecard</w:t>
      </w:r>
    </w:p>
    <w:tbl>
      <w:tblPr>
        <w:tblW w:type="auto" w:w="0"/>
        <w:jc w:val="left"/>
        <w:tblLook w:firstColumn="1" w:firstRow="1" w:lastColumn="0" w:lastRow="0" w:noHBand="0" w:noVBand="1" w:val="04A0"/>
        <w:tblW w:w="9360" w:type="dxa"/>
      </w:tblPr>
      <w:tblGrid>
        <w:gridCol w:w="2340"/>
        <w:gridCol w:w="2340"/>
        <w:gridCol w:w="2340"/>
        <w:gridCol w:w="2340"/>
      </w:tblGrid>
      <w:tr>
        <w:tc>
          <w:tcPr>
            <w:tcW w:type="dxa" w:w="2340"/>
            <w:tcW w:w="4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Tenet</w:t>
            </w:r>
          </w:p>
        </w:tc>
        <w:tc>
          <w:tcPr>
            <w:tcW w:type="dxa" w:w="2340"/>
            <w:tcW w:w="1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Score</w:t>
            </w:r>
          </w:p>
        </w:tc>
        <w:tc>
          <w:tcPr>
            <w:tcW w:type="dxa" w:w="2340"/>
            <w:tcW w:w="162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w:t>
            </w:r>
          </w:p>
        </w:tc>
        <w:tc>
          <w:tcPr>
            <w:tcW w:type="dxa" w:w="2340"/>
            <w:tcW w:w="174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Weighted</w:t>
            </w:r>
          </w:p>
        </w:tc>
      </w:tr>
      <w:tr>
        <w:tc>
          <w:tcPr>
            <w:tcW w:type="dxa" w:w="2340"/>
            <w:tcW w:w="4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Durability (Moat Strength)</w:t>
            </w:r>
          </w:p>
        </w:tc>
        <w:tc>
          <w:tcPr>
            <w:tcW w:type="dxa" w:w="2340"/>
            <w:tcW w:w="1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7</w:t>
            </w:r>
          </w:p>
        </w:tc>
        <w:tc>
          <w:tcPr>
            <w:tcW w:type="dxa" w:w="2340"/>
            <w:tcW w:w="162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40%</w:t>
            </w:r>
          </w:p>
        </w:tc>
        <w:tc>
          <w:tcPr>
            <w:tcW w:type="dxa" w:w="2340"/>
            <w:tcW w:w="174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Compounding Capability</w:t>
            </w:r>
          </w:p>
        </w:tc>
        <w:tc>
          <w:tcPr>
            <w:tcW w:type="dxa" w:w="2340"/>
            <w:tcW w:w="1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8</w:t>
            </w:r>
          </w:p>
        </w:tc>
        <w:tc>
          <w:tcPr>
            <w:tcW w:type="dxa" w:w="2340"/>
            <w:tcW w:w="162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35%</w:t>
            </w:r>
          </w:p>
        </w:tc>
        <w:tc>
          <w:tcPr>
            <w:tcW w:type="dxa" w:w="2340"/>
            <w:tcW w:w="174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Fragility (10 = least fragile)</w:t>
            </w:r>
          </w:p>
        </w:tc>
        <w:tc>
          <w:tcPr>
            <w:tcW w:type="dxa" w:w="2340"/>
            <w:tcW w:w="1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7</w:t>
            </w:r>
          </w:p>
        </w:tc>
        <w:tc>
          <w:tcPr>
            <w:tcW w:type="dxa" w:w="2340"/>
            <w:tcW w:w="162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25%</w:t>
            </w:r>
          </w:p>
        </w:tc>
        <w:tc>
          <w:tcPr>
            <w:tcW w:type="dxa" w:w="2340"/>
            <w:tcW w:w="174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1.8</w:t>
            </w:r>
          </w:p>
        </w:tc>
      </w:tr>
      <w:tr>
        <w:tc>
          <w:tcPr>
            <w:tcW w:type="dxa" w:w="2340"/>
            <w:tcW w:w="4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OVERALL QUALITY SCORE</w:t>
            </w:r>
          </w:p>
        </w:tc>
        <w:tc>
          <w:tcPr>
            <w:tcW w:type="dxa" w:w="2340"/>
            <w:tcW w:w="1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7.3</w:t>
            </w:r>
          </w:p>
        </w:tc>
        <w:tc>
          <w:tcPr>
            <w:tcW w:type="dxa" w:w="2340"/>
            <w:tcW w:w="162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404040"/>
                <w:sz w:val="20"/>
              </w:rPr>
              <w:t>100%</w:t>
            </w:r>
          </w:p>
        </w:tc>
        <w:tc>
          <w:tcPr>
            <w:tcW w:type="dxa" w:w="2340"/>
            <w:tcW w:w="174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7.3</w:t>
            </w:r>
          </w:p>
        </w:tc>
      </w:tr>
    </w:tbl>
    <w:p>
      <w:pPr>
        <w:spacing w:after="120"/>
      </w:pPr>
    </w:p>
    <w:p>
      <w:pPr>
        <w:spacing w:after="160"/>
      </w:pPr>
    </w:p>
    <w:p>
      <w:pPr>
        <w:pStyle w:val="Heading2"/>
        <w:spacing w:before="280" w:after="120"/>
      </w:pPr>
      <w:r>
        <w:rPr>
          <w:b/>
          <w:color w:val="2E75B6"/>
          <w:sz w:val="26"/>
        </w:rPr>
        <w:t>Investment Thesis</w:t>
      </w:r>
    </w:p>
    <w:p>
      <w:pPr>
        <w:spacing w:after="120"/>
      </w:pPr>
      <w:r>
        <w:rPr>
          <w:i w:val="0"/>
          <w:color w:val="404040"/>
          <w:sz w:val="22"/>
        </w:rPr>
        <w:t>4imprint is a high-quality, asset-light operator that has successfully consolidated a fragmented market through superior digital marketing and customer service. Its ability to consistently gain market share and generate strong cash flow makes it an attractive compounder. While the business is cyclical, its lack of customer concentration and strong balance sheet provide a solid foundation for long-term growth.</w:t>
      </w:r>
    </w:p>
    <w:p>
      <w:pPr>
        <w:pStyle w:val="Heading2"/>
        <w:spacing w:before="280" w:after="120"/>
      </w:pPr>
      <w:r>
        <w:rPr>
          <w:b/>
          <w:color w:val="2E75B6"/>
          <w:sz w:val="26"/>
        </w:rPr>
        <w:t>Key Risks to Monitor</w:t>
      </w:r>
    </w:p>
    <w:p>
      <w:pPr>
        <w:pStyle w:val="ListBullet"/>
        <w:spacing w:after="80"/>
      </w:pPr>
      <w:r>
        <w:rPr>
          <w:color w:val="404040"/>
          <w:sz w:val="22"/>
        </w:rPr>
        <w:t>High cyclicality and sensitivity to corporate marketing budgets.</w:t>
      </w:r>
    </w:p>
    <w:p>
      <w:pPr>
        <w:pStyle w:val="ListBullet"/>
        <w:spacing w:after="80"/>
      </w:pPr>
      <w:r>
        <w:rPr>
          <w:color w:val="404040"/>
          <w:sz w:val="22"/>
        </w:rPr>
        <w:t>Intense competition in a commoditized industry.</w:t>
      </w:r>
    </w:p>
    <w:p>
      <w:pPr>
        <w:pStyle w:val="ListBullet"/>
        <w:spacing w:after="80"/>
      </w:pPr>
      <w:r>
        <w:rPr>
          <w:color w:val="404040"/>
          <w:sz w:val="22"/>
        </w:rPr>
        <w:t>Potential for margin compression if marketing acquisition costs rise.</w:t>
      </w:r>
    </w:p>
    <w:p>
      <w:pPr>
        <w:pStyle w:val="ListBullet"/>
        <w:spacing w:after="80"/>
      </w:pPr>
      <w:r>
        <w:rPr>
          <w:color w:val="404040"/>
          <w:sz w:val="22"/>
        </w:rPr>
        <w:t>Dependence on the health of the North American economy.</w:t>
      </w:r>
    </w:p>
    <w:p>
      <w:pPr>
        <w:pStyle w:val="Heading2"/>
        <w:spacing w:before="280" w:after="120"/>
      </w:pPr>
      <w:r>
        <w:rPr>
          <w:b/>
          <w:color w:val="2E75B6"/>
          <w:sz w:val="26"/>
        </w:rPr>
        <w:t>Conviction</w:t>
      </w:r>
    </w:p>
    <w:p>
      <w:pPr>
        <w:spacing w:after="120"/>
      </w:pPr>
      <w:r>
        <w:rPr>
          <w:i w:val="0"/>
          <w:color w:val="404040"/>
          <w:sz w:val="22"/>
        </w:rPr>
        <w:t>Conviction level: High</w:t>
      </w:r>
    </w:p>
    <w:p>
      <w:pPr>
        <w:spacing w:after="120"/>
      </w:pPr>
      <w:r>
        <w:rPr>
          <w:i w:val="0"/>
          <w:color w:val="404040"/>
          <w:sz w:val="22"/>
        </w:rPr>
        <w:t>The company's business model is transparent and its historical performance is well-documented. The primary risks are macro-economic rather than company-specific, which are well-understood.</w:t>
      </w:r>
    </w:p>
    <w:p>
      <w:r>
        <w:br w:type="page"/>
      </w:r>
    </w:p>
    <w:p>
      <w:pPr>
        <w:pStyle w:val="Heading1"/>
        <w:pBdr>
          <w:bottom w:val="single" w:sz="6" w:space="4" w:color="2E75B6"/>
        </w:pBdr>
        <w:spacing w:before="360" w:after="180"/>
      </w:pPr>
      <w:r>
        <w:rPr>
          <w:b/>
          <w:color w:val="1F4E79"/>
          <w:sz w:val="32"/>
        </w:rPr>
        <w:t>Sources</w:t>
      </w:r>
    </w:p>
    <w:tbl>
      <w:tblPr>
        <w:tblW w:type="auto" w:w="0"/>
        <w:jc w:val="left"/>
        <w:tblLook w:firstColumn="1" w:firstRow="1" w:lastColumn="0" w:lastRow="0" w:noHBand="0" w:noVBand="1" w:val="04A0"/>
        <w:tblW w:w="9360" w:type="dxa"/>
      </w:tblPr>
      <w:tblGrid>
        <w:gridCol w:w="4680"/>
        <w:gridCol w:w="4680"/>
      </w:tblGrid>
      <w:tr>
        <w:tc>
          <w:tcPr>
            <w:tcW w:type="dxa" w:w="4680"/>
            <w:tcW w:w="30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Source</w:t>
            </w:r>
          </w:p>
        </w:tc>
        <w:tc>
          <w:tcPr>
            <w:tcW w:type="dxa" w:w="4680"/>
            <w:tcW w:w="636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URL</w:t>
            </w:r>
          </w:p>
        </w:tc>
      </w:tr>
      <w:tr>
        <w:tc>
          <w:tcPr>
            <w:tcW w:type="dxa" w:w="4680"/>
            <w:tcW w:w="3000" w:type="dxa"/>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4imprint Group plc Annual Report 2023</w:t>
            </w:r>
          </w:p>
        </w:tc>
        <w:tc>
          <w:tcPr>
            <w:tcW w:type="dxa" w:w="4680"/>
            <w:tcW w:w="6360" w:type="dxa"/>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i/>
                <w:color w:val="2E75B6"/>
                <w:sz w:val="18"/>
              </w:rPr>
              <w:t>https://investor.4imprint.com/</w:t>
            </w:r>
          </w:p>
        </w:tc>
      </w:tr>
      <w:tr>
        <w:tc>
          <w:tcPr>
            <w:tcW w:type="dxa" w:w="4680"/>
            <w:tcW w:w="3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4imprint Investor Presentations</w:t>
            </w:r>
          </w:p>
        </w:tc>
        <w:tc>
          <w:tcPr>
            <w:tcW w:type="dxa" w:w="4680"/>
            <w:tcW w:w="6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i/>
                <w:color w:val="2E75B6"/>
                <w:sz w:val="18"/>
              </w:rPr>
              <w:t>https://investor.4imprint.com/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