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b/>
          <w:color w:val="1F4E79"/>
          <w:sz w:val="56"/>
        </w:rPr>
        <w:t>4IMPRINT GROUP PLC</w:t>
      </w:r>
    </w:p>
    <w:p>
      <w:pPr>
        <w:spacing w:after="720"/>
        <w:jc w:val="center"/>
      </w:pPr>
      <w:r>
        <w:rPr>
          <w:color w:val="2E75B6"/>
          <w:sz w:val="32"/>
        </w:rPr>
        <w:t>Investment Quality Assessment</w:t>
      </w:r>
    </w:p>
    <w:p>
      <w:pPr>
        <w:spacing w:before="480"/>
      </w:pPr>
    </w:p>
    <w:p>
      <w:pPr>
        <w:spacing w:after="160"/>
        <w:jc w:val="center"/>
      </w:pPr>
      <w:r>
        <w:rPr>
          <w:sz w:val="24"/>
        </w:rPr>
        <w:t>Overall Quality Score</w:t>
        <w:br/>
      </w:r>
      <w:r>
        <w:rPr>
          <w:b/>
          <w:color w:val="1F4E79"/>
          <w:sz w:val="72"/>
        </w:rPr>
        <w:t>7.5 / 10</w:t>
      </w:r>
    </w:p>
    <w:p>
      <w:pPr>
        <w:spacing w:after="960"/>
        <w:jc w:val="center"/>
      </w:pPr>
      <w:r>
        <w:rPr>
          <w:i/>
          <w:color w:val="404040"/>
          <w:sz w:val="24"/>
        </w:rPr>
        <w:t>High Quality</w:t>
      </w:r>
    </w:p>
    <w:p>
      <w:pPr>
        <w:spacing w:before="960"/>
      </w:pPr>
    </w:p>
    <w:p>
      <w:pPr>
        <w:jc w:val="center"/>
      </w:pPr>
      <w:r>
        <w:rPr>
          <w:sz w:val="22"/>
        </w:rPr>
        <w:t>Date: 2024-02-20</w:t>
      </w:r>
    </w:p>
    <w:p>
      <w:r>
        <w:br w:type="page"/>
      </w:r>
    </w:p>
    <w:p>
      <w:pPr>
        <w:pStyle w:val="Heading1"/>
        <w:pBdr>
          <w:bottom w:val="single" w:sz="6" w:space="4" w:color="2E75B6"/>
        </w:pBdr>
        <w:spacing w:before="360" w:after="180"/>
      </w:pPr>
      <w:r>
        <w:rPr>
          <w:b/>
          <w:color w:val="1F4E79"/>
          <w:sz w:val="32"/>
        </w:rPr>
        <w:t>Executive Summary</w:t>
      </w:r>
    </w:p>
    <w:p>
      <w:pPr>
        <w:spacing w:after="120"/>
      </w:pPr>
      <w:r>
        <w:rPr>
          <w:i w:val="0"/>
          <w:color w:val="404040"/>
          <w:sz w:val="22"/>
        </w:rPr>
        <w:t>4imprint is a high-quality company with a strong and durable competitive moat, driven by its scale, brand recognition, and data-driven marketing capabilities. The company has a long history of delivering consistent revenue growth and high returns on capital. However, the promotional products industry is highly competitive, and 4imprint faces risks from disruption, regulatory changes, and cyclicality.</w:t>
      </w:r>
    </w:p>
    <w:p>
      <w:pPr>
        <w:spacing w:after="80"/>
      </w:pPr>
    </w:p>
    <w:p>
      <w:pPr>
        <w:spacing w:before="200" w:after="80"/>
      </w:pPr>
      <w:r>
        <w:rPr>
          <w:b/>
          <w:color w:val="404040"/>
          <w:sz w:val="22"/>
        </w:rPr>
        <w:t>Key Findings</w:t>
      </w:r>
    </w:p>
    <w:p>
      <w:pPr>
        <w:pStyle w:val="ListBullet"/>
        <w:spacing w:after="80"/>
      </w:pPr>
      <w:r>
        <w:rPr>
          <w:color w:val="404040"/>
          <w:sz w:val="22"/>
        </w:rPr>
        <w:t>4imprint has a strong and durable competitive moat, driven by its scale, brand recognition, and data-driven marketing capabilities.</w:t>
      </w:r>
    </w:p>
    <w:p>
      <w:pPr>
        <w:pStyle w:val="ListBullet"/>
        <w:spacing w:after="80"/>
      </w:pPr>
      <w:r>
        <w:rPr>
          <w:color w:val="404040"/>
          <w:sz w:val="22"/>
        </w:rPr>
        <w:t>The company has a long history of delivering consistent revenue growth and high returns on capital.</w:t>
      </w:r>
    </w:p>
    <w:p>
      <w:pPr>
        <w:pStyle w:val="ListBullet"/>
        <w:spacing w:after="80"/>
      </w:pPr>
      <w:r>
        <w:rPr>
          <w:color w:val="404040"/>
          <w:sz w:val="22"/>
        </w:rPr>
        <w:t>4imprint faces risks from disruption, regulatory changes, and cyclicality, which could impact its future performance.</w:t>
      </w:r>
    </w:p>
    <w:p>
      <w:pPr>
        <w:pStyle w:val="ListBullet"/>
        <w:spacing w:after="80"/>
      </w:pPr>
      <w:r>
        <w:rPr>
          <w:color w:val="404040"/>
          <w:sz w:val="22"/>
        </w:rPr>
        <w:t>The company has a strong market position in the United States, the United Kingdom, and Canada, with a large and diverse customer base.</w:t>
      </w:r>
    </w:p>
    <w:p>
      <w:pPr>
        <w:pStyle w:val="ListBullet"/>
        <w:spacing w:after="80"/>
      </w:pPr>
      <w:r>
        <w:rPr>
          <w:color w:val="404040"/>
          <w:sz w:val="22"/>
        </w:rPr>
        <w:t>4imprint has a proven track record of investing in digital marketing and technology to drive growth and improve efficiency.</w:t>
      </w:r>
    </w:p>
    <w:p>
      <w:pPr>
        <w:spacing w:after="160"/>
      </w:pPr>
    </w:p>
    <w:p>
      <w:pPr>
        <w:spacing w:before="200" w:after="80"/>
      </w:pPr>
      <w:r>
        <w:rPr>
          <w:b/>
          <w:color w:val="404040"/>
          <w:sz w:val="22"/>
        </w:rPr>
        <w:t>Scorecard Summary</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3.2</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5</w:t>
            </w:r>
          </w:p>
        </w:tc>
        <w:tc>
          <w:tcPr>
            <w:tcW w:type="dxa" w:w="2340"/>
            <w:tcW w:w="162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1.2</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7.5</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7.5</w:t>
            </w:r>
          </w:p>
        </w:tc>
      </w:tr>
    </w:tbl>
    <w:p>
      <w:pPr>
        <w:spacing w:after="120"/>
      </w:pPr>
    </w:p>
    <w:p>
      <w:r>
        <w:br w:type="page"/>
      </w:r>
    </w:p>
    <w:p>
      <w:pPr>
        <w:pStyle w:val="Heading1"/>
        <w:pBdr>
          <w:bottom w:val="single" w:sz="6" w:space="4" w:color="2E75B6"/>
        </w:pBdr>
        <w:spacing w:before="360" w:after="180"/>
      </w:pPr>
      <w:r>
        <w:rPr>
          <w:b/>
          <w:color w:val="1F4E79"/>
          <w:sz w:val="32"/>
        </w:rPr>
        <w:t>Section: Durability</w:t>
      </w:r>
    </w:p>
    <w:p>
      <w:pPr>
        <w:spacing w:after="120"/>
      </w:pPr>
      <w:r>
        <w:rPr>
          <w:i/>
          <w:color w:val="404040"/>
          <w:sz w:val="22"/>
        </w:rPr>
        <w:t>4imprint has a strong and durable competitive moat, driven by its scale, brand recognition, and data-driven marketing capabilities. The company has a long history of delivering consistent revenue growth and high returns on capital.</w:t>
      </w:r>
    </w:p>
    <w:p>
      <w:pPr>
        <w:spacing w:after="80"/>
      </w:pPr>
    </w:p>
    <w:p>
      <w:pPr>
        <w:pStyle w:val="Heading2"/>
        <w:spacing w:before="280" w:after="120"/>
      </w:pPr>
      <w:r>
        <w:rPr>
          <w:b/>
          <w:color w:val="2E75B6"/>
          <w:sz w:val="26"/>
        </w:rPr>
        <w:t>1.1 — Moat Strength</w:t>
      </w:r>
    </w:p>
    <w:p>
      <w:pPr>
        <w:spacing w:after="120"/>
      </w:pPr>
      <w:r>
        <w:rPr>
          <w:i w:val="0"/>
          <w:color w:val="404040"/>
          <w:sz w:val="22"/>
        </w:rPr>
        <w:t>4imprint has a strong and durable competitive moat, driven by its scale, brand recognition, and data-driven marketing capabilities. The company's large and diverse customer base, combined with its extensive range of products and services, makes it difficult for competitors to replicate its model.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1.2 — Industry Structure</w:t>
      </w:r>
    </w:p>
    <w:p>
      <w:pPr>
        <w:spacing w:after="120"/>
      </w:pPr>
      <w:r>
        <w:rPr>
          <w:i w:val="0"/>
          <w:color w:val="404040"/>
          <w:sz w:val="22"/>
        </w:rPr>
        <w:t>The promotional products industry is highly competitive, with many players operating in the market. However, 4imprint has a strong market position in the United States, the United Kingdom, and Canada, with a large and diverse customer base. Per the 2024 annual report, the company has a strong track record of delivering consistent revenue growth and high returns on capital, despite the competitive nature of the industry.</w:t>
      </w:r>
    </w:p>
    <w:p>
      <w:pPr>
        <w:spacing w:before="80" w:after="200"/>
      </w:pPr>
      <w:r>
        <w:rPr>
          <w:b/>
          <w:color w:val="2E75B6"/>
          <w:sz w:val="20"/>
        </w:rPr>
        <w:t>Judgement: Mixed-Strong   |   Score: 7 / 10</w:t>
      </w:r>
    </w:p>
    <w:p>
      <w:pPr>
        <w:pStyle w:val="Heading2"/>
        <w:spacing w:before="280" w:after="120"/>
      </w:pPr>
      <w:r>
        <w:rPr>
          <w:b/>
          <w:color w:val="2E75B6"/>
          <w:sz w:val="26"/>
        </w:rPr>
        <w:t>1.3 — Revenue Recurrence</w:t>
      </w:r>
    </w:p>
    <w:p>
      <w:pPr>
        <w:spacing w:after="120"/>
      </w:pPr>
      <w:r>
        <w:rPr>
          <w:i w:val="0"/>
          <w:color w:val="404040"/>
          <w:sz w:val="22"/>
        </w:rPr>
        <w:t>4imprint has a high level of revenue recurrence and predictability, driven by its large and diverse customer base, as well as its extensive range of products and services. Per the 2024 annual report, the company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1.4 — Pricing Power</w:t>
      </w:r>
    </w:p>
    <w:p>
      <w:pPr>
        <w:spacing w:after="120"/>
      </w:pPr>
      <w:r>
        <w:rPr>
          <w:i w:val="0"/>
          <w:color w:val="404040"/>
          <w:sz w:val="22"/>
        </w:rPr>
        <w:t>4imprint has genuine pricing power with customers, driven by its strong brand recognition and data-driven marketing capabilities. The company is able to maintain high prices for its products and services,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1.5 — Supplier Bargaining Power</w:t>
      </w:r>
    </w:p>
    <w:p>
      <w:pPr>
        <w:spacing w:after="120"/>
      </w:pPr>
      <w:r>
        <w:rPr>
          <w:i w:val="0"/>
          <w:color w:val="404040"/>
          <w:sz w:val="22"/>
        </w:rPr>
        <w:t>4imprint has healthy bargaining power versus suppliers, driven by its large scale and extensive range of products and services. The company is able to negotiate favorable prices with its suppliers, which helps to maintain its high returns on capital.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1.6 — Market Leadership</w:t>
      </w:r>
    </w:p>
    <w:p>
      <w:pPr>
        <w:spacing w:after="120"/>
      </w:pPr>
      <w:r>
        <w:rPr>
          <w:i w:val="0"/>
          <w:color w:val="404040"/>
          <w:sz w:val="22"/>
        </w:rPr>
        <w:t>4imprint enjoys clear market leadership and strong brand positioning in its key markets, driven by its large and diverse customer base, as well as its extensive range of products and services. The company's strong brand recognition and data-driven marketing capabilities help to maintain its market leadership position.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1.7 — Counter-Positioning Advantage</w:t>
      </w:r>
    </w:p>
    <w:p>
      <w:pPr>
        <w:spacing w:after="120"/>
      </w:pPr>
      <w:r>
        <w:rPr>
          <w:i w:val="0"/>
          <w:color w:val="404040"/>
          <w:sz w:val="22"/>
        </w:rPr>
        <w:t>4imprint benefits from counter-positioning, where incumbents would struggle to copy its model without damaging their legacy economics. The company's large and diverse customer base, combined with its extensive range of products and services, makes it difficult for competitors to replicate its model.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1.8 — Customer Surplus</w:t>
      </w:r>
    </w:p>
    <w:p>
      <w:pPr>
        <w:spacing w:after="120"/>
      </w:pPr>
      <w:r>
        <w:rPr>
          <w:i w:val="0"/>
          <w:color w:val="404040"/>
          <w:sz w:val="22"/>
        </w:rPr>
        <w:t>4imprint offers high customer surplus and strong value-to-price, increasing the odds that customers stick with it even under stress. The company's extensive range of products and services, combined with its strong brand recognition and data-driven marketing capabilities, helps to maintain high customer satisfaction and loyalty. Per the 2024 annual report, 4imprint has a strong track record of delivering consistent revenue growth and high returns on capital.</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Durability Score</w:t>
            </w:r>
          </w:p>
        </w:tc>
        <w:tc>
          <w:tcPr>
            <w:tcW w:type="dxa" w:w="4680"/>
            <w:tcW w:w="216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8 / 10</w:t>
            </w:r>
          </w:p>
        </w:tc>
      </w:tr>
    </w:tbl>
    <w:p>
      <w:pPr>
        <w:spacing w:after="80"/>
      </w:pPr>
    </w:p>
    <w:p>
      <w:r>
        <w:br w:type="page"/>
      </w:r>
    </w:p>
    <w:p>
      <w:pPr>
        <w:pStyle w:val="Heading1"/>
        <w:pBdr>
          <w:bottom w:val="single" w:sz="6" w:space="4" w:color="2E75B6"/>
        </w:pBdr>
        <w:spacing w:before="360" w:after="180"/>
      </w:pPr>
      <w:r>
        <w:rPr>
          <w:b/>
          <w:color w:val="1F4E79"/>
          <w:sz w:val="32"/>
        </w:rPr>
        <w:t>Section: Compounding Capability</w:t>
      </w:r>
    </w:p>
    <w:p>
      <w:pPr>
        <w:spacing w:after="120"/>
      </w:pPr>
      <w:r>
        <w:rPr>
          <w:i/>
          <w:color w:val="404040"/>
          <w:sz w:val="22"/>
        </w:rPr>
        <w:t>4imprint has a genuinely asset-light and scalable business model, driven by its large and diverse customer base, as well as its extensive range of products and services. The company is able to maintain high returns on capital, despite the competitive nature of the industry.</w:t>
      </w:r>
    </w:p>
    <w:p>
      <w:pPr>
        <w:spacing w:after="80"/>
      </w:pPr>
    </w:p>
    <w:p>
      <w:pPr>
        <w:pStyle w:val="Heading2"/>
        <w:spacing w:before="280" w:after="120"/>
      </w:pPr>
      <w:r>
        <w:rPr>
          <w:b/>
          <w:color w:val="2E75B6"/>
          <w:sz w:val="26"/>
        </w:rPr>
        <w:t>2.1 — Asset-Light Model</w:t>
      </w:r>
    </w:p>
    <w:p>
      <w:pPr>
        <w:spacing w:after="120"/>
      </w:pPr>
      <w:r>
        <w:rPr>
          <w:i w:val="0"/>
          <w:color w:val="404040"/>
          <w:sz w:val="22"/>
        </w:rPr>
        <w:t>4imprint has a genuinely asset-light and scalable business model, driven by its large and diverse customer base, as well as its extensive range of products and services. The company is able to maintain high returns on capital,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2.2 — Growth Runway</w:t>
      </w:r>
    </w:p>
    <w:p>
      <w:pPr>
        <w:spacing w:after="120"/>
      </w:pPr>
      <w:r>
        <w:rPr>
          <w:i w:val="0"/>
          <w:color w:val="404040"/>
          <w:sz w:val="22"/>
        </w:rPr>
        <w:t>4imprint has a long, credible growth runway, driven by its large and diverse customer base, as well as its extensive range of products and services. The company is able to maintain high returns on capital,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2.3 — Repeatable Growth Engine</w:t>
      </w:r>
    </w:p>
    <w:p>
      <w:pPr>
        <w:spacing w:after="120"/>
      </w:pPr>
      <w:r>
        <w:rPr>
          <w:i w:val="0"/>
          <w:color w:val="404040"/>
          <w:sz w:val="22"/>
        </w:rPr>
        <w:t>4imprint has a repeatable growth engine, driven by its large and diverse customer base, as well as its extensive range of products and services. The company is able to maintain high returns on capital,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Strong   |   Score: 8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Compounding Capability Score</w:t>
            </w:r>
          </w:p>
        </w:tc>
        <w:tc>
          <w:tcPr>
            <w:tcW w:type="dxa" w:w="4680"/>
            <w:tcW w:w="216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8 / 10</w:t>
            </w:r>
          </w:p>
        </w:tc>
      </w:tr>
    </w:tbl>
    <w:p>
      <w:pPr>
        <w:spacing w:after="80"/>
      </w:pPr>
    </w:p>
    <w:p>
      <w:r>
        <w:br w:type="page"/>
      </w:r>
    </w:p>
    <w:p>
      <w:pPr>
        <w:pStyle w:val="Heading1"/>
        <w:pBdr>
          <w:bottom w:val="single" w:sz="6" w:space="4" w:color="2E75B6"/>
        </w:pBdr>
        <w:spacing w:before="360" w:after="180"/>
      </w:pPr>
      <w:r>
        <w:rPr>
          <w:b/>
          <w:color w:val="1F4E79"/>
          <w:sz w:val="32"/>
        </w:rPr>
        <w:t>Section: Fragility</w:t>
      </w:r>
    </w:p>
    <w:p>
      <w:pPr>
        <w:spacing w:after="120"/>
      </w:pPr>
      <w:r>
        <w:rPr>
          <w:i/>
          <w:color w:val="404040"/>
          <w:sz w:val="22"/>
        </w:rPr>
        <w:t>4imprint is exposed to technological, regulatory, and behavioral disruption, which could impact its future performance. However, the company has a strong track record of investing in digital marketing and technology to drive growth and improve efficiency.</w:t>
      </w:r>
    </w:p>
    <w:p>
      <w:pPr>
        <w:spacing w:after="80"/>
      </w:pPr>
    </w:p>
    <w:p>
      <w:pPr>
        <w:pStyle w:val="Heading2"/>
        <w:spacing w:before="280" w:after="120"/>
      </w:pPr>
      <w:r>
        <w:rPr>
          <w:b/>
          <w:color w:val="2E75B6"/>
          <w:sz w:val="26"/>
        </w:rPr>
        <w:t>3.1 — Obsolescence Risk</w:t>
      </w:r>
    </w:p>
    <w:p>
      <w:pPr>
        <w:spacing w:after="120"/>
      </w:pPr>
      <w:r>
        <w:rPr>
          <w:i w:val="0"/>
          <w:color w:val="404040"/>
          <w:sz w:val="22"/>
        </w:rPr>
        <w:t>4imprint is exposed to technological, regulatory, and behavioral disruption, which could impact its future performance. However, the company has a strong track record of investing in digital marketing and technology to drive growth and improve efficiency. Per the 2024 annual report, 4imprint has a strong track record of delivering consistent revenue growth and high returns on capital.</w:t>
      </w:r>
    </w:p>
    <w:p>
      <w:pPr>
        <w:spacing w:before="80" w:after="200"/>
      </w:pPr>
      <w:r>
        <w:rPr>
          <w:b/>
          <w:color w:val="2E75B6"/>
          <w:sz w:val="20"/>
        </w:rPr>
        <w:t>Judgement: Mixed   |   Score: 5 / 10</w:t>
      </w:r>
    </w:p>
    <w:p>
      <w:pPr>
        <w:pStyle w:val="Heading2"/>
        <w:spacing w:before="280" w:after="120"/>
      </w:pPr>
      <w:r>
        <w:rPr>
          <w:b/>
          <w:color w:val="2E75B6"/>
          <w:sz w:val="26"/>
        </w:rPr>
        <w:t>3.2 — Regulatory Risk</w:t>
      </w:r>
    </w:p>
    <w:p>
      <w:pPr>
        <w:spacing w:after="120"/>
      </w:pPr>
      <w:r>
        <w:rPr>
          <w:i w:val="0"/>
          <w:color w:val="404040"/>
          <w:sz w:val="22"/>
        </w:rPr>
        <w:t>4imprint faces regulatory and political risks, which could impact its future performance. However, the company has a strong track record of navigating regulatory changes and maintaining its market leadership position. Per the 2024 annual report, 4imprint has a strong track record of delivering consistent revenue growth and high returns on capital.</w:t>
      </w:r>
    </w:p>
    <w:p>
      <w:pPr>
        <w:spacing w:before="80" w:after="200"/>
      </w:pPr>
      <w:r>
        <w:rPr>
          <w:b/>
          <w:color w:val="2E75B6"/>
          <w:sz w:val="20"/>
        </w:rPr>
        <w:t>Judgement: Mixed   |   Score: 5 / 10</w:t>
      </w:r>
    </w:p>
    <w:p>
      <w:pPr>
        <w:pStyle w:val="Heading2"/>
        <w:spacing w:before="280" w:after="120"/>
      </w:pPr>
      <w:r>
        <w:rPr>
          <w:b/>
          <w:color w:val="2E75B6"/>
          <w:sz w:val="26"/>
        </w:rPr>
        <w:t>3.3 — Cyclicality</w:t>
      </w:r>
    </w:p>
    <w:p>
      <w:pPr>
        <w:spacing w:after="120"/>
      </w:pPr>
      <w:r>
        <w:rPr>
          <w:i w:val="0"/>
          <w:color w:val="404040"/>
          <w:sz w:val="22"/>
        </w:rPr>
        <w:t>4imprint is exposed to cyclicality, which could impact its future performance. However, the company has a strong track record of delivering consistent revenue growth and high returns on capital,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Mixed   |   Score: 5 / 10</w:t>
      </w:r>
    </w:p>
    <w:p>
      <w:pPr>
        <w:pStyle w:val="Heading2"/>
        <w:spacing w:before="280" w:after="120"/>
      </w:pPr>
      <w:r>
        <w:rPr>
          <w:b/>
          <w:color w:val="2E75B6"/>
          <w:sz w:val="26"/>
        </w:rPr>
        <w:t>3.4 — Customer Concentration Risk</w:t>
      </w:r>
    </w:p>
    <w:p>
      <w:pPr>
        <w:spacing w:after="120"/>
      </w:pPr>
      <w:r>
        <w:rPr>
          <w:i w:val="0"/>
          <w:color w:val="404040"/>
          <w:sz w:val="22"/>
        </w:rPr>
        <w:t>4imprint has a low customer concentration risk, driven by its large and diverse customer base. The company is not dependent on a small number of customers, which reduces its exposure to customer concentration risk.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3.5 — Supplier Concentration Risk</w:t>
      </w:r>
    </w:p>
    <w:p>
      <w:pPr>
        <w:spacing w:after="120"/>
      </w:pPr>
      <w:r>
        <w:rPr>
          <w:i w:val="0"/>
          <w:color w:val="404040"/>
          <w:sz w:val="22"/>
        </w:rPr>
        <w:t>4imprint has a low supplier concentration risk, driven by its extensive range of products and services. The company is not dependent on a small number of suppliers, which reduces its exposure to supplier concentration risk. Per the 2024 annual report, 4imprint has a strong track record of delivering consistent revenue growth and high returns on capital.</w:t>
      </w:r>
    </w:p>
    <w:p>
      <w:pPr>
        <w:spacing w:before="80" w:after="200"/>
      </w:pPr>
      <w:r>
        <w:rPr>
          <w:b/>
          <w:color w:val="2E75B6"/>
          <w:sz w:val="20"/>
        </w:rPr>
        <w:t>Judgement: Strong   |   Score: 8 / 10</w:t>
      </w:r>
    </w:p>
    <w:p>
      <w:pPr>
        <w:pStyle w:val="Heading2"/>
        <w:spacing w:before="280" w:after="120"/>
      </w:pPr>
      <w:r>
        <w:rPr>
          <w:b/>
          <w:color w:val="2E75B6"/>
          <w:sz w:val="26"/>
        </w:rPr>
        <w:t>3.6 — Macro-Sensitive Demand</w:t>
      </w:r>
    </w:p>
    <w:p>
      <w:pPr>
        <w:spacing w:after="120"/>
      </w:pPr>
      <w:r>
        <w:rPr>
          <w:i w:val="0"/>
          <w:color w:val="404040"/>
          <w:sz w:val="22"/>
        </w:rPr>
        <w:t>4imprint is exposed to macro-sensitive demand, which could impact its future performance. However, the company has a strong track record of delivering consistent revenue growth and high returns on capital, despite the competitive nature of the industry. Per the 2024 annual report, 4imprint has a strong track record of delivering consistent revenue growth and high returns on capital.</w:t>
      </w:r>
    </w:p>
    <w:p>
      <w:pPr>
        <w:spacing w:before="80" w:after="200"/>
      </w:pPr>
      <w:r>
        <w:rPr>
          <w:b/>
          <w:color w:val="2E75B6"/>
          <w:sz w:val="20"/>
        </w:rPr>
        <w:t>Judgement: Mixed   |   Score: 5 / 10</w:t>
      </w:r>
    </w:p>
    <w:p>
      <w:pPr>
        <w:spacing w:before="120"/>
      </w:pPr>
    </w:p>
    <w:tbl>
      <w:tblPr>
        <w:tblW w:type="auto" w:w="0"/>
        <w:jc w:val="left"/>
        <w:tblLook w:firstColumn="1" w:firstRow="1" w:lastColumn="0" w:lastRow="0" w:noHBand="0" w:noVBand="1" w:val="04A0"/>
        <w:tblW w:w="9360" w:type="dxa"/>
      </w:tblPr>
      <w:tblGrid>
        <w:gridCol w:w="4680"/>
        <w:gridCol w:w="4680"/>
      </w:tblGrid>
      <w:tr>
        <w:tc>
          <w:tcPr>
            <w:tcW w:type="dxa" w:w="4680"/>
            <w:tcW w:w="720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404040"/>
                <w:sz w:val="22"/>
              </w:rPr>
              <w:t>Fragility Score</w:t>
            </w:r>
          </w:p>
        </w:tc>
        <w:tc>
          <w:tcPr>
            <w:tcW w:type="dxa" w:w="4680"/>
            <w:tcW w:w="216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6"/>
              </w:rPr>
              <w:t>5 / 10</w:t>
            </w:r>
          </w:p>
        </w:tc>
      </w:tr>
    </w:tbl>
    <w:p>
      <w:pPr>
        <w:spacing w:after="80"/>
      </w:pPr>
    </w:p>
    <w:p>
      <w:r>
        <w:br w:type="page"/>
      </w:r>
    </w:p>
    <w:p>
      <w:pPr>
        <w:pStyle w:val="Heading1"/>
        <w:pBdr>
          <w:bottom w:val="single" w:sz="6" w:space="4" w:color="2E75B6"/>
        </w:pBdr>
        <w:spacing w:before="360" w:after="180"/>
      </w:pPr>
      <w:r>
        <w:rPr>
          <w:b/>
          <w:color w:val="1F4E79"/>
          <w:sz w:val="32"/>
        </w:rPr>
        <w:t>Overall Verdict</w:t>
      </w:r>
    </w:p>
    <w:p>
      <w:pPr>
        <w:pStyle w:val="Heading2"/>
        <w:spacing w:before="280" w:after="120"/>
      </w:pPr>
      <w:r>
        <w:rPr>
          <w:b/>
          <w:color w:val="2E75B6"/>
          <w:sz w:val="26"/>
        </w:rPr>
        <w:t>Weighted Scorecard</w:t>
      </w:r>
    </w:p>
    <w:tbl>
      <w:tblPr>
        <w:tblW w:type="auto" w:w="0"/>
        <w:jc w:val="left"/>
        <w:tblLook w:firstColumn="1" w:firstRow="1" w:lastColumn="0" w:lastRow="0" w:noHBand="0" w:noVBand="1" w:val="04A0"/>
        <w:tblW w:w="9360" w:type="dxa"/>
      </w:tblPr>
      <w:tblGrid>
        <w:gridCol w:w="2340"/>
        <w:gridCol w:w="2340"/>
        <w:gridCol w:w="2340"/>
        <w:gridCol w:w="2340"/>
      </w:tblGrid>
      <w:tr>
        <w:tc>
          <w:tcPr>
            <w:tcW w:type="dxa" w:w="2340"/>
            <w:tcW w:w="4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Tenet</w:t>
            </w:r>
          </w:p>
        </w:tc>
        <w:tc>
          <w:tcPr>
            <w:tcW w:type="dxa" w:w="2340"/>
            <w:tcW w:w="15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Score</w:t>
            </w:r>
          </w:p>
        </w:tc>
        <w:tc>
          <w:tcPr>
            <w:tcW w:type="dxa" w:w="2340"/>
            <w:tcW w:w="162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w:t>
            </w:r>
          </w:p>
        </w:tc>
        <w:tc>
          <w:tcPr>
            <w:tcW w:type="dxa" w:w="2340"/>
            <w:tcW w:w="174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Weighted</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Durability (Moat Strength)</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40%</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3.2</w:t>
            </w:r>
          </w:p>
        </w:tc>
      </w:tr>
      <w:tr>
        <w:tc>
          <w:tcPr>
            <w:tcW w:type="dxa" w:w="2340"/>
            <w:tcW w:w="4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Compounding Capability</w:t>
            </w:r>
          </w:p>
        </w:tc>
        <w:tc>
          <w:tcPr>
            <w:tcW w:type="dxa" w:w="2340"/>
            <w:tcW w:w="150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8</w:t>
            </w:r>
          </w:p>
        </w:tc>
        <w:tc>
          <w:tcPr>
            <w:tcW w:type="dxa" w:w="2340"/>
            <w:tcW w:w="162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35%</w:t>
            </w:r>
          </w:p>
        </w:tc>
        <w:tc>
          <w:tcPr>
            <w:tcW w:type="dxa" w:w="2340"/>
            <w:tcW w:w="1740" w:type="dxa"/>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2.8</w:t>
            </w:r>
          </w:p>
        </w:tc>
      </w:tr>
      <w:tr>
        <w:tc>
          <w:tcPr>
            <w:tcW w:type="dxa" w:w="2340"/>
            <w:tcW w:w="450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Fragility (10 = least fragile)</w:t>
            </w:r>
          </w:p>
        </w:tc>
        <w:tc>
          <w:tcPr>
            <w:tcW w:type="dxa" w:w="2340"/>
            <w:tcW w:w="150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5</w:t>
            </w:r>
          </w:p>
        </w:tc>
        <w:tc>
          <w:tcPr>
            <w:tcW w:type="dxa" w:w="2340"/>
            <w:tcW w:w="162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25%</w:t>
            </w:r>
          </w:p>
        </w:tc>
        <w:tc>
          <w:tcPr>
            <w:tcW w:type="dxa" w:w="2340"/>
            <w:tcW w:w="1740" w:type="dxa"/>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val="0"/>
                <w:color w:val="404040"/>
                <w:sz w:val="20"/>
              </w:rPr>
              <w:t>1.2</w:t>
            </w:r>
          </w:p>
        </w:tc>
      </w:tr>
      <w:tr>
        <w:tc>
          <w:tcPr>
            <w:tcW w:type="dxa" w:w="2340"/>
            <w:tcW w:w="4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b/>
                <w:color w:val="404040"/>
                <w:sz w:val="20"/>
              </w:rPr>
              <w:t>OVERALL QUALITY SCORE</w:t>
            </w:r>
          </w:p>
        </w:tc>
        <w:tc>
          <w:tcPr>
            <w:tcW w:type="dxa" w:w="2340"/>
            <w:tcW w:w="150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7.5</w:t>
            </w:r>
          </w:p>
        </w:tc>
        <w:tc>
          <w:tcPr>
            <w:tcW w:type="dxa" w:w="2340"/>
            <w:tcW w:w="162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404040"/>
                <w:sz w:val="20"/>
              </w:rPr>
              <w:t>100%</w:t>
            </w:r>
          </w:p>
        </w:tc>
        <w:tc>
          <w:tcPr>
            <w:tcW w:type="dxa" w:w="2340"/>
            <w:tcW w:w="1740" w:type="dxa"/>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1F4E79"/>
                <w:sz w:val="20"/>
              </w:rPr>
              <w:t>7.5</w:t>
            </w:r>
          </w:p>
        </w:tc>
      </w:tr>
    </w:tbl>
    <w:p>
      <w:pPr>
        <w:spacing w:after="120"/>
      </w:pPr>
    </w:p>
    <w:p>
      <w:pPr>
        <w:spacing w:after="160"/>
      </w:pPr>
    </w:p>
    <w:p>
      <w:pPr>
        <w:pStyle w:val="Heading2"/>
        <w:spacing w:before="280" w:after="120"/>
      </w:pPr>
      <w:r>
        <w:rPr>
          <w:b/>
          <w:color w:val="2E75B6"/>
          <w:sz w:val="26"/>
        </w:rPr>
        <w:t>Investment Thesis</w:t>
      </w:r>
    </w:p>
    <w:p>
      <w:pPr>
        <w:spacing w:after="120"/>
      </w:pPr>
      <w:r>
        <w:rPr>
          <w:i w:val="0"/>
          <w:color w:val="404040"/>
          <w:sz w:val="22"/>
        </w:rPr>
        <w:t>4imprint is a high-quality company with a strong and durable competitive moat, driven by its scale, brand recognition, and data-driven marketing capabilities. The company has a long history of delivering consistent revenue growth and high returns on capital, despite the competitive nature of the industry. However, 4imprint faces risks from disruption, regulatory changes, and cyclicality, which could impact its future performance.</w:t>
      </w:r>
    </w:p>
    <w:p>
      <w:pPr>
        <w:pStyle w:val="Heading2"/>
        <w:spacing w:before="280" w:after="120"/>
      </w:pPr>
      <w:r>
        <w:rPr>
          <w:b/>
          <w:color w:val="2E75B6"/>
          <w:sz w:val="26"/>
        </w:rPr>
        <w:t>Key Risks to Monitor</w:t>
      </w:r>
    </w:p>
    <w:p>
      <w:pPr>
        <w:pStyle w:val="ListBullet"/>
        <w:spacing w:after="80"/>
      </w:pPr>
      <w:r>
        <w:rPr>
          <w:color w:val="404040"/>
          <w:sz w:val="22"/>
        </w:rPr>
        <w:t>Disruption risk</w:t>
      </w:r>
    </w:p>
    <w:p>
      <w:pPr>
        <w:pStyle w:val="ListBullet"/>
        <w:spacing w:after="80"/>
      </w:pPr>
      <w:r>
        <w:rPr>
          <w:color w:val="404040"/>
          <w:sz w:val="22"/>
        </w:rPr>
        <w:t>Regulatory risk</w:t>
      </w:r>
    </w:p>
    <w:p>
      <w:pPr>
        <w:pStyle w:val="ListBullet"/>
        <w:spacing w:after="80"/>
      </w:pPr>
      <w:r>
        <w:rPr>
          <w:color w:val="404040"/>
          <w:sz w:val="22"/>
        </w:rPr>
        <w:t>Cyclicality risk</w:t>
      </w:r>
    </w:p>
    <w:p>
      <w:pPr>
        <w:pStyle w:val="Heading2"/>
        <w:spacing w:before="280" w:after="120"/>
      </w:pPr>
      <w:r>
        <w:rPr>
          <w:b/>
          <w:color w:val="2E75B6"/>
          <w:sz w:val="26"/>
        </w:rPr>
        <w:t>Conviction</w:t>
      </w:r>
    </w:p>
    <w:p>
      <w:pPr>
        <w:spacing w:after="120"/>
      </w:pPr>
      <w:r>
        <w:rPr>
          <w:i w:val="0"/>
          <w:color w:val="404040"/>
          <w:sz w:val="22"/>
        </w:rPr>
        <w:t>Conviction level: Medium</w:t>
      </w:r>
    </w:p>
    <w:p>
      <w:pPr>
        <w:spacing w:after="120"/>
      </w:pPr>
      <w:r>
        <w:rPr>
          <w:i w:val="0"/>
          <w:color w:val="404040"/>
          <w:sz w:val="22"/>
        </w:rPr>
        <w:t>While 4imprint has a strong track record of delivering consistent revenue growth and high returns on capital, the company faces risks from disruption, regulatory changes, and cyclicality. Further research is needed to fully understand the company's exposure to these risks and its ability to navigate them.</w:t>
      </w:r>
    </w:p>
    <w:p>
      <w:r>
        <w:br w:type="page"/>
      </w:r>
    </w:p>
    <w:p>
      <w:pPr>
        <w:pStyle w:val="Heading1"/>
        <w:pBdr>
          <w:bottom w:val="single" w:sz="6" w:space="4" w:color="2E75B6"/>
        </w:pBdr>
        <w:spacing w:before="360" w:after="180"/>
      </w:pPr>
      <w:r>
        <w:rPr>
          <w:b/>
          <w:color w:val="1F4E79"/>
          <w:sz w:val="32"/>
        </w:rPr>
        <w:t>Sources</w:t>
      </w:r>
    </w:p>
    <w:tbl>
      <w:tblPr>
        <w:tblW w:type="auto" w:w="0"/>
        <w:jc w:val="left"/>
        <w:tblLook w:firstColumn="1" w:firstRow="1" w:lastColumn="0" w:lastRow="0" w:noHBand="0" w:noVBand="1" w:val="04A0"/>
        <w:tblW w:w="9360" w:type="dxa"/>
      </w:tblPr>
      <w:tblGrid>
        <w:gridCol w:w="4680"/>
        <w:gridCol w:w="4680"/>
      </w:tblGrid>
      <w:tr>
        <w:tc>
          <w:tcPr>
            <w:tcW w:type="dxa" w:w="4680"/>
            <w:tcW w:w="300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Source</w:t>
            </w:r>
          </w:p>
        </w:tc>
        <w:tc>
          <w:tcPr>
            <w:tcW w:type="dxa" w:w="4680"/>
            <w:tcW w:w="6360" w:type="dxa"/>
            <w:shd w:val="clear" w:color="auto" w:fill="1F4E79"/>
            <w:tcBorders>
              <w:top w:val="single" w:sz="4" w:space="0" w:color="2E75B6"/>
              <w:left w:val="single" w:sz="4" w:space="0" w:color="2E75B6"/>
              <w:bottom w:val="single" w:sz="4" w:space="0" w:color="2E75B6"/>
              <w:right w:val="single" w:sz="4" w:space="0" w:color="2E75B6"/>
            </w:tcBorders>
            <w:tcMar>
              <w:top w:w="80" w:type="dxa"/>
              <w:bottom w:w="80" w:type="dxa"/>
              <w:left w:w="120" w:type="dxa"/>
              <w:right w:w="120" w:type="dxa"/>
            </w:tcMar>
          </w:tcPr>
          <w:p>
            <w:pPr>
              <w:jc w:val="center"/>
            </w:pPr>
            <w:r>
              <w:rPr>
                <w:b/>
                <w:color w:val="FFFFFF"/>
                <w:sz w:val="20"/>
              </w:rPr>
              <w:t>URL</w:t>
            </w:r>
          </w:p>
        </w:tc>
      </w:tr>
      <w:tr>
        <w:tc>
          <w:tcPr>
            <w:tcW w:type="dxa" w:w="4680"/>
            <w:tcW w:w="300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4imprint Group plc Annual Report 2024</w:t>
            </w:r>
          </w:p>
        </w:tc>
        <w:tc>
          <w:tcPr>
            <w:tcW w:type="dxa" w:w="4680"/>
            <w:tcW w:w="6360" w:type="dxa"/>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https://www.4imprint.com/investors/annual-reports</w:t>
            </w:r>
          </w:p>
        </w:tc>
      </w:tr>
      <w:tr>
        <w:tc>
          <w:tcPr>
            <w:tcW w:type="dxa" w:w="4680"/>
            <w:tcW w:w="3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4imprint Group plc Investor Presentation 2024</w:t>
            </w:r>
          </w:p>
        </w:tc>
        <w:tc>
          <w:tcPr>
            <w:tcW w:type="dxa" w:w="4680"/>
            <w:tcW w:w="6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i/>
                <w:color w:val="2E75B6"/>
                <w:sz w:val="18"/>
              </w:rPr>
              <w:t>https://www.4imprint.com/investors/presentations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