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_rels/chart4.xml.rels" ContentType="application/vnd.openxmlformats-package.relationships+xml"/>
  <Override PartName="/word/charts/_rels/chart3.xml.rels" ContentType="application/vnd.openxmlformats-package.relationships+xml"/>
  <Override PartName="/word/charts/_rels/chart2.xml.rels" ContentType="application/vnd.openxmlformats-package.relationship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embeddings/Microsoft_Excel_Worksheet3.xlsx" ContentType="application/vnd.openxmlformats-officedocument.spreadsheetml.sheet"/>
  <Override PartName="/word/embeddings/Microsoft_Excel_Worksheet2.xlsx" ContentType="application/vnd.openxmlformats-officedocument.spreadsheetml.sheet"/>
  <Override PartName="/word/embeddings/Microsoft_Excel_Worksheet1.xlsx" ContentType="application/vnd.openxmlformats-officedocument.spreadsheetml.sheet"/>
  <Override PartName="/word/embeddings/Microsoft_Excel_Worksheet.xlsx" ContentType="application/vnd.openxmlformats-officedocument.spreadsheetml.shee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CS 521 ML &amp; Compilers </w:t>
      </w:r>
      <w:r>
        <w:rPr>
          <w:b/>
          <w:bCs/>
          <w:sz w:val="32"/>
          <w:szCs w:val="32"/>
        </w:rPr>
        <w:t>Fall</w:t>
      </w:r>
      <w:r>
        <w:rPr>
          <w:b/>
          <w:bCs/>
          <w:sz w:val="32"/>
          <w:szCs w:val="32"/>
        </w:rPr>
        <w:t xml:space="preserve"> 202</w:t>
      </w:r>
      <w:r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 xml:space="preserve"> – MP1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Student Name:     </w:t>
      </w:r>
      <w:r>
        <w:rPr>
          <w:b/>
          <w:bCs/>
          <w:sz w:val="24"/>
          <w:szCs w:val="24"/>
          <w:highlight w:val="yellow"/>
        </w:rPr>
        <w:t>&lt;    fill    &gt;</w:t>
      </w:r>
    </w:p>
    <w:p>
      <w:pPr>
        <w:pStyle w:val="Normal"/>
        <w:rPr/>
      </w:pPr>
      <w:r>
        <w:rPr>
          <w:b/>
          <w:bCs/>
          <w:sz w:val="24"/>
          <w:szCs w:val="24"/>
        </w:rPr>
        <w:t xml:space="preserve">NetID:     </w:t>
      </w:r>
      <w:r>
        <w:rPr>
          <w:b/>
          <w:bCs/>
          <w:sz w:val="24"/>
          <w:szCs w:val="24"/>
          <w:highlight w:val="yellow"/>
        </w:rPr>
        <w:t>&lt;    fill    &gt;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1 CPU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1.2) </w:t>
      </w:r>
      <w:r>
        <w:rPr>
          <w:b/>
          <w:bCs/>
          <w:sz w:val="24"/>
          <w:szCs w:val="24"/>
          <w:u w:val="single"/>
        </w:rPr>
        <w:t>Ablation Study: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5486400" cy="3200400"/>
            <wp:effectExtent l="0" t="0" r="0" b="0"/>
            <wp:docPr id="1" name="Chart 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Insight: </w:t>
      </w:r>
      <w:r>
        <w:rPr>
          <w:sz w:val="24"/>
          <w:szCs w:val="24"/>
        </w:rPr>
        <w:t>one paragraph describing the results above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1.3) </w:t>
      </w:r>
      <w:r>
        <w:rPr>
          <w:b/>
          <w:bCs/>
          <w:sz w:val="24"/>
          <w:szCs w:val="24"/>
          <w:u w:val="single"/>
        </w:rPr>
        <w:t>Scaling Study: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5219700" cy="2178050"/>
            <wp:effectExtent l="0" t="0" r="0" b="0"/>
            <wp:docPr id="2" name="Chart 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Insight: </w:t>
      </w:r>
      <w:r>
        <w:rPr>
          <w:sz w:val="24"/>
          <w:szCs w:val="24"/>
        </w:rPr>
        <w:t>one paragraph describing the results above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2 GPU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2.2)  </w:t>
      </w:r>
      <w:r>
        <w:rPr>
          <w:b/>
          <w:bCs/>
          <w:sz w:val="24"/>
          <w:szCs w:val="24"/>
          <w:u w:val="single"/>
        </w:rPr>
        <w:t>Ablation Study: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5486400" cy="3200400"/>
            <wp:effectExtent l="0" t="0" r="0" b="0"/>
            <wp:docPr id="3" name="Object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Insight: </w:t>
      </w:r>
      <w:r>
        <w:rPr>
          <w:sz w:val="24"/>
          <w:szCs w:val="24"/>
        </w:rPr>
        <w:t>one paragraph describing the results above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160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2.3) </w:t>
      </w:r>
      <w:r>
        <w:rPr>
          <w:b/>
          <w:bCs/>
          <w:sz w:val="24"/>
          <w:szCs w:val="24"/>
          <w:u w:val="single"/>
        </w:rPr>
        <w:t>Scaling Study: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5219700" cy="2178050"/>
            <wp:effectExtent l="0" t="0" r="0" b="0"/>
            <wp:docPr id="4" name="Object3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Insight: </w:t>
      </w:r>
      <w:r>
        <w:rPr>
          <w:sz w:val="24"/>
          <w:szCs w:val="24"/>
        </w:rPr>
        <w:t>one paragraph describing the results above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ff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ff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ff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ff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ff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ff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ff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ff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ff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65f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65ff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65ff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65fff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65fff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65fff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65fff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65fff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65fff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65ff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65ff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65ff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65fff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65ff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65fff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65ff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ff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ff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65ff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65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chart" Target="charts/chart4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1.xlsx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2.xlsx"/>
</Relationships>
</file>

<file path=word/charts/_rels/chart4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3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lang="en-US" sz="1400" spc="-1" strike="noStrike">
                <a:solidFill>
                  <a:srgbClr val="595959"/>
                </a:solidFill>
                <a:latin typeface="Aptos"/>
              </a:defRPr>
            </a:pPr>
            <a:r>
              <a:rPr b="0" lang="en-US" sz="1400" spc="-1" strike="noStrike">
                <a:solidFill>
                  <a:srgbClr val="595959"/>
                </a:solidFill>
                <a:latin typeface="Aptos"/>
              </a:rPr>
              <a:t>Ablation: Speedup of Optimizations 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Size=1000</c:v>
                </c:pt>
              </c:strCache>
            </c:strRef>
          </c:tx>
          <c:spPr>
            <a:solidFill>
              <a:srgbClr val="156082"/>
            </a:solidFill>
            <a:ln w="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Naïve</c:v>
                </c:pt>
                <c:pt idx="1">
                  <c:v>O1</c:v>
                </c:pt>
                <c:pt idx="2">
                  <c:v>O1+O2</c:v>
                </c:pt>
                <c:pt idx="3">
                  <c:v>O1+O2+O3</c:v>
                </c:pt>
                <c:pt idx="4">
                  <c:v>O1+O2+O3+O4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Size=10^66</c:v>
                </c:pt>
              </c:strCache>
            </c:strRef>
          </c:tx>
          <c:spPr>
            <a:solidFill>
              <a:srgbClr val="e97132"/>
            </a:solidFill>
            <a:ln w="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Naïve</c:v>
                </c:pt>
                <c:pt idx="1">
                  <c:v>O1</c:v>
                </c:pt>
                <c:pt idx="2">
                  <c:v>O1+O2</c:v>
                </c:pt>
                <c:pt idx="3">
                  <c:v>O1+O2+O3</c:v>
                </c:pt>
                <c:pt idx="4">
                  <c:v>O1+O2+O3+O4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1</c:v>
                </c:pt>
                <c:pt idx="1">
                  <c:v>2.2</c:v>
                </c:pt>
                <c:pt idx="2">
                  <c:v>3.3</c:v>
                </c:pt>
                <c:pt idx="3">
                  <c:v>4.4</c:v>
                </c:pt>
                <c:pt idx="4">
                  <c:v>5.5</c:v>
                </c:pt>
              </c:numCache>
            </c:numRef>
          </c:val>
        </c:ser>
        <c:gapWidth val="219"/>
        <c:overlap val="-27"/>
        <c:axId val="16434698"/>
        <c:axId val="30636707"/>
      </c:barChart>
      <c:catAx>
        <c:axId val="1643469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30636707"/>
        <c:crosses val="autoZero"/>
        <c:auto val="1"/>
        <c:lblAlgn val="ctr"/>
        <c:lblOffset val="100"/>
        <c:noMultiLvlLbl val="0"/>
      </c:catAx>
      <c:valAx>
        <c:axId val="30636707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16434698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595959"/>
              </a:solidFill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After O1</c:v>
                </c:pt>
              </c:strCache>
            </c:strRef>
          </c:tx>
          <c:spPr>
            <a:solidFill>
              <a:srgbClr val="156082"/>
            </a:solidFill>
            <a:ln cap="rnd" w="19080">
              <a:solidFill>
                <a:srgbClr val="156082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2</c:v>
                </c:pt>
                <c:pt idx="1">
                  <c:v>3</c:v>
                </c:pt>
                <c:pt idx="2">
                  <c:v>3.3</c:v>
                </c:pt>
                <c:pt idx="3">
                  <c:v>3.7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After O1-O4</c:v>
                </c:pt>
              </c:strCache>
            </c:strRef>
          </c:tx>
          <c:spPr>
            <a:solidFill>
              <a:srgbClr val="e97132"/>
            </a:solidFill>
            <a:ln cap="rnd" w="19080">
              <a:solidFill>
                <a:srgbClr val="e97132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2.2</c:v>
                </c:pt>
                <c:pt idx="1">
                  <c:v>3.3</c:v>
                </c:pt>
                <c:pt idx="2">
                  <c:v>3.7</c:v>
                </c:pt>
                <c:pt idx="3">
                  <c:v>4</c:v>
                </c:pt>
              </c:numCache>
            </c:numRef>
          </c:val>
          <c:smooth val="1"/>
        </c:ser>
        <c:hiLowLines>
          <c:spPr>
            <a:ln w="0">
              <a:noFill/>
            </a:ln>
          </c:spPr>
        </c:hiLowLines>
        <c:marker val="0"/>
        <c:axId val="40540748"/>
        <c:axId val="6030803"/>
      </c:lineChart>
      <c:catAx>
        <c:axId val="40540748"/>
        <c:scaling>
          <c:orientation val="minMax"/>
        </c:scaling>
        <c:delete val="0"/>
        <c:axPos val="b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6030803"/>
        <c:crosses val="autoZero"/>
        <c:auto val="1"/>
        <c:lblAlgn val="ctr"/>
        <c:lblOffset val="100"/>
        <c:noMultiLvlLbl val="0"/>
      </c:catAx>
      <c:valAx>
        <c:axId val="6030803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40540748"/>
        <c:crosses val="autoZero"/>
        <c:crossBetween val="between"/>
      </c:valAx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595959"/>
              </a:solidFill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0" lang="en-US" sz="1400" spc="-1" strike="noStrike">
                <a:solidFill>
                  <a:srgbClr val="595959"/>
                </a:solidFill>
                <a:latin typeface="Aptos"/>
              </a:defRPr>
            </a:pPr>
            <a:r>
              <a:rPr b="0" lang="en-US" sz="1400" spc="-1" strike="noStrike">
                <a:solidFill>
                  <a:srgbClr val="595959"/>
                </a:solidFill>
                <a:latin typeface="Aptos"/>
              </a:rPr>
              <a:t>Ablation: Speedup of Optimizations 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barChart>
        <c:barDir val="col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Size=1000</c:v>
                </c:pt>
              </c:strCache>
            </c:strRef>
          </c:tx>
          <c:spPr>
            <a:solidFill>
              <a:srgbClr val="156082"/>
            </a:solidFill>
            <a:ln w="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Naïve</c:v>
                </c:pt>
                <c:pt idx="1">
                  <c:v>O1</c:v>
                </c:pt>
                <c:pt idx="2">
                  <c:v>O1+O2</c:v>
                </c:pt>
                <c:pt idx="3">
                  <c:v>O1+O2+O3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Size=10^66</c:v>
                </c:pt>
              </c:strCache>
            </c:strRef>
          </c:tx>
          <c:spPr>
            <a:solidFill>
              <a:srgbClr val="e97132"/>
            </a:solidFill>
            <a:ln w="0">
              <a:noFill/>
            </a:ln>
          </c:spPr>
          <c:invertIfNegative val="0"/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outEnd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Naïve</c:v>
                </c:pt>
                <c:pt idx="1">
                  <c:v>O1</c:v>
                </c:pt>
                <c:pt idx="2">
                  <c:v>O1+O2</c:v>
                </c:pt>
                <c:pt idx="3">
                  <c:v>O1+O2+O3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1</c:v>
                </c:pt>
                <c:pt idx="1">
                  <c:v>2.2</c:v>
                </c:pt>
                <c:pt idx="2">
                  <c:v>3.3</c:v>
                </c:pt>
                <c:pt idx="3">
                  <c:v>4.4</c:v>
                </c:pt>
              </c:numCache>
            </c:numRef>
          </c:val>
        </c:ser>
        <c:gapWidth val="219"/>
        <c:overlap val="-27"/>
        <c:axId val="3896842"/>
        <c:axId val="47369479"/>
      </c:barChart>
      <c:catAx>
        <c:axId val="389684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ln w="9360">
            <a:solidFill>
              <a:srgbClr val="d9d9d9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47369479"/>
        <c:crosses val="autoZero"/>
        <c:auto val="1"/>
        <c:lblAlgn val="ctr"/>
        <c:lblOffset val="100"/>
        <c:noMultiLvlLbl val="0"/>
      </c:catAx>
      <c:valAx>
        <c:axId val="47369479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6480">
            <a:noFill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3896842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595959"/>
              </a:solidFill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After O1</c:v>
                </c:pt>
              </c:strCache>
            </c:strRef>
          </c:tx>
          <c:spPr>
            <a:solidFill>
              <a:srgbClr val="156082"/>
            </a:solidFill>
            <a:ln cap="rnd" w="19080">
              <a:solidFill>
                <a:srgbClr val="156082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2</c:v>
                </c:pt>
                <c:pt idx="1">
                  <c:v>3</c:v>
                </c:pt>
                <c:pt idx="2">
                  <c:v>3.3</c:v>
                </c:pt>
                <c:pt idx="3">
                  <c:v>3.7</c:v>
                </c:pt>
              </c:numCache>
            </c:numRef>
          </c:val>
          <c:smooth val="1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After O1-O3</c:v>
                </c:pt>
              </c:strCache>
            </c:strRef>
          </c:tx>
          <c:spPr>
            <a:solidFill>
              <a:srgbClr val="e97132"/>
            </a:solidFill>
            <a:ln cap="rnd" w="19080">
              <a:solidFill>
                <a:srgbClr val="e97132"/>
              </a:solidFill>
              <a:round/>
            </a:ln>
          </c:spPr>
          <c:marker>
            <c:symbol val="none"/>
          </c:marker>
          <c:dLbls>
            <c:txPr>
              <a:bodyPr wrap="square"/>
              <a:lstStyle/>
              <a:p>
                <a:pPr>
                  <a:defRPr b="0" sz="1000" spc="-1" strike="noStrike">
                    <a:solidFill>
                      <a:srgbClr val="000000"/>
                    </a:solidFill>
                    <a:latin typeface="Aptos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;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2.2</c:v>
                </c:pt>
                <c:pt idx="1">
                  <c:v>3.3</c:v>
                </c:pt>
                <c:pt idx="2">
                  <c:v>3.7</c:v>
                </c:pt>
                <c:pt idx="3">
                  <c:v>4</c:v>
                </c:pt>
              </c:numCache>
            </c:numRef>
          </c:val>
          <c:smooth val="1"/>
        </c:ser>
        <c:hiLowLines>
          <c:spPr>
            <a:ln w="0">
              <a:noFill/>
            </a:ln>
          </c:spPr>
        </c:hiLowLines>
        <c:marker val="0"/>
        <c:axId val="88672087"/>
        <c:axId val="75267774"/>
      </c:lineChart>
      <c:catAx>
        <c:axId val="88672087"/>
        <c:scaling>
          <c:orientation val="minMax"/>
        </c:scaling>
        <c:delete val="0"/>
        <c:axPos val="b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75267774"/>
        <c:crosses val="autoZero"/>
        <c:auto val="1"/>
        <c:lblAlgn val="ctr"/>
        <c:lblOffset val="100"/>
        <c:noMultiLvlLbl val="0"/>
      </c:catAx>
      <c:valAx>
        <c:axId val="75267774"/>
        <c:scaling>
          <c:orientation val="minMax"/>
        </c:scaling>
        <c:delete val="0"/>
        <c:axPos val="l"/>
        <c:majorGridlines>
          <c:spPr>
            <a:ln w="9360">
              <a:solidFill>
                <a:srgbClr val="d9d9d9"/>
              </a:solidFill>
              <a:round/>
            </a:ln>
          </c:spPr>
        </c:majorGridlines>
        <c:numFmt formatCode="General" sourceLinked="0"/>
        <c:majorTickMark val="none"/>
        <c:minorTickMark val="none"/>
        <c:tickLblPos val="nextTo"/>
        <c:spPr>
          <a:ln w="9360">
            <a:solidFill>
              <a:srgbClr val="bfbfbf"/>
            </a:solidFill>
            <a:round/>
          </a:ln>
        </c:spPr>
        <c:txPr>
          <a:bodyPr/>
          <a:lstStyle/>
          <a:p>
            <a:pPr>
              <a:defRPr b="0" sz="900" spc="-1" strike="noStrike">
                <a:solidFill>
                  <a:srgbClr val="595959"/>
                </a:solidFill>
                <a:latin typeface="Aptos"/>
              </a:defRPr>
            </a:pPr>
          </a:p>
        </c:txPr>
        <c:crossAx val="88672087"/>
        <c:crosses val="autoZero"/>
        <c:crossBetween val="between"/>
      </c:valAx>
      <c:spPr>
        <a:noFill/>
        <a:ln w="0">
          <a:noFill/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595959"/>
              </a:solidFill>
              <a:latin typeface="Aptos"/>
            </a:defRPr>
          </a:pPr>
        </a:p>
      </c:txPr>
    </c:legend>
    <c:plotVisOnly val="1"/>
    <c:dispBlanksAs val="gap"/>
  </c:chart>
  <c:spPr>
    <a:solidFill>
      <a:srgbClr val="ffffff"/>
    </a:solid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1522</TotalTime>
  <Application>LibreOffice/24.2.7.2$Linux_X86_64 LibreOffice_project/420$Build-2</Application>
  <AppVersion>15.0000</AppVersion>
  <Pages>4</Pages>
  <Words>63</Words>
  <Characters>325</Characters>
  <CharactersWithSpaces>397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2025-02-02T01:57:00Z</dcterms:created>
  <dc:creator>Misailovic, Sasa</dc:creator>
  <dc:description/>
  <dc:language>en-US</dc:language>
  <cp:lastModifiedBy/>
  <dcterms:modified xsi:type="dcterms:W3CDTF">2026-08-27T13:40:38Z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