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1300"/>
        <w:gridCol w:w="8060"/>
      </w:tblGrid>
      <w:tr>
        <w:tc>
          <w:tcPr>
            <w:tcW w:type="dxa" w:w="1300"/>
            <w:tcMar>
              <w:top w:w="40" w:type="dxa"/>
              <w:start w:w="40" w:type="dxa"/>
              <w:bottom w:w="40" w:type="dxa"/>
              <w:end w:w="80" w:type="dxa"/>
            </w:tcMar>
            <w:vAlign w:val="center"/>
            <w:shd w:fill="FFFFFF"/>
          </w:tcPr>
          <w:p>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vriddhi-nexus-logo.png"/>
                          <pic:cNvPicPr/>
                        </pic:nvPicPr>
                        <pic:blipFill>
                          <a:blip r:embed="rId11"/>
                          <a:stretch>
                            <a:fillRect/>
                          </a:stretch>
                        </pic:blipFill>
                        <pic:spPr>
                          <a:xfrm>
                            <a:off x="0" y="0"/>
                            <a:ext cx="566928" cy="566928"/>
                          </a:xfrm>
                          <a:prstGeom prst="rect"/>
                        </pic:spPr>
                      </pic:pic>
                    </a:graphicData>
                  </a:graphic>
                </wp:inline>
              </w:drawing>
            </w:r>
          </w:p>
        </w:tc>
        <w:tc>
          <w:tcPr>
            <w:tcW w:type="dxa" w:w="8060"/>
            <w:tcMar>
              <w:top w:w="40" w:type="dxa"/>
              <w:start w:w="40" w:type="dxa"/>
              <w:bottom w:w="40" w:type="dxa"/>
              <w:end w:w="80" w:type="dxa"/>
            </w:tcMar>
            <w:vAlign w:val="center"/>
            <w:shd w:fill="FFFFFF"/>
          </w:tcPr>
          <w:p>
            <w:r>
              <w:rPr>
                <w:rFonts w:ascii="Calibri" w:hAnsi="Calibri"/>
                <w:b/>
                <w:color w:val="02553E"/>
                <w:sz w:val="42"/>
              </w:rPr>
              <w:t>Vriddhi Nexus Bus Booking Platform</w:t>
            </w:r>
          </w:p>
          <w:p>
            <w:r>
              <w:rPr>
                <w:rFonts w:ascii="Calibri" w:hAnsi="Calibri"/>
                <w:color w:val="4B5563"/>
                <w:sz w:val="21"/>
              </w:rPr>
              <w:t>Short client brief | Current build: mock inventory, mock payment status, mock tracking</w:t>
            </w:r>
          </w:p>
        </w:tc>
      </w:tr>
    </w:tbl>
    <w:tbl>
      <w:tblPr>
        <w:tblW w:type="dxa" w:w="9360"/>
        <w:jc w:val="center"/>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5E6"/>
          </w:tcPr>
          <w:p>
            <w:pPr>
              <w:spacing w:after="40"/>
            </w:pPr>
            <w:r>
              <w:rPr>
                <w:rFonts w:ascii="Calibri" w:hAnsi="Calibri"/>
                <w:b/>
                <w:color w:val="02553E"/>
                <w:sz w:val="21"/>
              </w:rPr>
              <w:t>Current Scope</w:t>
            </w:r>
          </w:p>
          <w:p>
            <w:pPr>
              <w:spacing w:after="0"/>
            </w:pPr>
            <w:r>
              <w:rPr>
                <w:rFonts w:ascii="Calibri" w:hAnsi="Calibri"/>
                <w:color w:val="12231D"/>
                <w:sz w:val="21"/>
              </w:rPr>
              <w:t>The platform is ready for client review using mock bus inventory, mock payment status, scheduled-route tracking, and mock support/refund queues. Real supplier API, real payment gateway, and live GPS data are not connected yet.</w:t>
            </w:r>
          </w:p>
        </w:tc>
      </w:tr>
    </w:tbl>
    <w:p>
      <w:pPr>
        <w:spacing w:before="0" w:after="80" w:line="264" w:lineRule="auto"/>
      </w:pPr>
    </w:p>
    <w:p>
      <w:pPr>
        <w:spacing w:before="240" w:after="120"/>
      </w:pPr>
      <w:r>
        <w:rPr>
          <w:rFonts w:ascii="Calibri" w:hAnsi="Calibri"/>
          <w:b/>
          <w:color w:val="02553E"/>
          <w:sz w:val="30"/>
        </w:rPr>
        <w:t>What the platform does</w:t>
      </w:r>
    </w:p>
    <w:p>
      <w:pPr>
        <w:spacing w:before="0" w:after="80" w:line="264" w:lineRule="auto"/>
      </w:pPr>
      <w:r>
        <w:rPr>
          <w:rFonts w:ascii="Calibri" w:hAnsi="Calibri"/>
          <w:b w:val="0"/>
          <w:color w:val="12231D"/>
          <w:sz w:val="22"/>
        </w:rPr>
        <w:t>Vriddhi Nexus is a web-based bus booking platform for customers, admins, and travel agents. Customers can search routes, compare buses, choose seats with visible prices, enter traveller details, and receive ticket and invoice records. Admins manage operational views such as bookings, invoices, bulk uploads, refunds, support, users, reports, and trust signals.</w:t>
      </w:r>
    </w:p>
    <w:tbl>
      <w:tblPr>
        <w:tblW w:type="dxa" w:w="9360"/>
        <w:jc w:val="center"/>
        <w:tblLook w:firstColumn="1" w:firstRow="1" w:lastColumn="0" w:lastRow="0" w:noHBand="0" w:noVBand="1" w:val="04A0"/>
      </w:tblPr>
      <w:tblGrid>
        <w:gridCol w:w="3120"/>
        <w:gridCol w:w="3120"/>
        <w:gridCol w:w="3120"/>
      </w:tblGrid>
      <w:tr>
        <w:tc>
          <w:tcPr>
            <w:tcW w:type="dxa" w:w="3120"/>
            <w:tcMar>
              <w:top w:w="100" w:type="dxa"/>
              <w:start w:w="140" w:type="dxa"/>
              <w:bottom w:w="100" w:type="dxa"/>
              <w:end w:w="140" w:type="dxa"/>
            </w:tcMar>
            <w:vAlign w:val="center"/>
            <w:shd w:fill="F6FAF7"/>
          </w:tcPr>
          <w:p>
            <w:r>
              <w:rPr>
                <w:rFonts w:ascii="Calibri" w:hAnsi="Calibri"/>
                <w:b/>
                <w:color w:val="02553E"/>
                <w:sz w:val="22"/>
              </w:rPr>
              <w:t>Customer Experience</w:t>
            </w:r>
          </w:p>
          <w:p>
            <w:r>
              <w:rPr>
                <w:rFonts w:ascii="Calibri" w:hAnsi="Calibri"/>
                <w:color w:val="12231D"/>
                <w:sz w:val="19"/>
              </w:rPr>
              <w:t>Search routes, view fares, select seats, manage bookings, invoices, tracking, saved travellers, wallet rewards, and support.</w:t>
            </w:r>
          </w:p>
        </w:tc>
        <w:tc>
          <w:tcPr>
            <w:tcW w:type="dxa" w:w="3120"/>
            <w:tcMar>
              <w:top w:w="100" w:type="dxa"/>
              <w:start w:w="140" w:type="dxa"/>
              <w:bottom w:w="100" w:type="dxa"/>
              <w:end w:w="140" w:type="dxa"/>
            </w:tcMar>
            <w:vAlign w:val="center"/>
            <w:shd w:fill="F6FAF7"/>
          </w:tcPr>
          <w:p>
            <w:r>
              <w:rPr>
                <w:rFonts w:ascii="Calibri" w:hAnsi="Calibri"/>
                <w:b/>
                <w:color w:val="02553E"/>
                <w:sz w:val="22"/>
              </w:rPr>
              <w:t>Admin Operations</w:t>
            </w:r>
          </w:p>
          <w:p>
            <w:r>
              <w:rPr>
                <w:rFonts w:ascii="Calibri" w:hAnsi="Calibri"/>
                <w:color w:val="12231D"/>
                <w:sz w:val="19"/>
              </w:rPr>
              <w:t>Manage bookings, seat prices, bulk booking upload, invoice generation, refund queue, support desk, users, reports, and trust labels.</w:t>
            </w:r>
          </w:p>
        </w:tc>
        <w:tc>
          <w:tcPr>
            <w:tcW w:type="dxa" w:w="3120"/>
            <w:tcMar>
              <w:top w:w="100" w:type="dxa"/>
              <w:start w:w="140" w:type="dxa"/>
              <w:bottom w:w="100" w:type="dxa"/>
              <w:end w:w="140" w:type="dxa"/>
            </w:tcMar>
            <w:vAlign w:val="center"/>
            <w:shd w:fill="F6FAF7"/>
          </w:tcPr>
          <w:p>
            <w:r>
              <w:rPr>
                <w:rFonts w:ascii="Calibri" w:hAnsi="Calibri"/>
                <w:b/>
                <w:color w:val="02553E"/>
                <w:sz w:val="22"/>
              </w:rPr>
              <w:t>Access &amp; Safety</w:t>
            </w:r>
          </w:p>
          <w:p>
            <w:r>
              <w:rPr>
                <w:rFonts w:ascii="Calibri" w:hAnsi="Calibri"/>
                <w:color w:val="12231D"/>
                <w:sz w:val="19"/>
              </w:rPr>
              <w:t>Separate customer/admin workspaces, role-based dashboard routing, protected admin pages, and clean navigation for each role.</w:t>
            </w:r>
          </w:p>
        </w:tc>
      </w:tr>
    </w:tbl>
    <w:p>
      <w:pPr>
        <w:spacing w:before="240" w:after="120"/>
      </w:pPr>
      <w:r>
        <w:rPr>
          <w:rFonts w:ascii="Calibri" w:hAnsi="Calibri"/>
          <w:b/>
          <w:color w:val="02553E"/>
          <w:sz w:val="30"/>
        </w:rPr>
        <w:t>Diagram 1: Platform overview</w:t>
      </w:r>
    </w:p>
    <w:p>
      <w:r>
        <w:drawing>
          <wp:inline xmlns:a="http://schemas.openxmlformats.org/drawingml/2006/main" xmlns:pic="http://schemas.openxmlformats.org/drawingml/2006/picture">
            <wp:extent cx="5989320" cy="2470594"/>
            <wp:docPr id="2" name="Picture 2"/>
            <wp:cNvGraphicFramePr>
              <a:graphicFrameLocks noChangeAspect="1"/>
            </wp:cNvGraphicFramePr>
            <a:graphic>
              <a:graphicData uri="http://schemas.openxmlformats.org/drawingml/2006/picture">
                <pic:pic>
                  <pic:nvPicPr>
                    <pic:cNvPr id="0" name="platform-overview.png"/>
                    <pic:cNvPicPr/>
                  </pic:nvPicPr>
                  <pic:blipFill>
                    <a:blip r:embed="rId12"/>
                    <a:stretch>
                      <a:fillRect/>
                    </a:stretch>
                  </pic:blipFill>
                  <pic:spPr>
                    <a:xfrm>
                      <a:off x="0" y="0"/>
                      <a:ext cx="5989320" cy="2470594"/>
                    </a:xfrm>
                    <a:prstGeom prst="rect"/>
                  </pic:spPr>
                </pic:pic>
              </a:graphicData>
            </a:graphic>
          </wp:inline>
        </w:drawing>
      </w:r>
    </w:p>
    <w:p>
      <w:r>
        <w:br w:type="page"/>
      </w:r>
    </w:p>
    <w:p>
      <w:pPr>
        <w:spacing w:before="240" w:after="120"/>
      </w:pPr>
      <w:r>
        <w:rPr>
          <w:rFonts w:ascii="Calibri" w:hAnsi="Calibri"/>
          <w:b/>
          <w:color w:val="02553E"/>
          <w:sz w:val="30"/>
        </w:rPr>
        <w:t>Diagram 2: Customer booking flow</w:t>
      </w:r>
    </w:p>
    <w:p>
      <w:r>
        <w:drawing>
          <wp:inline xmlns:a="http://schemas.openxmlformats.org/drawingml/2006/main" xmlns:pic="http://schemas.openxmlformats.org/drawingml/2006/picture">
            <wp:extent cx="5989320" cy="1871662"/>
            <wp:docPr id="3" name="Picture 3"/>
            <wp:cNvGraphicFramePr>
              <a:graphicFrameLocks noChangeAspect="1"/>
            </wp:cNvGraphicFramePr>
            <a:graphic>
              <a:graphicData uri="http://schemas.openxmlformats.org/drawingml/2006/picture">
                <pic:pic>
                  <pic:nvPicPr>
                    <pic:cNvPr id="0" name="customer-booking-flow.png"/>
                    <pic:cNvPicPr/>
                  </pic:nvPicPr>
                  <pic:blipFill>
                    <a:blip r:embed="rId13"/>
                    <a:stretch>
                      <a:fillRect/>
                    </a:stretch>
                  </pic:blipFill>
                  <pic:spPr>
                    <a:xfrm>
                      <a:off x="0" y="0"/>
                      <a:ext cx="5989320" cy="1871662"/>
                    </a:xfrm>
                    <a:prstGeom prst="rect"/>
                  </pic:spPr>
                </pic:pic>
              </a:graphicData>
            </a:graphic>
          </wp:inline>
        </w:drawing>
      </w:r>
    </w:p>
    <w:p>
      <w:pPr>
        <w:spacing w:before="240" w:after="120"/>
      </w:pPr>
      <w:r>
        <w:rPr>
          <w:rFonts w:ascii="Calibri" w:hAnsi="Calibri"/>
          <w:b/>
          <w:color w:val="02553E"/>
          <w:sz w:val="30"/>
        </w:rPr>
        <w:t>Feature coverage</w:t>
      </w:r>
    </w:p>
    <w:tbl>
      <w:tblPr>
        <w:tblStyle w:val="TableGrid"/>
        <w:tblW w:type="dxa" w:w="9360"/>
        <w:jc w:val="center"/>
        <w:tblLook w:firstColumn="1" w:firstRow="1" w:lastColumn="0" w:lastRow="0" w:noHBand="0" w:noVBand="1" w:val="04A0"/>
      </w:tblPr>
      <w:tblGrid>
        <w:gridCol w:w="2400"/>
        <w:gridCol w:w="6960"/>
      </w:tblGrid>
      <w:tr>
        <w:tc>
          <w:tcPr>
            <w:tcW w:type="dxa" w:w="2400"/>
            <w:tcMar>
              <w:top w:w="100" w:type="dxa"/>
              <w:start w:w="140" w:type="dxa"/>
              <w:bottom w:w="100" w:type="dxa"/>
              <w:end w:w="140" w:type="dxa"/>
            </w:tcMar>
            <w:vAlign w:val="center"/>
            <w:shd w:fill="02553E"/>
          </w:tcPr>
          <w:p>
            <w:r>
              <w:rPr>
                <w:rFonts w:ascii="Calibri" w:hAnsi="Calibri"/>
                <w:b/>
                <w:color w:val="FFFFFF"/>
                <w:sz w:val="21"/>
              </w:rPr>
              <w:t>Module</w:t>
            </w:r>
          </w:p>
        </w:tc>
        <w:tc>
          <w:tcPr>
            <w:tcW w:type="dxa" w:w="6960"/>
            <w:tcMar>
              <w:top w:w="100" w:type="dxa"/>
              <w:start w:w="140" w:type="dxa"/>
              <w:bottom w:w="100" w:type="dxa"/>
              <w:end w:w="140" w:type="dxa"/>
            </w:tcMar>
            <w:vAlign w:val="center"/>
            <w:shd w:fill="02553E"/>
          </w:tcPr>
          <w:p>
            <w:r>
              <w:rPr>
                <w:rFonts w:ascii="Calibri" w:hAnsi="Calibri"/>
                <w:b/>
                <w:color w:val="FFFFFF"/>
                <w:sz w:val="21"/>
              </w:rPr>
              <w:t>What client can review now</w:t>
            </w:r>
          </w:p>
        </w:tc>
      </w:tr>
      <w:tr>
        <w:tc>
          <w:tcPr>
            <w:tcW w:type="dxa" w:w="2400"/>
            <w:tcMar>
              <w:top w:w="100" w:type="dxa"/>
              <w:start w:w="140" w:type="dxa"/>
              <w:bottom w:w="100" w:type="dxa"/>
              <w:end w:w="140" w:type="dxa"/>
            </w:tcMar>
            <w:vAlign w:val="center"/>
          </w:tcPr>
          <w:p>
            <w:r>
              <w:rPr>
                <w:rFonts w:ascii="Calibri" w:hAnsi="Calibri"/>
                <w:b/>
                <w:color w:val="02553E"/>
                <w:sz w:val="20"/>
              </w:rPr>
              <w:t>Route search</w:t>
            </w:r>
          </w:p>
        </w:tc>
        <w:tc>
          <w:tcPr>
            <w:tcW w:type="dxa" w:w="6960"/>
            <w:tcMar>
              <w:top w:w="100" w:type="dxa"/>
              <w:start w:w="140" w:type="dxa"/>
              <w:bottom w:w="100" w:type="dxa"/>
              <w:end w:w="140" w:type="dxa"/>
            </w:tcMar>
            <w:vAlign w:val="center"/>
          </w:tcPr>
          <w:p>
            <w:r>
              <w:rPr>
                <w:rFonts w:ascii="Calibri" w:hAnsi="Calibri"/>
                <w:color w:val="12231D"/>
                <w:sz w:val="20"/>
              </w:rPr>
              <w:t>Find buses by city, date, timing, type, fare, rating, seats, and tracking filter.</w:t>
            </w:r>
          </w:p>
        </w:tc>
      </w:tr>
      <w:tr>
        <w:tc>
          <w:tcPr>
            <w:tcW w:type="dxa" w:w="2400"/>
            <w:tcMar>
              <w:top w:w="100" w:type="dxa"/>
              <w:start w:w="140" w:type="dxa"/>
              <w:bottom w:w="100" w:type="dxa"/>
              <w:end w:w="140" w:type="dxa"/>
            </w:tcMar>
            <w:vAlign w:val="center"/>
          </w:tcPr>
          <w:p>
            <w:r>
              <w:rPr>
                <w:rFonts w:ascii="Calibri" w:hAnsi="Calibri"/>
                <w:b/>
                <w:color w:val="02553E"/>
                <w:sz w:val="20"/>
              </w:rPr>
              <w:t>Seat selection</w:t>
            </w:r>
          </w:p>
        </w:tc>
        <w:tc>
          <w:tcPr>
            <w:tcW w:type="dxa" w:w="6960"/>
            <w:tcMar>
              <w:top w:w="100" w:type="dxa"/>
              <w:start w:w="140" w:type="dxa"/>
              <w:bottom w:w="100" w:type="dxa"/>
              <w:end w:w="140" w:type="dxa"/>
            </w:tcMar>
            <w:vAlign w:val="center"/>
          </w:tcPr>
          <w:p>
            <w:r>
              <w:rPr>
                <w:rFonts w:ascii="Calibri" w:hAnsi="Calibri"/>
                <w:color w:val="12231D"/>
                <w:sz w:val="20"/>
              </w:rPr>
              <w:t>Seat layout supports visible prices, selected seats, booked seats, and gender indicators.</w:t>
            </w:r>
          </w:p>
        </w:tc>
      </w:tr>
      <w:tr>
        <w:tc>
          <w:tcPr>
            <w:tcW w:type="dxa" w:w="2400"/>
            <w:tcMar>
              <w:top w:w="100" w:type="dxa"/>
              <w:start w:w="140" w:type="dxa"/>
              <w:bottom w:w="100" w:type="dxa"/>
              <w:end w:w="140" w:type="dxa"/>
            </w:tcMar>
            <w:vAlign w:val="center"/>
          </w:tcPr>
          <w:p>
            <w:r>
              <w:rPr>
                <w:rFonts w:ascii="Calibri" w:hAnsi="Calibri"/>
                <w:b/>
                <w:color w:val="02553E"/>
                <w:sz w:val="20"/>
              </w:rPr>
              <w:t>Booking records</w:t>
            </w:r>
          </w:p>
        </w:tc>
        <w:tc>
          <w:tcPr>
            <w:tcW w:type="dxa" w:w="6960"/>
            <w:tcMar>
              <w:top w:w="100" w:type="dxa"/>
              <w:start w:w="140" w:type="dxa"/>
              <w:bottom w:w="100" w:type="dxa"/>
              <w:end w:w="140" w:type="dxa"/>
            </w:tcMar>
            <w:vAlign w:val="center"/>
          </w:tcPr>
          <w:p>
            <w:r>
              <w:rPr>
                <w:rFonts w:ascii="Calibri" w:hAnsi="Calibri"/>
                <w:color w:val="12231D"/>
                <w:sz w:val="20"/>
              </w:rPr>
              <w:t>Passenger details, ticket view, booking history, cancellation state, and invoice actions.</w:t>
            </w:r>
          </w:p>
        </w:tc>
      </w:tr>
      <w:tr>
        <w:tc>
          <w:tcPr>
            <w:tcW w:type="dxa" w:w="2400"/>
            <w:tcMar>
              <w:top w:w="100" w:type="dxa"/>
              <w:start w:w="140" w:type="dxa"/>
              <w:bottom w:w="100" w:type="dxa"/>
              <w:end w:w="140" w:type="dxa"/>
            </w:tcMar>
            <w:vAlign w:val="center"/>
          </w:tcPr>
          <w:p>
            <w:r>
              <w:rPr>
                <w:rFonts w:ascii="Calibri" w:hAnsi="Calibri"/>
                <w:b/>
                <w:color w:val="02553E"/>
                <w:sz w:val="20"/>
              </w:rPr>
              <w:t>Customer dashboard</w:t>
            </w:r>
          </w:p>
        </w:tc>
        <w:tc>
          <w:tcPr>
            <w:tcW w:type="dxa" w:w="6960"/>
            <w:tcMar>
              <w:top w:w="100" w:type="dxa"/>
              <w:start w:w="140" w:type="dxa"/>
              <w:bottom w:w="100" w:type="dxa"/>
              <w:end w:w="140" w:type="dxa"/>
            </w:tcMar>
            <w:vAlign w:val="center"/>
          </w:tcPr>
          <w:p>
            <w:r>
              <w:rPr>
                <w:rFonts w:ascii="Calibri" w:hAnsi="Calibri"/>
                <w:color w:val="12231D"/>
                <w:sz w:val="20"/>
              </w:rPr>
              <w:t>Bookings, invoices, tracking, saved travellers, wallet/rewards, support, and notifications.</w:t>
            </w:r>
          </w:p>
        </w:tc>
      </w:tr>
      <w:tr>
        <w:tc>
          <w:tcPr>
            <w:tcW w:type="dxa" w:w="2400"/>
            <w:tcMar>
              <w:top w:w="100" w:type="dxa"/>
              <w:start w:w="140" w:type="dxa"/>
              <w:bottom w:w="100" w:type="dxa"/>
              <w:end w:w="140" w:type="dxa"/>
            </w:tcMar>
            <w:vAlign w:val="center"/>
          </w:tcPr>
          <w:p>
            <w:r>
              <w:rPr>
                <w:rFonts w:ascii="Calibri" w:hAnsi="Calibri"/>
                <w:b/>
                <w:color w:val="02553E"/>
                <w:sz w:val="20"/>
              </w:rPr>
              <w:t>Admin dashboard</w:t>
            </w:r>
          </w:p>
        </w:tc>
        <w:tc>
          <w:tcPr>
            <w:tcW w:type="dxa" w:w="6960"/>
            <w:tcMar>
              <w:top w:w="100" w:type="dxa"/>
              <w:start w:w="140" w:type="dxa"/>
              <w:bottom w:w="100" w:type="dxa"/>
              <w:end w:w="140" w:type="dxa"/>
            </w:tcMar>
            <w:vAlign w:val="center"/>
          </w:tcPr>
          <w:p>
            <w:r>
              <w:rPr>
                <w:rFonts w:ascii="Calibri" w:hAnsi="Calibri"/>
                <w:color w:val="12231D"/>
                <w:sz w:val="20"/>
              </w:rPr>
              <w:t>Bookings, bulk upload, invoice generation, seat price controls, refunds, support, reports, users, and trust signals.</w:t>
            </w:r>
          </w:p>
        </w:tc>
      </w:tr>
      <w:tr>
        <w:tc>
          <w:tcPr>
            <w:tcW w:type="dxa" w:w="2400"/>
            <w:tcMar>
              <w:top w:w="100" w:type="dxa"/>
              <w:start w:w="140" w:type="dxa"/>
              <w:bottom w:w="100" w:type="dxa"/>
              <w:end w:w="140" w:type="dxa"/>
            </w:tcMar>
            <w:vAlign w:val="center"/>
          </w:tcPr>
          <w:p>
            <w:r>
              <w:rPr>
                <w:rFonts w:ascii="Calibri" w:hAnsi="Calibri"/>
                <w:b/>
                <w:color w:val="02553E"/>
                <w:sz w:val="20"/>
              </w:rPr>
              <w:t>Mock readiness</w:t>
            </w:r>
          </w:p>
        </w:tc>
        <w:tc>
          <w:tcPr>
            <w:tcW w:type="dxa" w:w="6960"/>
            <w:tcMar>
              <w:top w:w="100" w:type="dxa"/>
              <w:start w:w="140" w:type="dxa"/>
              <w:bottom w:w="100" w:type="dxa"/>
              <w:end w:w="140" w:type="dxa"/>
            </w:tcMar>
            <w:vAlign w:val="center"/>
          </w:tcPr>
          <w:p>
            <w:r>
              <w:rPr>
                <w:rFonts w:ascii="Calibri" w:hAnsi="Calibri"/>
                <w:color w:val="12231D"/>
                <w:sz w:val="20"/>
              </w:rPr>
              <w:t>Safe demo mode with mock inventory, mock payments, mock tracking, and mock support/refund queues.</w:t>
            </w:r>
          </w:p>
        </w:tc>
      </w:tr>
    </w:tbl>
    <w:p>
      <w:pPr>
        <w:spacing w:before="240" w:after="120"/>
      </w:pPr>
      <w:r>
        <w:rPr>
          <w:rFonts w:ascii="Calibri" w:hAnsi="Calibri"/>
          <w:b/>
          <w:color w:val="02553E"/>
          <w:sz w:val="30"/>
        </w:rPr>
        <w:t>Not connected in this phase</w:t>
      </w:r>
    </w:p>
    <w:tbl>
      <w:tblPr>
        <w:tblW w:type="dxa" w:w="9360"/>
        <w:jc w:val="center"/>
        <w:tblLook w:firstColumn="1" w:firstRow="1" w:lastColumn="0" w:lastRow="0" w:noHBand="0" w:noVBand="1" w:val="04A0"/>
      </w:tblPr>
      <w:tblGrid>
        <w:gridCol w:w="2340"/>
        <w:gridCol w:w="2340"/>
        <w:gridCol w:w="2340"/>
        <w:gridCol w:w="2340"/>
      </w:tblGrid>
      <w:tr>
        <w:tc>
          <w:tcPr>
            <w:tcW w:type="dxa" w:w="2340"/>
            <w:tcMar>
              <w:top w:w="100" w:type="dxa"/>
              <w:start w:w="140" w:type="dxa"/>
              <w:bottom w:w="100" w:type="dxa"/>
              <w:end w:w="140" w:type="dxa"/>
            </w:tcMar>
            <w:vAlign w:val="center"/>
            <w:shd w:fill="FFF5E6"/>
          </w:tcPr>
          <w:p>
            <w:r>
              <w:rPr>
                <w:rFonts w:ascii="Calibri" w:hAnsi="Calibri"/>
                <w:b/>
                <w:color w:val="02553E"/>
                <w:sz w:val="21"/>
              </w:rPr>
              <w:t>Live bus API</w:t>
            </w:r>
          </w:p>
          <w:p>
            <w:r>
              <w:rPr>
                <w:rFonts w:ascii="Calibri" w:hAnsi="Calibri"/>
                <w:color w:val="12231D"/>
                <w:sz w:val="19"/>
              </w:rPr>
              <w:t>Pending supplier integration</w:t>
            </w:r>
          </w:p>
        </w:tc>
        <w:tc>
          <w:tcPr>
            <w:tcW w:type="dxa" w:w="2340"/>
            <w:tcMar>
              <w:top w:w="100" w:type="dxa"/>
              <w:start w:w="140" w:type="dxa"/>
              <w:bottom w:w="100" w:type="dxa"/>
              <w:end w:w="140" w:type="dxa"/>
            </w:tcMar>
            <w:vAlign w:val="center"/>
            <w:shd w:fill="FFF5E6"/>
          </w:tcPr>
          <w:p>
            <w:r>
              <w:rPr>
                <w:rFonts w:ascii="Calibri" w:hAnsi="Calibri"/>
                <w:b/>
                <w:color w:val="02553E"/>
                <w:sz w:val="21"/>
              </w:rPr>
              <w:t>Real payments</w:t>
            </w:r>
          </w:p>
          <w:p>
            <w:r>
              <w:rPr>
                <w:rFonts w:ascii="Calibri" w:hAnsi="Calibri"/>
                <w:color w:val="12231D"/>
                <w:sz w:val="19"/>
              </w:rPr>
              <w:t>Gateway not connected</w:t>
            </w:r>
          </w:p>
        </w:tc>
        <w:tc>
          <w:tcPr>
            <w:tcW w:type="dxa" w:w="2340"/>
            <w:tcMar>
              <w:top w:w="100" w:type="dxa"/>
              <w:start w:w="140" w:type="dxa"/>
              <w:bottom w:w="100" w:type="dxa"/>
              <w:end w:w="140" w:type="dxa"/>
            </w:tcMar>
            <w:vAlign w:val="center"/>
            <w:shd w:fill="FFF5E6"/>
          </w:tcPr>
          <w:p>
            <w:r>
              <w:rPr>
                <w:rFonts w:ascii="Calibri" w:hAnsi="Calibri"/>
                <w:b/>
                <w:color w:val="02553E"/>
                <w:sz w:val="21"/>
              </w:rPr>
              <w:t>Live GPS</w:t>
            </w:r>
          </w:p>
          <w:p>
            <w:r>
              <w:rPr>
                <w:rFonts w:ascii="Calibri" w:hAnsi="Calibri"/>
                <w:color w:val="12231D"/>
                <w:sz w:val="19"/>
              </w:rPr>
              <w:t>Tracking is scheduled preview</w:t>
            </w:r>
          </w:p>
        </w:tc>
        <w:tc>
          <w:tcPr>
            <w:tcW w:type="dxa" w:w="2340"/>
            <w:tcMar>
              <w:top w:w="100" w:type="dxa"/>
              <w:start w:w="140" w:type="dxa"/>
              <w:bottom w:w="100" w:type="dxa"/>
              <w:end w:w="140" w:type="dxa"/>
            </w:tcMar>
            <w:vAlign w:val="center"/>
            <w:shd w:fill="FFF5E6"/>
          </w:tcPr>
          <w:p>
            <w:r>
              <w:rPr>
                <w:rFonts w:ascii="Calibri" w:hAnsi="Calibri"/>
                <w:b/>
                <w:color w:val="02553E"/>
                <w:sz w:val="21"/>
              </w:rPr>
              <w:t>Live external data</w:t>
            </w:r>
          </w:p>
          <w:p>
            <w:r>
              <w:rPr>
                <w:rFonts w:ascii="Calibri" w:hAnsi="Calibri"/>
                <w:color w:val="12231D"/>
                <w:sz w:val="19"/>
              </w:rPr>
              <w:t>Mock/demo data only</w:t>
            </w:r>
          </w:p>
        </w:tc>
      </w:tr>
    </w:tbl>
    <w:p>
      <w:pPr>
        <w:spacing w:before="240" w:after="120"/>
      </w:pPr>
      <w:r>
        <w:rPr>
          <w:rFonts w:ascii="Calibri" w:hAnsi="Calibri"/>
          <w:b/>
          <w:color w:val="02553E"/>
          <w:sz w:val="30"/>
        </w:rPr>
        <w:t>Recommended next steps</w:t>
      </w:r>
    </w:p>
    <w:tbl>
      <w:tblPr>
        <w:tblW w:type="dxa" w:w="9360"/>
        <w:jc w:val="center"/>
        <w:tblLook w:firstColumn="1" w:firstRow="1" w:lastColumn="0" w:lastRow="0" w:noHBand="0" w:noVBand="1" w:val="04A0"/>
      </w:tblPr>
      <w:tblGrid>
        <w:gridCol w:w="3120"/>
        <w:gridCol w:w="3120"/>
        <w:gridCol w:w="3120"/>
      </w:tblGrid>
      <w:tr>
        <w:tc>
          <w:tcPr>
            <w:tcW w:type="dxa" w:w="3120"/>
            <w:tcMar>
              <w:top w:w="100" w:type="dxa"/>
              <w:start w:w="140" w:type="dxa"/>
              <w:bottom w:w="100" w:type="dxa"/>
              <w:end w:w="140" w:type="dxa"/>
            </w:tcMar>
            <w:vAlign w:val="center"/>
            <w:shd w:fill="F6FAF7"/>
          </w:tcPr>
          <w:p>
            <w:r>
              <w:rPr>
                <w:rFonts w:ascii="Calibri" w:hAnsi="Calibri"/>
                <w:b/>
                <w:color w:val="02553E"/>
                <w:sz w:val="21"/>
              </w:rPr>
              <w:t>1. Client UAT</w:t>
            </w:r>
          </w:p>
          <w:p>
            <w:r>
              <w:rPr>
                <w:rFonts w:ascii="Calibri" w:hAnsi="Calibri"/>
                <w:color w:val="12231D"/>
                <w:sz w:val="19"/>
              </w:rPr>
              <w:t>Review booking, admin, invoice, refund, and support flows with sample data.</w:t>
            </w:r>
          </w:p>
        </w:tc>
        <w:tc>
          <w:tcPr>
            <w:tcW w:type="dxa" w:w="3120"/>
            <w:tcMar>
              <w:top w:w="100" w:type="dxa"/>
              <w:start w:w="140" w:type="dxa"/>
              <w:bottom w:w="100" w:type="dxa"/>
              <w:end w:w="140" w:type="dxa"/>
            </w:tcMar>
            <w:vAlign w:val="center"/>
            <w:shd w:fill="F6FAF7"/>
          </w:tcPr>
          <w:p>
            <w:r>
              <w:rPr>
                <w:rFonts w:ascii="Calibri" w:hAnsi="Calibri"/>
                <w:b/>
                <w:color w:val="02553E"/>
                <w:sz w:val="21"/>
              </w:rPr>
              <w:t>2. Integration plan</w:t>
            </w:r>
          </w:p>
          <w:p>
            <w:r>
              <w:rPr>
                <w:rFonts w:ascii="Calibri" w:hAnsi="Calibri"/>
                <w:color w:val="12231D"/>
                <w:sz w:val="19"/>
              </w:rPr>
              <w:t>Confirm supplier API, payment gateway, GPS, and notification providers.</w:t>
            </w:r>
          </w:p>
        </w:tc>
        <w:tc>
          <w:tcPr>
            <w:tcW w:type="dxa" w:w="3120"/>
            <w:tcMar>
              <w:top w:w="100" w:type="dxa"/>
              <w:start w:w="140" w:type="dxa"/>
              <w:bottom w:w="100" w:type="dxa"/>
              <w:end w:w="140" w:type="dxa"/>
            </w:tcMar>
            <w:vAlign w:val="center"/>
            <w:shd w:fill="F6FAF7"/>
          </w:tcPr>
          <w:p>
            <w:r>
              <w:rPr>
                <w:rFonts w:ascii="Calibri" w:hAnsi="Calibri"/>
                <w:b/>
                <w:color w:val="02553E"/>
                <w:sz w:val="21"/>
              </w:rPr>
              <w:t>3. Launch hardening</w:t>
            </w:r>
          </w:p>
          <w:p>
            <w:r>
              <w:rPr>
                <w:rFonts w:ascii="Calibri" w:hAnsi="Calibri"/>
                <w:color w:val="12231D"/>
                <w:sz w:val="19"/>
              </w:rPr>
              <w:t>Production DB, monitoring, security review, backups, and deployment checks.</w:t>
            </w:r>
          </w:p>
        </w:tc>
      </w:tr>
    </w:tbl>
    <w:sectPr w:rsidR="00FC693F" w:rsidRPr="0006063C" w:rsidSect="00034616">
      <w:headerReference w:type="default" r:id="rId9"/>
      <w:footerReference w:type="default" r:id="rId10"/>
      <w:pgSz w:w="12240" w:h="15840"/>
      <w:pgMar w:top="1080"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Client overview - mock-ready build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B5563"/>
        <w:sz w:val="18"/>
      </w:rPr>
      <w:t>Vriddhi Nexus Pvt Ltd | Platform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223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255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255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553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Vriddhi Nexus Bus Booking Platform - Client Brief</dc:title>
  <dc:subject>Short platform overview with diagrams</dc:subject>
  <dc:creator>Vriddhi Nexus Pvt Ltd</dc:creator>
  <cp:keywords/>
  <dc:description>Generated as a mock-ready client platform brief.</dc:description>
  <cp:lastModifiedBy/>
  <cp:revision>1</cp:revision>
  <dcterms:created xsi:type="dcterms:W3CDTF">2013-12-23T23:15:00Z</dcterms:created>
  <dcterms:modified xsi:type="dcterms:W3CDTF">2013-12-23T23:15:00Z</dcterms:modified>
  <cp:category/>
</cp:coreProperties>
</file>