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0B1F5B"/>
          <w:sz w:val="68"/>
        </w:rPr>
        <w:t>DisputeIQ</w:t>
      </w:r>
    </w:p>
    <w:p>
      <w:pPr>
        <w:jc w:val="center"/>
      </w:pPr>
      <w:r>
        <w:rPr>
          <w:rFonts w:ascii="Aptos Display" w:hAnsi="Aptos Display"/>
          <w:b/>
          <w:color w:val="1769E0"/>
          <w:sz w:val="48"/>
        </w:rPr>
        <w:t>HIGH LEVEL DESIGN (HLD)</w:t>
      </w:r>
    </w:p>
    <w:p>
      <w:pPr>
        <w:jc w:val="center"/>
      </w:pPr>
      <w:r>
        <w:rPr>
          <w:color w:val="1B2430"/>
          <w:sz w:val="28"/>
        </w:rPr>
        <w:t>AI-Powered Banking Transaction Dispute Investigation &amp; Resolution Platform</w:t>
      </w:r>
    </w:p>
    <w:p>
      <w:r>
        <w:br/>
      </w:r>
    </w:p>
    <w:tbl>
      <w:tblPr>
        <w:tblW w:type="auto" w:w="0"/>
        <w:jc w:val="center"/>
        <w:tblLook w:firstColumn="1" w:firstRow="1" w:lastColumn="0" w:lastRow="0" w:noHBand="0" w:noVBand="1" w:val="04A0"/>
      </w:tblPr>
      <w:tblGrid>
        <w:gridCol w:w="9936"/>
      </w:tblGrid>
      <w:tr>
        <w:tc>
          <w:tcPr>
            <w:tcW w:type="dxa" w:w="9936"/>
            <w:shd w:fill="F4F8FF"/>
            <w:tcBorders>
              <w:top w:val="single" w:sz="8" w:color="1769E0"/>
              <w:left w:val="single" w:sz="8" w:color="1769E0"/>
              <w:bottom w:val="single" w:sz="8" w:color="1769E0"/>
              <w:right w:val="single" w:sz="8" w:color="1769E0"/>
            </w:tcBorders>
          </w:tcPr>
          <w:p>
            <w:r>
              <w:rPr>
                <w:b/>
                <w:color w:val="1769E0"/>
                <w:sz w:val="19"/>
              </w:rPr>
              <w:t xml:space="preserve">Design Basis  </w:t>
            </w:r>
            <w:r>
              <w:rPr>
                <w:sz w:val="18"/>
              </w:rPr>
              <w:t>This HLD is derived from the supplied production-ready overall architecture diagram. Where the diagram does not define an implementation detail, the document records an explicit design assumption or open decision rather than inventing a requirement.</w:t>
            </w:r>
          </w:p>
        </w:tc>
      </w:tr>
    </w:tbl>
    <w:p>
      <w:pPr>
        <w:spacing w:after="20"/>
      </w:pP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EF4FF"/>
          </w:tcPr>
          <w:p>
            <w:r/>
            <w:r>
              <w:rPr>
                <w:rFonts w:ascii="Aptos" w:hAnsi="Aptos"/>
                <w:b/>
                <w:color w:val="0B1F5B"/>
                <w:sz w:val="18"/>
              </w:rPr>
              <w:t>Document Version</w:t>
            </w:r>
          </w:p>
        </w:tc>
        <w:tc>
          <w:tcPr>
            <w:tcW w:type="dxa" w:w="4968"/>
            <w:vAlign w:val="center"/>
          </w:tcPr>
          <w:p>
            <w:r/>
            <w:r>
              <w:rPr>
                <w:rFonts w:ascii="Aptos" w:hAnsi="Aptos"/>
                <w:b w:val="0"/>
                <w:color w:val="1B2430"/>
                <w:sz w:val="18"/>
              </w:rPr>
              <w:t>1.0</w:t>
            </w:r>
          </w:p>
        </w:tc>
      </w:tr>
      <w:tr>
        <w:tc>
          <w:tcPr>
            <w:tcW w:type="dxa" w:w="4968"/>
            <w:vAlign w:val="center"/>
            <w:shd w:fill="EEF4FF"/>
          </w:tcPr>
          <w:p>
            <w:r/>
            <w:r>
              <w:rPr>
                <w:rFonts w:ascii="Aptos" w:hAnsi="Aptos"/>
                <w:b/>
                <w:color w:val="0B1F5B"/>
                <w:sz w:val="18"/>
              </w:rPr>
              <w:t>Status</w:t>
            </w:r>
          </w:p>
        </w:tc>
        <w:tc>
          <w:tcPr>
            <w:tcW w:type="dxa" w:w="4968"/>
            <w:vAlign w:val="center"/>
          </w:tcPr>
          <w:p>
            <w:r/>
            <w:r>
              <w:rPr>
                <w:rFonts w:ascii="Aptos" w:hAnsi="Aptos"/>
                <w:b w:val="0"/>
                <w:color w:val="1B2430"/>
                <w:sz w:val="18"/>
              </w:rPr>
              <w:t>Draft for Architecture Review</w:t>
            </w:r>
          </w:p>
        </w:tc>
      </w:tr>
      <w:tr>
        <w:tc>
          <w:tcPr>
            <w:tcW w:type="dxa" w:w="4968"/>
            <w:vAlign w:val="center"/>
            <w:shd w:fill="EEF4FF"/>
          </w:tcPr>
          <w:p>
            <w:r/>
            <w:r>
              <w:rPr>
                <w:rFonts w:ascii="Aptos" w:hAnsi="Aptos"/>
                <w:b/>
                <w:color w:val="0B1F5B"/>
                <w:sz w:val="18"/>
              </w:rPr>
              <w:t>Prepared Date</w:t>
            </w:r>
          </w:p>
        </w:tc>
        <w:tc>
          <w:tcPr>
            <w:tcW w:type="dxa" w:w="4968"/>
            <w:vAlign w:val="center"/>
          </w:tcPr>
          <w:p>
            <w:r/>
            <w:r>
              <w:rPr>
                <w:rFonts w:ascii="Aptos" w:hAnsi="Aptos"/>
                <w:b w:val="0"/>
                <w:color w:val="1B2430"/>
                <w:sz w:val="18"/>
              </w:rPr>
              <w:t>29 August 2026</w:t>
            </w:r>
          </w:p>
        </w:tc>
      </w:tr>
      <w:tr>
        <w:tc>
          <w:tcPr>
            <w:tcW w:type="dxa" w:w="4968"/>
            <w:vAlign w:val="center"/>
            <w:shd w:fill="EEF4FF"/>
          </w:tcPr>
          <w:p>
            <w:r/>
            <w:r>
              <w:rPr>
                <w:rFonts w:ascii="Aptos" w:hAnsi="Aptos"/>
                <w:b/>
                <w:color w:val="0B1F5B"/>
                <w:sz w:val="18"/>
              </w:rPr>
              <w:t>Architecture Style</w:t>
            </w:r>
          </w:p>
        </w:tc>
        <w:tc>
          <w:tcPr>
            <w:tcW w:type="dxa" w:w="4968"/>
            <w:vAlign w:val="center"/>
          </w:tcPr>
          <w:p>
            <w:r/>
            <w:r>
              <w:rPr>
                <w:rFonts w:ascii="Aptos" w:hAnsi="Aptos"/>
                <w:b w:val="0"/>
                <w:color w:val="1B2430"/>
                <w:sz w:val="18"/>
              </w:rPr>
              <w:t>Stateful workflow orchestration + deterministic services + AI-assisted decision support</w:t>
            </w:r>
          </w:p>
        </w:tc>
      </w:tr>
      <w:tr>
        <w:tc>
          <w:tcPr>
            <w:tcW w:type="dxa" w:w="4968"/>
            <w:vAlign w:val="center"/>
            <w:shd w:fill="EEF4FF"/>
          </w:tcPr>
          <w:p>
            <w:r/>
            <w:r>
              <w:rPr>
                <w:rFonts w:ascii="Aptos" w:hAnsi="Aptos"/>
                <w:b/>
                <w:color w:val="0B1F5B"/>
                <w:sz w:val="18"/>
              </w:rPr>
              <w:t>Primary Orchestrator</w:t>
            </w:r>
          </w:p>
        </w:tc>
        <w:tc>
          <w:tcPr>
            <w:tcW w:type="dxa" w:w="4968"/>
            <w:vAlign w:val="center"/>
          </w:tcPr>
          <w:p>
            <w:r/>
            <w:r>
              <w:rPr>
                <w:rFonts w:ascii="Aptos" w:hAnsi="Aptos"/>
                <w:b w:val="0"/>
                <w:color w:val="1B2430"/>
                <w:sz w:val="18"/>
              </w:rPr>
              <w:t>LangGraph</w:t>
            </w:r>
          </w:p>
        </w:tc>
      </w:tr>
      <w:tr>
        <w:tc>
          <w:tcPr>
            <w:tcW w:type="dxa" w:w="4968"/>
            <w:vAlign w:val="center"/>
            <w:shd w:fill="EEF4FF"/>
          </w:tcPr>
          <w:p>
            <w:r/>
            <w:r>
              <w:rPr>
                <w:rFonts w:ascii="Aptos" w:hAnsi="Aptos"/>
                <w:b/>
                <w:color w:val="0B1F5B"/>
                <w:sz w:val="18"/>
              </w:rPr>
              <w:t>Source Diagram</w:t>
            </w:r>
          </w:p>
        </w:tc>
        <w:tc>
          <w:tcPr>
            <w:tcW w:type="dxa" w:w="4968"/>
            <w:vAlign w:val="center"/>
          </w:tcPr>
          <w:p>
            <w:r/>
            <w:r>
              <w:rPr>
                <w:rFonts w:ascii="Aptos" w:hAnsi="Aptos"/>
                <w:b w:val="0"/>
                <w:color w:val="1B2430"/>
                <w:sz w:val="18"/>
              </w:rPr>
              <w:t>DisputeIQ - Overall Data Flow Diagram (Production-Ready)</w:t>
            </w:r>
          </w:p>
        </w:tc>
      </w:tr>
    </w:tbl>
    <w:p>
      <w:r>
        <w:br/>
      </w:r>
    </w:p>
    <w:p>
      <w:pPr>
        <w:jc w:val="center"/>
      </w:pPr>
      <w:r>
        <w:rPr>
          <w:b/>
          <w:color w:val="B3261E"/>
          <w:sz w:val="16"/>
        </w:rPr>
        <w:t>CONFIDENTIAL - ARCHITECTURE DESIGN WORKING DOCUMENT</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0B1F5B"/>
          </w:tcPr>
          <w:p>
            <w:r/>
            <w:r>
              <w:rPr>
                <w:rFonts w:ascii="Aptos" w:hAnsi="Aptos"/>
                <w:b/>
                <w:color w:val="FFFFFF"/>
                <w:sz w:val="17"/>
              </w:rPr>
              <w:t>Item</w:t>
            </w:r>
          </w:p>
        </w:tc>
        <w:tc>
          <w:tcPr>
            <w:tcW w:type="dxa" w:w="4968"/>
            <w:vAlign w:val="center"/>
            <w:shd w:fill="0B1F5B"/>
          </w:tcPr>
          <w:p>
            <w:r/>
            <w:r>
              <w:rPr>
                <w:rFonts w:ascii="Aptos" w:hAnsi="Aptos"/>
                <w:b/>
                <w:color w:val="FFFFFF"/>
                <w:sz w:val="17"/>
              </w:rPr>
              <w:t>Details</w:t>
            </w:r>
          </w:p>
        </w:tc>
      </w:tr>
      <w:tr>
        <w:tc>
          <w:tcPr>
            <w:tcW w:type="dxa" w:w="4968"/>
            <w:vAlign w:val="center"/>
            <w:shd w:fill="F7F9FC"/>
          </w:tcPr>
          <w:p>
            <w:r/>
            <w:r>
              <w:rPr>
                <w:rFonts w:ascii="Aptos" w:hAnsi="Aptos"/>
                <w:b w:val="0"/>
                <w:color w:val="1B2430"/>
                <w:sz w:val="16"/>
              </w:rPr>
              <w:t>Purpose</w:t>
            </w:r>
          </w:p>
        </w:tc>
        <w:tc>
          <w:tcPr>
            <w:tcW w:type="dxa" w:w="4968"/>
            <w:vAlign w:val="center"/>
            <w:shd w:fill="F7F9FC"/>
          </w:tcPr>
          <w:p>
            <w:r/>
            <w:r>
              <w:rPr>
                <w:rFonts w:ascii="Aptos" w:hAnsi="Aptos"/>
                <w:b w:val="0"/>
                <w:color w:val="1B2430"/>
                <w:sz w:val="16"/>
              </w:rPr>
              <w:t>Define the high-level architecture, component responsibilities, data flows, integration boundaries, controls, non-functional design, and key decisions for DisputeIQ.</w:t>
            </w:r>
          </w:p>
        </w:tc>
      </w:tr>
      <w:tr>
        <w:tc>
          <w:tcPr>
            <w:tcW w:type="dxa" w:w="4968"/>
            <w:vAlign w:val="center"/>
          </w:tcPr>
          <w:p>
            <w:r/>
            <w:r>
              <w:rPr>
                <w:rFonts w:ascii="Aptos" w:hAnsi="Aptos"/>
                <w:b w:val="0"/>
                <w:color w:val="1B2430"/>
                <w:sz w:val="16"/>
              </w:rPr>
              <w:t>Intended Audience</w:t>
            </w:r>
          </w:p>
        </w:tc>
        <w:tc>
          <w:tcPr>
            <w:tcW w:type="dxa" w:w="4968"/>
            <w:vAlign w:val="center"/>
          </w:tcPr>
          <w:p>
            <w:r/>
            <w:r>
              <w:rPr>
                <w:rFonts w:ascii="Aptos" w:hAnsi="Aptos"/>
                <w:b w:val="0"/>
                <w:color w:val="1B2430"/>
                <w:sz w:val="16"/>
              </w:rPr>
              <w:t>Architecture Review Board, Solution Architects, Principal Engineers, Engineering Leads, Security, Risk/Compliance, Data/AI Governance, SRE/Operations, Product and Delivery teams.</w:t>
            </w:r>
          </w:p>
        </w:tc>
      </w:tr>
      <w:tr>
        <w:tc>
          <w:tcPr>
            <w:tcW w:type="dxa" w:w="4968"/>
            <w:vAlign w:val="center"/>
            <w:shd w:fill="F7F9FC"/>
          </w:tcPr>
          <w:p>
            <w:r/>
            <w:r>
              <w:rPr>
                <w:rFonts w:ascii="Aptos" w:hAnsi="Aptos"/>
                <w:b w:val="0"/>
                <w:color w:val="1B2430"/>
                <w:sz w:val="16"/>
              </w:rPr>
              <w:t>Out of Scope</w:t>
            </w:r>
          </w:p>
        </w:tc>
        <w:tc>
          <w:tcPr>
            <w:tcW w:type="dxa" w:w="4968"/>
            <w:vAlign w:val="center"/>
            <w:shd w:fill="F7F9FC"/>
          </w:tcPr>
          <w:p>
            <w:r/>
            <w:r>
              <w:rPr>
                <w:rFonts w:ascii="Aptos" w:hAnsi="Aptos"/>
                <w:b w:val="0"/>
                <w:color w:val="1B2430"/>
                <w:sz w:val="16"/>
              </w:rPr>
              <w:t>Detailed class design, database physical schema, API field-level contracts, model training code, infrastructure-as-code implementation, UI wireframes, detailed test cases, and runbooks.</w:t>
            </w:r>
          </w:p>
        </w:tc>
      </w:tr>
      <w:tr>
        <w:tc>
          <w:tcPr>
            <w:tcW w:type="dxa" w:w="4968"/>
            <w:vAlign w:val="center"/>
          </w:tcPr>
          <w:p>
            <w:r/>
            <w:r>
              <w:rPr>
                <w:rFonts w:ascii="Aptos" w:hAnsi="Aptos"/>
                <w:b w:val="0"/>
                <w:color w:val="1B2430"/>
                <w:sz w:val="16"/>
              </w:rPr>
              <w:t>Source of Truth for this version</w:t>
            </w:r>
          </w:p>
        </w:tc>
        <w:tc>
          <w:tcPr>
            <w:tcW w:type="dxa" w:w="4968"/>
            <w:vAlign w:val="center"/>
          </w:tcPr>
          <w:p>
            <w:r/>
            <w:r>
              <w:rPr>
                <w:rFonts w:ascii="Aptos" w:hAnsi="Aptos"/>
                <w:b w:val="0"/>
                <w:color w:val="1B2430"/>
                <w:sz w:val="16"/>
              </w:rPr>
              <w:t>The architecture diagram supplied with this request. Any additional FRD/specification should be reconciled in the next revision.</w:t>
            </w:r>
          </w:p>
        </w:tc>
      </w:tr>
    </w:tbl>
    <w:p>
      <w:pPr>
        <w:spacing w:after="20"/>
      </w:pPr>
    </w:p>
    <w:p>
      <w:pPr>
        <w:pStyle w:val="Heading2"/>
      </w:pPr>
      <w:r>
        <w:t>Revision History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0B1F5B"/>
          </w:tcPr>
          <w:p>
            <w:r/>
            <w:r>
              <w:rPr>
                <w:rFonts w:ascii="Aptos" w:hAnsi="Aptos"/>
                <w:b/>
                <w:color w:val="FFFFFF"/>
                <w:sz w:val="17"/>
              </w:rPr>
              <w:t>Version</w:t>
            </w:r>
          </w:p>
        </w:tc>
        <w:tc>
          <w:tcPr>
            <w:tcW w:type="dxa" w:w="2484"/>
            <w:vAlign w:val="center"/>
            <w:shd w:fill="0B1F5B"/>
          </w:tcPr>
          <w:p>
            <w:r/>
            <w:r>
              <w:rPr>
                <w:rFonts w:ascii="Aptos" w:hAnsi="Aptos"/>
                <w:b/>
                <w:color w:val="FFFFFF"/>
                <w:sz w:val="17"/>
              </w:rPr>
              <w:t>Date</w:t>
            </w:r>
          </w:p>
        </w:tc>
        <w:tc>
          <w:tcPr>
            <w:tcW w:type="dxa" w:w="2484"/>
            <w:vAlign w:val="center"/>
            <w:shd w:fill="0B1F5B"/>
          </w:tcPr>
          <w:p>
            <w:r/>
            <w:r>
              <w:rPr>
                <w:rFonts w:ascii="Aptos" w:hAnsi="Aptos"/>
                <w:b/>
                <w:color w:val="FFFFFF"/>
                <w:sz w:val="17"/>
              </w:rPr>
              <w:t>Change</w:t>
            </w:r>
          </w:p>
        </w:tc>
        <w:tc>
          <w:tcPr>
            <w:tcW w:type="dxa" w:w="2484"/>
            <w:vAlign w:val="center"/>
            <w:shd w:fill="0B1F5B"/>
          </w:tcPr>
          <w:p>
            <w:r/>
            <w:r>
              <w:rPr>
                <w:rFonts w:ascii="Aptos" w:hAnsi="Aptos"/>
                <w:b/>
                <w:color w:val="FFFFFF"/>
                <w:sz w:val="17"/>
              </w:rPr>
              <w:t>Owner</w:t>
            </w:r>
          </w:p>
        </w:tc>
      </w:tr>
      <w:tr>
        <w:tc>
          <w:tcPr>
            <w:tcW w:type="dxa" w:w="2484"/>
            <w:vAlign w:val="center"/>
            <w:shd w:fill="F7F9FC"/>
          </w:tcPr>
          <w:p>
            <w:r/>
            <w:r>
              <w:rPr>
                <w:rFonts w:ascii="Aptos" w:hAnsi="Aptos"/>
                <w:b w:val="0"/>
                <w:color w:val="1B2430"/>
                <w:sz w:val="16"/>
              </w:rPr>
              <w:t>1.0</w:t>
            </w:r>
          </w:p>
        </w:tc>
        <w:tc>
          <w:tcPr>
            <w:tcW w:type="dxa" w:w="2484"/>
            <w:vAlign w:val="center"/>
            <w:shd w:fill="F7F9FC"/>
          </w:tcPr>
          <w:p>
            <w:r/>
            <w:r>
              <w:rPr>
                <w:rFonts w:ascii="Aptos" w:hAnsi="Aptos"/>
                <w:b w:val="0"/>
                <w:color w:val="1B2430"/>
                <w:sz w:val="16"/>
              </w:rPr>
              <w:t>29-Aug-2026</w:t>
            </w:r>
          </w:p>
        </w:tc>
        <w:tc>
          <w:tcPr>
            <w:tcW w:type="dxa" w:w="2484"/>
            <w:vAlign w:val="center"/>
            <w:shd w:fill="F7F9FC"/>
          </w:tcPr>
          <w:p>
            <w:r/>
            <w:r>
              <w:rPr>
                <w:rFonts w:ascii="Aptos" w:hAnsi="Aptos"/>
                <w:b w:val="0"/>
                <w:color w:val="1B2430"/>
                <w:sz w:val="16"/>
              </w:rPr>
              <w:t>Initial HLD generated from production-ready architecture diagram.</w:t>
            </w:r>
          </w:p>
        </w:tc>
        <w:tc>
          <w:tcPr>
            <w:tcW w:type="dxa" w:w="2484"/>
            <w:vAlign w:val="center"/>
            <w:shd w:fill="F7F9FC"/>
          </w:tcPr>
          <w:p>
            <w:r/>
            <w:r>
              <w:rPr>
                <w:rFonts w:ascii="Aptos" w:hAnsi="Aptos"/>
                <w:b w:val="0"/>
                <w:color w:val="1B2430"/>
                <w:sz w:val="16"/>
              </w:rPr>
              <w:t>Architecture Team</w:t>
            </w:r>
          </w:p>
        </w:tc>
      </w:tr>
    </w:tbl>
    <w:p>
      <w:pPr>
        <w:spacing w:after="20"/>
      </w:pPr>
    </w:p>
    <w:p>
      <w:pPr>
        <w:pStyle w:val="Heading1"/>
        <w:spacing w:after="80"/>
      </w:pPr>
      <w:r>
        <w:t>Table of Contents</w:t>
      </w:r>
    </w:p>
    <w:tbl>
      <w:tblPr>
        <w:tblW w:type="auto" w:w="0"/>
        <w:jc w:val="center"/>
        <w:tblLayout w:type="fixed"/>
        <w:tblLook w:firstColumn="1" w:firstRow="1" w:lastColumn="0" w:lastRow="0" w:noHBand="0" w:noVBand="1" w:val="04A0"/>
      </w:tblPr>
      <w:tblGrid>
        <w:gridCol w:w="3312"/>
        <w:gridCol w:w="3312"/>
        <w:gridCol w:w="3312"/>
      </w:tblGrid>
      <w:tr>
        <w:tc>
          <w:tcPr>
            <w:tcW w:type="dxa" w:w="4824"/>
            <w:tcBorders>
              <w:top w:val="nil"/>
              <w:left w:val="nil"/>
              <w:bottom w:val="nil"/>
              <w:right w:val="nil"/>
              <w:insideH w:val="nil"/>
              <w:insideV w:val="nil"/>
            </w:tcBorders>
            <w:tcMar>
              <w:top w:w="0" w:type="dxa"/>
              <w:bottom w:w="0" w:type="dxa"/>
              <w:left w:w="20" w:type="dxa"/>
              <w:right w:w="20" w:type="dxa"/>
            </w:tcMar>
            <w:vAlign w:val="center"/>
          </w:tcPr>
          <w:p>
            <w:pPr>
              <w:spacing w:before="0" w:after="20" w:line="197" w:lineRule="auto"/>
            </w:pPr>
            <w:hyperlink w:anchor="H_1__Executive_Summary" w:history="1">
              <w:r>
                <w:rPr>
                  <w:rStyle w:val="Hyperlink"/>
                  <w:sz w:val="15"/>
                  <w:szCs w:val="15"/>
                </w:rPr>
                <w:t>1. Executive Summary  .....  3</w:t>
              </w:r>
            </w:hyperlink>
          </w:p>
        </w:tc>
        <w:tc>
          <w:tcPr>
            <w:tcW w:type="dxa" w:w="317"/>
            <w:tcBorders>
              <w:top w:val="nil"/>
              <w:left w:val="nil"/>
              <w:bottom w:val="nil"/>
              <w:right w:val="nil"/>
              <w:insideH w:val="nil"/>
              <w:insideV w:val="nil"/>
            </w:tcBorders>
            <w:tcMar>
              <w:top w:w="0" w:type="dxa"/>
              <w:bottom w:w="0" w:type="dxa"/>
              <w:left w:w="20" w:type="dxa"/>
              <w:right w:w="20" w:type="dxa"/>
            </w:tcMar>
            <w:vAlign w:val="center"/>
          </w:tcPr>
          <w:p/>
        </w:tc>
        <w:tc>
          <w:tcPr>
            <w:tcW w:type="dxa" w:w="4824"/>
            <w:tcBorders>
              <w:top w:val="nil"/>
              <w:left w:val="nil"/>
              <w:bottom w:val="nil"/>
              <w:right w:val="nil"/>
              <w:insideH w:val="nil"/>
              <w:insideV w:val="nil"/>
            </w:tcBorders>
            <w:tcMar>
              <w:top w:w="0" w:type="dxa"/>
              <w:bottom w:w="0" w:type="dxa"/>
              <w:left w:w="20" w:type="dxa"/>
              <w:right w:w="20" w:type="dxa"/>
            </w:tcMar>
            <w:vAlign w:val="center"/>
          </w:tcPr>
          <w:p>
            <w:pPr>
              <w:spacing w:before="0" w:after="20" w:line="197" w:lineRule="auto"/>
            </w:pPr>
            <w:hyperlink w:anchor="H_13__Integration_Architecture" w:history="1">
              <w:r>
                <w:rPr>
                  <w:rStyle w:val="Hyperlink"/>
                  <w:sz w:val="15"/>
                  <w:szCs w:val="15"/>
                </w:rPr>
                <w:t>13. Integration Architecture  .....  15</w:t>
              </w:r>
            </w:hyperlink>
          </w:p>
        </w:tc>
      </w:tr>
      <w:tr>
        <w:tc>
          <w:tcPr>
            <w:tcW w:type="dxa" w:w="4824"/>
            <w:tcBorders>
              <w:top w:val="nil"/>
              <w:left w:val="nil"/>
              <w:bottom w:val="nil"/>
              <w:right w:val="nil"/>
              <w:insideH w:val="nil"/>
              <w:insideV w:val="nil"/>
            </w:tcBorders>
            <w:tcMar>
              <w:top w:w="0" w:type="dxa"/>
              <w:bottom w:w="0" w:type="dxa"/>
              <w:left w:w="20" w:type="dxa"/>
              <w:right w:w="20" w:type="dxa"/>
            </w:tcMar>
            <w:vAlign w:val="center"/>
          </w:tcPr>
          <w:p>
            <w:pPr>
              <w:spacing w:before="0" w:after="20" w:line="197" w:lineRule="auto"/>
            </w:pPr>
            <w:hyperlink w:anchor="H_2__Scope_and_System_Boundaries" w:history="1">
              <w:r>
                <w:rPr>
                  <w:rStyle w:val="Hyperlink"/>
                  <w:sz w:val="15"/>
                  <w:szCs w:val="15"/>
                </w:rPr>
                <w:t>2. Scope and System Boundaries  .....  3</w:t>
              </w:r>
            </w:hyperlink>
          </w:p>
        </w:tc>
        <w:tc>
          <w:tcPr>
            <w:tcW w:type="dxa" w:w="317"/>
            <w:tcBorders>
              <w:top w:val="nil"/>
              <w:left w:val="nil"/>
              <w:bottom w:val="nil"/>
              <w:right w:val="nil"/>
              <w:insideH w:val="nil"/>
              <w:insideV w:val="nil"/>
            </w:tcBorders>
            <w:tcMar>
              <w:top w:w="0" w:type="dxa"/>
              <w:bottom w:w="0" w:type="dxa"/>
              <w:left w:w="20" w:type="dxa"/>
              <w:right w:w="20" w:type="dxa"/>
            </w:tcMar>
            <w:vAlign w:val="center"/>
          </w:tcPr>
          <w:p/>
        </w:tc>
        <w:tc>
          <w:tcPr>
            <w:tcW w:type="dxa" w:w="4824"/>
            <w:tcBorders>
              <w:top w:val="nil"/>
              <w:left w:val="nil"/>
              <w:bottom w:val="nil"/>
              <w:right w:val="nil"/>
              <w:insideH w:val="nil"/>
              <w:insideV w:val="nil"/>
            </w:tcBorders>
            <w:tcMar>
              <w:top w:w="0" w:type="dxa"/>
              <w:bottom w:w="0" w:type="dxa"/>
              <w:left w:w="20" w:type="dxa"/>
              <w:right w:w="20" w:type="dxa"/>
            </w:tcMar>
            <w:vAlign w:val="center"/>
          </w:tcPr>
          <w:p>
            <w:pPr>
              <w:spacing w:before="0" w:after="20" w:line="197" w:lineRule="auto"/>
            </w:pPr>
            <w:hyperlink w:anchor="H_14__Deployment_and_Environment_Archi" w:history="1">
              <w:r>
                <w:rPr>
                  <w:rStyle w:val="Hyperlink"/>
                  <w:sz w:val="15"/>
                  <w:szCs w:val="15"/>
                </w:rPr>
                <w:t>14. Deployment and Environment Architecture  .....  16</w:t>
              </w:r>
            </w:hyperlink>
          </w:p>
        </w:tc>
      </w:tr>
      <w:tr>
        <w:tc>
          <w:tcPr>
            <w:tcW w:type="dxa" w:w="4824"/>
            <w:tcBorders>
              <w:top w:val="nil"/>
              <w:left w:val="nil"/>
              <w:bottom w:val="nil"/>
              <w:right w:val="nil"/>
              <w:insideH w:val="nil"/>
              <w:insideV w:val="nil"/>
            </w:tcBorders>
            <w:tcMar>
              <w:top w:w="0" w:type="dxa"/>
              <w:bottom w:w="0" w:type="dxa"/>
              <w:left w:w="20" w:type="dxa"/>
              <w:right w:w="20" w:type="dxa"/>
            </w:tcMar>
            <w:vAlign w:val="center"/>
          </w:tcPr>
          <w:p>
            <w:pPr>
              <w:spacing w:before="0" w:after="20" w:line="197" w:lineRule="auto"/>
            </w:pPr>
            <w:hyperlink w:anchor="H_3__Architecture_Context" w:history="1">
              <w:r>
                <w:rPr>
                  <w:rStyle w:val="Hyperlink"/>
                  <w:sz w:val="15"/>
                  <w:szCs w:val="15"/>
                </w:rPr>
                <w:t>3. Architecture Context  .....  4</w:t>
              </w:r>
            </w:hyperlink>
          </w:p>
        </w:tc>
        <w:tc>
          <w:tcPr>
            <w:tcW w:type="dxa" w:w="317"/>
            <w:tcBorders>
              <w:top w:val="nil"/>
              <w:left w:val="nil"/>
              <w:bottom w:val="nil"/>
              <w:right w:val="nil"/>
              <w:insideH w:val="nil"/>
              <w:insideV w:val="nil"/>
            </w:tcBorders>
            <w:tcMar>
              <w:top w:w="0" w:type="dxa"/>
              <w:bottom w:w="0" w:type="dxa"/>
              <w:left w:w="20" w:type="dxa"/>
              <w:right w:w="20" w:type="dxa"/>
            </w:tcMar>
            <w:vAlign w:val="center"/>
          </w:tcPr>
          <w:p/>
        </w:tc>
        <w:tc>
          <w:tcPr>
            <w:tcW w:type="dxa" w:w="4824"/>
            <w:tcBorders>
              <w:top w:val="nil"/>
              <w:left w:val="nil"/>
              <w:bottom w:val="nil"/>
              <w:right w:val="nil"/>
              <w:insideH w:val="nil"/>
              <w:insideV w:val="nil"/>
            </w:tcBorders>
            <w:tcMar>
              <w:top w:w="0" w:type="dxa"/>
              <w:bottom w:w="0" w:type="dxa"/>
              <w:left w:w="20" w:type="dxa"/>
              <w:right w:w="20" w:type="dxa"/>
            </w:tcMar>
            <w:vAlign w:val="center"/>
          </w:tcPr>
          <w:p>
            <w:pPr>
              <w:spacing w:before="0" w:after="20" w:line="197" w:lineRule="auto"/>
            </w:pPr>
            <w:hyperlink w:anchor="H_15__Non_Functional_Requirements___HL" w:history="1">
              <w:r>
                <w:rPr>
                  <w:rStyle w:val="Hyperlink"/>
                  <w:sz w:val="15"/>
                  <w:szCs w:val="15"/>
                </w:rPr>
                <w:t>15. Non-Functional Requirements - HLD Baseline  .....  16</w:t>
              </w:r>
            </w:hyperlink>
          </w:p>
        </w:tc>
      </w:tr>
      <w:tr>
        <w:tc>
          <w:tcPr>
            <w:tcW w:type="dxa" w:w="4824"/>
            <w:tcBorders>
              <w:top w:val="nil"/>
              <w:left w:val="nil"/>
              <w:bottom w:val="nil"/>
              <w:right w:val="nil"/>
              <w:insideH w:val="nil"/>
              <w:insideV w:val="nil"/>
            </w:tcBorders>
            <w:tcMar>
              <w:top w:w="0" w:type="dxa"/>
              <w:bottom w:w="0" w:type="dxa"/>
              <w:left w:w="20" w:type="dxa"/>
              <w:right w:w="20" w:type="dxa"/>
            </w:tcMar>
            <w:vAlign w:val="center"/>
          </w:tcPr>
          <w:p>
            <w:pPr>
              <w:spacing w:before="0" w:after="20" w:line="197" w:lineRule="auto"/>
            </w:pPr>
            <w:hyperlink w:anchor="H_4__Logical_Architecture_and_Responsi" w:history="1">
              <w:r>
                <w:rPr>
                  <w:rStyle w:val="Hyperlink"/>
                  <w:sz w:val="15"/>
                  <w:szCs w:val="15"/>
                </w:rPr>
                <w:t>4. Logical Architecture and Responsibilities  .....  7</w:t>
              </w:r>
            </w:hyperlink>
          </w:p>
        </w:tc>
        <w:tc>
          <w:tcPr>
            <w:tcW w:type="dxa" w:w="317"/>
            <w:tcBorders>
              <w:top w:val="nil"/>
              <w:left w:val="nil"/>
              <w:bottom w:val="nil"/>
              <w:right w:val="nil"/>
              <w:insideH w:val="nil"/>
              <w:insideV w:val="nil"/>
            </w:tcBorders>
            <w:tcMar>
              <w:top w:w="0" w:type="dxa"/>
              <w:bottom w:w="0" w:type="dxa"/>
              <w:left w:w="20" w:type="dxa"/>
              <w:right w:w="20" w:type="dxa"/>
            </w:tcMar>
            <w:vAlign w:val="center"/>
          </w:tcPr>
          <w:p/>
        </w:tc>
        <w:tc>
          <w:tcPr>
            <w:tcW w:type="dxa" w:w="4824"/>
            <w:tcBorders>
              <w:top w:val="nil"/>
              <w:left w:val="nil"/>
              <w:bottom w:val="nil"/>
              <w:right w:val="nil"/>
              <w:insideH w:val="nil"/>
              <w:insideV w:val="nil"/>
            </w:tcBorders>
            <w:tcMar>
              <w:top w:w="0" w:type="dxa"/>
              <w:bottom w:w="0" w:type="dxa"/>
              <w:left w:w="20" w:type="dxa"/>
              <w:right w:w="20" w:type="dxa"/>
            </w:tcMar>
            <w:vAlign w:val="center"/>
          </w:tcPr>
          <w:p>
            <w:pPr>
              <w:spacing w:before="0" w:after="20" w:line="197" w:lineRule="auto"/>
            </w:pPr>
            <w:hyperlink w:anchor="H_16__Key_Architecture_Decisions" w:history="1">
              <w:r>
                <w:rPr>
                  <w:rStyle w:val="Hyperlink"/>
                  <w:sz w:val="15"/>
                  <w:szCs w:val="15"/>
                </w:rPr>
                <w:t>16. Key Architecture Decisions  .....  17</w:t>
              </w:r>
            </w:hyperlink>
          </w:p>
        </w:tc>
      </w:tr>
      <w:tr>
        <w:tc>
          <w:tcPr>
            <w:tcW w:type="dxa" w:w="4824"/>
            <w:tcBorders>
              <w:top w:val="nil"/>
              <w:left w:val="nil"/>
              <w:bottom w:val="nil"/>
              <w:right w:val="nil"/>
              <w:insideH w:val="nil"/>
              <w:insideV w:val="nil"/>
            </w:tcBorders>
            <w:tcMar>
              <w:top w:w="0" w:type="dxa"/>
              <w:bottom w:w="0" w:type="dxa"/>
              <w:left w:w="20" w:type="dxa"/>
              <w:right w:w="20" w:type="dxa"/>
            </w:tcMar>
            <w:vAlign w:val="center"/>
          </w:tcPr>
          <w:p>
            <w:pPr>
              <w:spacing w:before="0" w:after="20" w:line="197" w:lineRule="auto"/>
            </w:pPr>
            <w:hyperlink w:anchor="H_5__Data_and_State_Architecture" w:history="1">
              <w:r>
                <w:rPr>
                  <w:rStyle w:val="Hyperlink"/>
                  <w:sz w:val="15"/>
                  <w:szCs w:val="15"/>
                </w:rPr>
                <w:t>5. Data and State Architecture  .....  10</w:t>
              </w:r>
            </w:hyperlink>
          </w:p>
        </w:tc>
        <w:tc>
          <w:tcPr>
            <w:tcW w:type="dxa" w:w="317"/>
            <w:tcBorders>
              <w:top w:val="nil"/>
              <w:left w:val="nil"/>
              <w:bottom w:val="nil"/>
              <w:right w:val="nil"/>
              <w:insideH w:val="nil"/>
              <w:insideV w:val="nil"/>
            </w:tcBorders>
            <w:tcMar>
              <w:top w:w="0" w:type="dxa"/>
              <w:bottom w:w="0" w:type="dxa"/>
              <w:left w:w="20" w:type="dxa"/>
              <w:right w:w="20" w:type="dxa"/>
            </w:tcMar>
            <w:vAlign w:val="center"/>
          </w:tcPr>
          <w:p/>
        </w:tc>
        <w:tc>
          <w:tcPr>
            <w:tcW w:type="dxa" w:w="4824"/>
            <w:tcBorders>
              <w:top w:val="nil"/>
              <w:left w:val="nil"/>
              <w:bottom w:val="nil"/>
              <w:right w:val="nil"/>
              <w:insideH w:val="nil"/>
              <w:insideV w:val="nil"/>
            </w:tcBorders>
            <w:tcMar>
              <w:top w:w="0" w:type="dxa"/>
              <w:bottom w:w="0" w:type="dxa"/>
              <w:left w:w="20" w:type="dxa"/>
              <w:right w:w="20" w:type="dxa"/>
            </w:tcMar>
            <w:vAlign w:val="center"/>
          </w:tcPr>
          <w:p>
            <w:pPr>
              <w:spacing w:before="0" w:after="20" w:line="197" w:lineRule="auto"/>
            </w:pPr>
            <w:hyperlink w:anchor="H_17__Risks_and_Mitigations" w:history="1">
              <w:r>
                <w:rPr>
                  <w:rStyle w:val="Hyperlink"/>
                  <w:sz w:val="15"/>
                  <w:szCs w:val="15"/>
                </w:rPr>
                <w:t>17. Risks and Mitigations  .....  17</w:t>
              </w:r>
            </w:hyperlink>
          </w:p>
        </w:tc>
      </w:tr>
      <w:tr>
        <w:tc>
          <w:tcPr>
            <w:tcW w:type="dxa" w:w="4824"/>
            <w:tcBorders>
              <w:top w:val="nil"/>
              <w:left w:val="nil"/>
              <w:bottom w:val="nil"/>
              <w:right w:val="nil"/>
              <w:insideH w:val="nil"/>
              <w:insideV w:val="nil"/>
            </w:tcBorders>
            <w:tcMar>
              <w:top w:w="0" w:type="dxa"/>
              <w:bottom w:w="0" w:type="dxa"/>
              <w:left w:w="20" w:type="dxa"/>
              <w:right w:w="20" w:type="dxa"/>
            </w:tcMar>
            <w:vAlign w:val="center"/>
          </w:tcPr>
          <w:p>
            <w:pPr>
              <w:spacing w:before="0" w:after="20" w:line="197" w:lineRule="auto"/>
            </w:pPr>
            <w:hyperlink w:anchor="H_6__End_to_End_Runtime_Flow" w:history="1">
              <w:r>
                <w:rPr>
                  <w:rStyle w:val="Hyperlink"/>
                  <w:sz w:val="15"/>
                  <w:szCs w:val="15"/>
                </w:rPr>
                <w:t>6. End-to-End Runtime Flow  .....  11</w:t>
              </w:r>
            </w:hyperlink>
          </w:p>
        </w:tc>
        <w:tc>
          <w:tcPr>
            <w:tcW w:type="dxa" w:w="317"/>
            <w:tcBorders>
              <w:top w:val="nil"/>
              <w:left w:val="nil"/>
              <w:bottom w:val="nil"/>
              <w:right w:val="nil"/>
              <w:insideH w:val="nil"/>
              <w:insideV w:val="nil"/>
            </w:tcBorders>
            <w:tcMar>
              <w:top w:w="0" w:type="dxa"/>
              <w:bottom w:w="0" w:type="dxa"/>
              <w:left w:w="20" w:type="dxa"/>
              <w:right w:w="20" w:type="dxa"/>
            </w:tcMar>
            <w:vAlign w:val="center"/>
          </w:tcPr>
          <w:p/>
        </w:tc>
        <w:tc>
          <w:tcPr>
            <w:tcW w:type="dxa" w:w="4824"/>
            <w:tcBorders>
              <w:top w:val="nil"/>
              <w:left w:val="nil"/>
              <w:bottom w:val="nil"/>
              <w:right w:val="nil"/>
              <w:insideH w:val="nil"/>
              <w:insideV w:val="nil"/>
            </w:tcBorders>
            <w:tcMar>
              <w:top w:w="0" w:type="dxa"/>
              <w:bottom w:w="0" w:type="dxa"/>
              <w:left w:w="20" w:type="dxa"/>
              <w:right w:w="20" w:type="dxa"/>
            </w:tcMar>
            <w:vAlign w:val="center"/>
          </w:tcPr>
          <w:p>
            <w:pPr>
              <w:spacing w:before="0" w:after="20" w:line="197" w:lineRule="auto"/>
            </w:pPr>
            <w:hyperlink w:anchor="H_18__Assumptions__Constraints_and_Ope" w:history="1">
              <w:r>
                <w:rPr>
                  <w:rStyle w:val="Hyperlink"/>
                  <w:sz w:val="15"/>
                  <w:szCs w:val="15"/>
                </w:rPr>
                <w:t>18. Assumptions, Constraints and Open Decisions  .....  18</w:t>
              </w:r>
            </w:hyperlink>
          </w:p>
        </w:tc>
      </w:tr>
      <w:tr>
        <w:tc>
          <w:tcPr>
            <w:tcW w:type="dxa" w:w="4824"/>
            <w:tcBorders>
              <w:top w:val="nil"/>
              <w:left w:val="nil"/>
              <w:bottom w:val="nil"/>
              <w:right w:val="nil"/>
              <w:insideH w:val="nil"/>
              <w:insideV w:val="nil"/>
            </w:tcBorders>
            <w:tcMar>
              <w:top w:w="0" w:type="dxa"/>
              <w:bottom w:w="0" w:type="dxa"/>
              <w:left w:w="20" w:type="dxa"/>
              <w:right w:w="20" w:type="dxa"/>
            </w:tcMar>
            <w:vAlign w:val="center"/>
          </w:tcPr>
          <w:p>
            <w:pPr>
              <w:spacing w:before="0" w:after="20" w:line="197" w:lineRule="auto"/>
            </w:pPr>
            <w:hyperlink w:anchor="H_7__Policy_Retrieval_and_Controlled_R" w:history="1">
              <w:r>
                <w:rPr>
                  <w:rStyle w:val="Hyperlink"/>
                  <w:sz w:val="15"/>
                  <w:szCs w:val="15"/>
                </w:rPr>
                <w:t>7. Policy Retrieval and Controlled RAG Design  .....  12</w:t>
              </w:r>
            </w:hyperlink>
          </w:p>
        </w:tc>
        <w:tc>
          <w:tcPr>
            <w:tcW w:type="dxa" w:w="317"/>
            <w:tcBorders>
              <w:top w:val="nil"/>
              <w:left w:val="nil"/>
              <w:bottom w:val="nil"/>
              <w:right w:val="nil"/>
              <w:insideH w:val="nil"/>
              <w:insideV w:val="nil"/>
            </w:tcBorders>
            <w:tcMar>
              <w:top w:w="0" w:type="dxa"/>
              <w:bottom w:w="0" w:type="dxa"/>
              <w:left w:w="20" w:type="dxa"/>
              <w:right w:w="20" w:type="dxa"/>
            </w:tcMar>
            <w:vAlign w:val="center"/>
          </w:tcPr>
          <w:p/>
        </w:tc>
        <w:tc>
          <w:tcPr>
            <w:tcW w:type="dxa" w:w="4824"/>
            <w:tcBorders>
              <w:top w:val="nil"/>
              <w:left w:val="nil"/>
              <w:bottom w:val="nil"/>
              <w:right w:val="nil"/>
              <w:insideH w:val="nil"/>
              <w:insideV w:val="nil"/>
            </w:tcBorders>
            <w:tcMar>
              <w:top w:w="0" w:type="dxa"/>
              <w:bottom w:w="0" w:type="dxa"/>
              <w:left w:w="20" w:type="dxa"/>
              <w:right w:w="20" w:type="dxa"/>
            </w:tcMar>
            <w:vAlign w:val="center"/>
          </w:tcPr>
          <w:p>
            <w:pPr>
              <w:spacing w:before="0" w:after="20" w:line="197" w:lineRule="auto"/>
            </w:pPr>
            <w:hyperlink w:anchor="H_19__Architecture_Traceability_Matrix" w:history="1">
              <w:r>
                <w:rPr>
                  <w:rStyle w:val="Hyperlink"/>
                  <w:sz w:val="15"/>
                  <w:szCs w:val="15"/>
                </w:rPr>
                <w:t>19. Architecture Traceability Matrix  .....  19</w:t>
              </w:r>
            </w:hyperlink>
          </w:p>
        </w:tc>
      </w:tr>
      <w:tr>
        <w:tc>
          <w:tcPr>
            <w:tcW w:type="dxa" w:w="4824"/>
            <w:tcBorders>
              <w:top w:val="nil"/>
              <w:left w:val="nil"/>
              <w:bottom w:val="nil"/>
              <w:right w:val="nil"/>
              <w:insideH w:val="nil"/>
              <w:insideV w:val="nil"/>
            </w:tcBorders>
            <w:tcMar>
              <w:top w:w="0" w:type="dxa"/>
              <w:bottom w:w="0" w:type="dxa"/>
              <w:left w:w="20" w:type="dxa"/>
              <w:right w:w="20" w:type="dxa"/>
            </w:tcMar>
            <w:vAlign w:val="center"/>
          </w:tcPr>
          <w:p>
            <w:pPr>
              <w:spacing w:before="0" w:after="20" w:line="197" w:lineRule="auto"/>
            </w:pPr>
            <w:hyperlink w:anchor="H_8__Security__Privacy_and_Compliance_" w:history="1">
              <w:r>
                <w:rPr>
                  <w:rStyle w:val="Hyperlink"/>
                  <w:sz w:val="15"/>
                  <w:szCs w:val="15"/>
                </w:rPr>
                <w:t>8. Security, Privacy and Compliance Architecture  .....  12</w:t>
              </w:r>
            </w:hyperlink>
          </w:p>
        </w:tc>
        <w:tc>
          <w:tcPr>
            <w:tcW w:type="dxa" w:w="317"/>
            <w:tcBorders>
              <w:top w:val="nil"/>
              <w:left w:val="nil"/>
              <w:bottom w:val="nil"/>
              <w:right w:val="nil"/>
              <w:insideH w:val="nil"/>
              <w:insideV w:val="nil"/>
            </w:tcBorders>
            <w:tcMar>
              <w:top w:w="0" w:type="dxa"/>
              <w:bottom w:w="0" w:type="dxa"/>
              <w:left w:w="20" w:type="dxa"/>
              <w:right w:w="20" w:type="dxa"/>
            </w:tcMar>
            <w:vAlign w:val="center"/>
          </w:tcPr>
          <w:p/>
        </w:tc>
        <w:tc>
          <w:tcPr>
            <w:tcW w:type="dxa" w:w="4824"/>
            <w:tcBorders>
              <w:top w:val="nil"/>
              <w:left w:val="nil"/>
              <w:bottom w:val="nil"/>
              <w:right w:val="nil"/>
              <w:insideH w:val="nil"/>
              <w:insideV w:val="nil"/>
            </w:tcBorders>
            <w:tcMar>
              <w:top w:w="0" w:type="dxa"/>
              <w:bottom w:w="0" w:type="dxa"/>
              <w:left w:w="20" w:type="dxa"/>
              <w:right w:w="20" w:type="dxa"/>
            </w:tcMar>
            <w:vAlign w:val="center"/>
          </w:tcPr>
          <w:p>
            <w:pPr>
              <w:spacing w:before="0" w:after="20" w:line="197" w:lineRule="auto"/>
            </w:pPr>
            <w:hyperlink w:anchor="H_20__Recommended_Implementation_Phase" w:history="1">
              <w:r>
                <w:rPr>
                  <w:rStyle w:val="Hyperlink"/>
                  <w:sz w:val="15"/>
                  <w:szCs w:val="15"/>
                </w:rPr>
                <w:t>20. Recommended Implementation Phases  .....  19</w:t>
              </w:r>
            </w:hyperlink>
          </w:p>
        </w:tc>
      </w:tr>
      <w:tr>
        <w:tc>
          <w:tcPr>
            <w:tcW w:type="dxa" w:w="4824"/>
            <w:tcBorders>
              <w:top w:val="nil"/>
              <w:left w:val="nil"/>
              <w:bottom w:val="nil"/>
              <w:right w:val="nil"/>
              <w:insideH w:val="nil"/>
              <w:insideV w:val="nil"/>
            </w:tcBorders>
            <w:tcMar>
              <w:top w:w="0" w:type="dxa"/>
              <w:bottom w:w="0" w:type="dxa"/>
              <w:left w:w="20" w:type="dxa"/>
              <w:right w:w="20" w:type="dxa"/>
            </w:tcMar>
            <w:vAlign w:val="center"/>
          </w:tcPr>
          <w:p>
            <w:pPr>
              <w:spacing w:before="0" w:after="20" w:line="197" w:lineRule="auto"/>
            </w:pPr>
            <w:hyperlink w:anchor="H_9__AI_Platform_Governance" w:history="1">
              <w:r>
                <w:rPr>
                  <w:rStyle w:val="Hyperlink"/>
                  <w:sz w:val="15"/>
                  <w:szCs w:val="15"/>
                </w:rPr>
                <w:t>9. AI Platform Governance  .....  13</w:t>
              </w:r>
            </w:hyperlink>
          </w:p>
        </w:tc>
        <w:tc>
          <w:tcPr>
            <w:tcW w:type="dxa" w:w="317"/>
            <w:tcBorders>
              <w:top w:val="nil"/>
              <w:left w:val="nil"/>
              <w:bottom w:val="nil"/>
              <w:right w:val="nil"/>
              <w:insideH w:val="nil"/>
              <w:insideV w:val="nil"/>
            </w:tcBorders>
            <w:tcMar>
              <w:top w:w="0" w:type="dxa"/>
              <w:bottom w:w="0" w:type="dxa"/>
              <w:left w:w="20" w:type="dxa"/>
              <w:right w:w="20" w:type="dxa"/>
            </w:tcMar>
            <w:vAlign w:val="center"/>
          </w:tcPr>
          <w:p/>
        </w:tc>
        <w:tc>
          <w:tcPr>
            <w:tcW w:type="dxa" w:w="4824"/>
            <w:tcBorders>
              <w:top w:val="nil"/>
              <w:left w:val="nil"/>
              <w:bottom w:val="nil"/>
              <w:right w:val="nil"/>
              <w:insideH w:val="nil"/>
              <w:insideV w:val="nil"/>
            </w:tcBorders>
            <w:tcMar>
              <w:top w:w="0" w:type="dxa"/>
              <w:bottom w:w="0" w:type="dxa"/>
              <w:left w:w="20" w:type="dxa"/>
              <w:right w:w="20" w:type="dxa"/>
            </w:tcMar>
            <w:vAlign w:val="center"/>
          </w:tcPr>
          <w:p>
            <w:pPr>
              <w:spacing w:before="0" w:after="20" w:line="197" w:lineRule="auto"/>
            </w:pPr>
            <w:hyperlink w:anchor="H_21__Architecture_Review_Checklist" w:history="1">
              <w:r>
                <w:rPr>
                  <w:rStyle w:val="Hyperlink"/>
                  <w:sz w:val="15"/>
                  <w:szCs w:val="15"/>
                </w:rPr>
                <w:t>21. Architecture Review Checklist  .....  20</w:t>
              </w:r>
            </w:hyperlink>
          </w:p>
        </w:tc>
      </w:tr>
      <w:tr>
        <w:tc>
          <w:tcPr>
            <w:tcW w:type="dxa" w:w="4824"/>
            <w:tcBorders>
              <w:top w:val="nil"/>
              <w:left w:val="nil"/>
              <w:bottom w:val="nil"/>
              <w:right w:val="nil"/>
              <w:insideH w:val="nil"/>
              <w:insideV w:val="nil"/>
            </w:tcBorders>
            <w:tcMar>
              <w:top w:w="0" w:type="dxa"/>
              <w:bottom w:w="0" w:type="dxa"/>
              <w:left w:w="20" w:type="dxa"/>
              <w:right w:w="20" w:type="dxa"/>
            </w:tcMar>
            <w:vAlign w:val="center"/>
          </w:tcPr>
          <w:p>
            <w:pPr>
              <w:spacing w:before="0" w:after="20" w:line="197" w:lineRule="auto"/>
            </w:pPr>
            <w:hyperlink w:anchor="H_10__Observability__AI_Quality_and_Op" w:history="1">
              <w:r>
                <w:rPr>
                  <w:rStyle w:val="Hyperlink"/>
                  <w:sz w:val="15"/>
                  <w:szCs w:val="15"/>
                </w:rPr>
                <w:t>10. Observability, AI Quality and Operational Monitoring  .....  13</w:t>
              </w:r>
            </w:hyperlink>
          </w:p>
        </w:tc>
        <w:tc>
          <w:tcPr>
            <w:tcW w:type="dxa" w:w="317"/>
            <w:tcBorders>
              <w:top w:val="nil"/>
              <w:left w:val="nil"/>
              <w:bottom w:val="nil"/>
              <w:right w:val="nil"/>
              <w:insideH w:val="nil"/>
              <w:insideV w:val="nil"/>
            </w:tcBorders>
            <w:tcMar>
              <w:top w:w="0" w:type="dxa"/>
              <w:bottom w:w="0" w:type="dxa"/>
              <w:left w:w="20" w:type="dxa"/>
              <w:right w:w="20" w:type="dxa"/>
            </w:tcMar>
            <w:vAlign w:val="center"/>
          </w:tcPr>
          <w:p/>
        </w:tc>
        <w:tc>
          <w:tcPr>
            <w:tcW w:type="dxa" w:w="4824"/>
            <w:tcBorders>
              <w:top w:val="nil"/>
              <w:left w:val="nil"/>
              <w:bottom w:val="nil"/>
              <w:right w:val="nil"/>
              <w:insideH w:val="nil"/>
              <w:insideV w:val="nil"/>
            </w:tcBorders>
            <w:tcMar>
              <w:top w:w="0" w:type="dxa"/>
              <w:bottom w:w="0" w:type="dxa"/>
              <w:left w:w="20" w:type="dxa"/>
              <w:right w:w="20" w:type="dxa"/>
            </w:tcMar>
            <w:vAlign w:val="center"/>
          </w:tcPr>
          <w:p>
            <w:pPr>
              <w:spacing w:before="0" w:after="20" w:line="197" w:lineRule="auto"/>
            </w:pPr>
            <w:hyperlink w:anchor="Appendix_A___Proposed_Canonical_Workfl" w:history="1">
              <w:r>
                <w:rPr>
                  <w:rStyle w:val="Hyperlink"/>
                  <w:sz w:val="15"/>
                  <w:szCs w:val="15"/>
                </w:rPr>
                <w:t>Appendix A - Proposed Canonical Workflow State  .....  20</w:t>
              </w:r>
            </w:hyperlink>
          </w:p>
        </w:tc>
      </w:tr>
      <w:tr>
        <w:tc>
          <w:tcPr>
            <w:tcW w:type="dxa" w:w="4824"/>
            <w:tcBorders>
              <w:top w:val="nil"/>
              <w:left w:val="nil"/>
              <w:bottom w:val="nil"/>
              <w:right w:val="nil"/>
              <w:insideH w:val="nil"/>
              <w:insideV w:val="nil"/>
            </w:tcBorders>
            <w:tcMar>
              <w:top w:w="0" w:type="dxa"/>
              <w:bottom w:w="0" w:type="dxa"/>
              <w:left w:w="20" w:type="dxa"/>
              <w:right w:w="20" w:type="dxa"/>
            </w:tcMar>
            <w:vAlign w:val="center"/>
          </w:tcPr>
          <w:p>
            <w:pPr>
              <w:spacing w:before="0" w:after="20" w:line="197" w:lineRule="auto"/>
            </w:pPr>
            <w:hyperlink w:anchor="H_11__Reliability__Resilience_and_Fail" w:history="1">
              <w:r>
                <w:rPr>
                  <w:rStyle w:val="Hyperlink"/>
                  <w:sz w:val="15"/>
                  <w:szCs w:val="15"/>
                </w:rPr>
                <w:t>11. Reliability, Resilience and Failure Handling  .....  14</w:t>
              </w:r>
            </w:hyperlink>
          </w:p>
        </w:tc>
        <w:tc>
          <w:tcPr>
            <w:tcW w:type="dxa" w:w="317"/>
            <w:tcBorders>
              <w:top w:val="nil"/>
              <w:left w:val="nil"/>
              <w:bottom w:val="nil"/>
              <w:right w:val="nil"/>
              <w:insideH w:val="nil"/>
              <w:insideV w:val="nil"/>
            </w:tcBorders>
            <w:tcMar>
              <w:top w:w="0" w:type="dxa"/>
              <w:bottom w:w="0" w:type="dxa"/>
              <w:left w:w="20" w:type="dxa"/>
              <w:right w:w="20" w:type="dxa"/>
            </w:tcMar>
            <w:vAlign w:val="center"/>
          </w:tcPr>
          <w:p/>
        </w:tc>
        <w:tc>
          <w:tcPr>
            <w:tcW w:type="dxa" w:w="4824"/>
            <w:tcBorders>
              <w:top w:val="nil"/>
              <w:left w:val="nil"/>
              <w:bottom w:val="nil"/>
              <w:right w:val="nil"/>
              <w:insideH w:val="nil"/>
              <w:insideV w:val="nil"/>
            </w:tcBorders>
            <w:tcMar>
              <w:top w:w="0" w:type="dxa"/>
              <w:bottom w:w="0" w:type="dxa"/>
              <w:left w:w="20" w:type="dxa"/>
              <w:right w:w="20" w:type="dxa"/>
            </w:tcMar>
            <w:vAlign w:val="center"/>
          </w:tcPr>
          <w:p>
            <w:pPr>
              <w:spacing w:before="0" w:after="20" w:line="197" w:lineRule="auto"/>
            </w:pPr>
            <w:hyperlink w:anchor="Appendix_B___Audit_Event_Minimum_Field" w:history="1">
              <w:r>
                <w:rPr>
                  <w:rStyle w:val="Hyperlink"/>
                  <w:sz w:val="15"/>
                  <w:szCs w:val="15"/>
                </w:rPr>
                <w:t>Appendix B - Audit Event Minimum Fields  .....  21</w:t>
              </w:r>
            </w:hyperlink>
          </w:p>
        </w:tc>
      </w:tr>
      <w:tr>
        <w:tc>
          <w:tcPr>
            <w:tcW w:type="dxa" w:w="4824"/>
            <w:tcBorders>
              <w:top w:val="nil"/>
              <w:left w:val="nil"/>
              <w:bottom w:val="nil"/>
              <w:right w:val="nil"/>
              <w:insideH w:val="nil"/>
              <w:insideV w:val="nil"/>
            </w:tcBorders>
            <w:tcMar>
              <w:top w:w="0" w:type="dxa"/>
              <w:bottom w:w="0" w:type="dxa"/>
              <w:left w:w="20" w:type="dxa"/>
              <w:right w:w="20" w:type="dxa"/>
            </w:tcMar>
            <w:vAlign w:val="center"/>
          </w:tcPr>
          <w:p>
            <w:pPr>
              <w:spacing w:before="0" w:after="20" w:line="197" w:lineRule="auto"/>
            </w:pPr>
            <w:hyperlink w:anchor="H_12__Scalability_and_Performance_Desi" w:history="1">
              <w:r>
                <w:rPr>
                  <w:rStyle w:val="Hyperlink"/>
                  <w:sz w:val="15"/>
                  <w:szCs w:val="15"/>
                </w:rPr>
                <w:t>12. Scalability and Performance Design  .....  14</w:t>
              </w:r>
            </w:hyperlink>
          </w:p>
        </w:tc>
        <w:tc>
          <w:tcPr>
            <w:tcW w:type="dxa" w:w="317"/>
            <w:tcBorders>
              <w:top w:val="nil"/>
              <w:left w:val="nil"/>
              <w:bottom w:val="nil"/>
              <w:right w:val="nil"/>
              <w:insideH w:val="nil"/>
              <w:insideV w:val="nil"/>
            </w:tcBorders>
            <w:tcMar>
              <w:top w:w="0" w:type="dxa"/>
              <w:bottom w:w="0" w:type="dxa"/>
              <w:left w:w="20" w:type="dxa"/>
              <w:right w:w="20" w:type="dxa"/>
            </w:tcMar>
            <w:vAlign w:val="center"/>
          </w:tcPr>
          <w:p/>
        </w:tc>
        <w:tc>
          <w:tcPr>
            <w:tcW w:type="dxa" w:w="4824"/>
            <w:tcBorders>
              <w:top w:val="nil"/>
              <w:left w:val="nil"/>
              <w:bottom w:val="nil"/>
              <w:right w:val="nil"/>
              <w:insideH w:val="nil"/>
              <w:insideV w:val="nil"/>
            </w:tcBorders>
            <w:tcMar>
              <w:top w:w="0" w:type="dxa"/>
              <w:bottom w:w="0" w:type="dxa"/>
              <w:left w:w="20" w:type="dxa"/>
              <w:right w:w="20" w:type="dxa"/>
            </w:tcMar>
            <w:vAlign w:val="center"/>
          </w:tcPr>
          <w:p>
            <w:pPr>
              <w:spacing w:before="0" w:after="20" w:line="197" w:lineRule="auto"/>
            </w:pPr>
            <w:hyperlink w:anchor="Appendix_C___Glossary" w:history="1">
              <w:r>
                <w:rPr>
                  <w:rStyle w:val="Hyperlink"/>
                  <w:sz w:val="15"/>
                  <w:szCs w:val="15"/>
                </w:rPr>
                <w:t>Appendix C - Glossary  .....  21</w:t>
              </w:r>
            </w:hyperlink>
          </w:p>
        </w:tc>
      </w:tr>
    </w:tbl>
    <w:p>
      <w:r>
        <w:fldChar w:fldCharType="begin"/>
        <w:instrText xml:space="preserve">TOC \o "1-3" \h \z \u</w:instrText>
        <w:fldChar w:fldCharType="separate">
          <w:t>Right-click and choose Update Field to refresh the Table of Contents.</w:t>
        </w:fldChar>
        <w:fldChar w:fldCharType="end"/>
      </w:r>
    </w:p>
    <w:p>
      <w:pPr>
        <w:spacing w:after="20"/>
      </w:pPr>
    </w:p>
    <w:p>
      <w:r>
        <w:br w:type="page"/>
      </w:r>
    </w:p>
    <w:p>
      <w:bookmarkStart w:id="300" w:name="H_1__Executive_Summary"/>
      <w:pPr>
        <w:pStyle w:val="Heading1"/>
      </w:pPr>
      <w:r>
        <w:t>1. Executive Summary</w:t>
      </w:r>
      <w:bookmarkEnd w:id="300"/>
    </w:p>
    <w:p>
      <w:r>
        <w:t>DisputeIQ is a banking transaction dispute investigation and resolution platform designed to combine deterministic controls, authoritative banking data, policy-aware retrieval, AI-assisted analysis, and human-in-the-loop (HITL) governance. The architecture separates orchestration, business state, workflow state, policy knowledge, controlled rule execution, AI capabilities, provider adapters, platform services, observability, governance, and external integrations to reduce model risk and support auditable case outcomes.</w:t>
      </w:r>
    </w:p>
    <w:p>
      <w:pPr>
        <w:pStyle w:val="ListBullet"/>
      </w:pPr>
      <w:r>
        <w:t>LangGraph is the stateful workflow engine and owns progression through the 11-step investigation lifecycle, checkpoints, interrupts, and resumability.</w:t>
      </w:r>
    </w:p>
    <w:p>
      <w:pPr>
        <w:pStyle w:val="ListBullet"/>
      </w:pPr>
      <w:r>
        <w:t>Deterministic services own policy eligibility, evidence completeness, rule execution, case confidence/escalation, idempotency, and validation so that regulated decisions are not delegated to probabilistic models.</w:t>
      </w:r>
    </w:p>
    <w:p>
      <w:pPr>
        <w:pStyle w:val="ListBullet"/>
      </w:pPr>
      <w:r>
        <w:t>AI is used for classification, evidence analysis, recommendation, and communication through a controlled model gateway with routing, fallback, timeout, guardrails, telemetry, prompt resolution, and cost controls.</w:t>
      </w:r>
    </w:p>
    <w:p>
      <w:pPr>
        <w:pStyle w:val="ListBullet"/>
      </w:pPr>
      <w:r>
        <w:t>Human decision gates are embedded where confidence is low, evidence is missing, policy retrieval is uncertain, rule exceptions occur, or supervisor approval is required.</w:t>
      </w:r>
    </w:p>
    <w:p>
      <w:pPr>
        <w:pStyle w:val="ListBullet"/>
      </w:pPr>
      <w:r>
        <w:t>Every material workflow transition, retrieved source, model interaction, rule version, human decision, and final communication is designed to be traceable and auditable.</w:t>
      </w:r>
    </w:p>
    <w:p>
      <w:pPr>
        <w:pStyle w:val="Heading2"/>
      </w:pPr>
      <w:r>
        <w:t>1.1 Design Objectives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0B1F5B"/>
          </w:tcPr>
          <w:p>
            <w:r/>
            <w:r>
              <w:rPr>
                <w:rFonts w:ascii="Aptos" w:hAnsi="Aptos"/>
                <w:b/>
                <w:color w:val="FFFFFF"/>
                <w:sz w:val="17"/>
              </w:rPr>
              <w:t>Objective</w:t>
            </w:r>
          </w:p>
        </w:tc>
        <w:tc>
          <w:tcPr>
            <w:tcW w:type="dxa" w:w="4968"/>
            <w:vAlign w:val="center"/>
            <w:shd w:fill="0B1F5B"/>
          </w:tcPr>
          <w:p>
            <w:r/>
            <w:r>
              <w:rPr>
                <w:rFonts w:ascii="Aptos" w:hAnsi="Aptos"/>
                <w:b/>
                <w:color w:val="FFFFFF"/>
                <w:sz w:val="17"/>
              </w:rPr>
              <w:t>HLD Response</w:t>
            </w:r>
          </w:p>
        </w:tc>
      </w:tr>
      <w:tr>
        <w:tc>
          <w:tcPr>
            <w:tcW w:type="dxa" w:w="4968"/>
            <w:vAlign w:val="center"/>
            <w:shd w:fill="F7F9FC"/>
          </w:tcPr>
          <w:p>
            <w:r/>
            <w:r>
              <w:rPr>
                <w:rFonts w:ascii="Aptos" w:hAnsi="Aptos"/>
                <w:b w:val="0"/>
                <w:color w:val="1B2430"/>
                <w:sz w:val="16"/>
              </w:rPr>
              <w:t>Correctness</w:t>
            </w:r>
          </w:p>
        </w:tc>
        <w:tc>
          <w:tcPr>
            <w:tcW w:type="dxa" w:w="4968"/>
            <w:vAlign w:val="center"/>
            <w:shd w:fill="F7F9FC"/>
          </w:tcPr>
          <w:p>
            <w:r/>
            <w:r>
              <w:rPr>
                <w:rFonts w:ascii="Aptos" w:hAnsi="Aptos"/>
                <w:b w:val="0"/>
                <w:color w:val="1B2430"/>
                <w:sz w:val="16"/>
              </w:rPr>
              <w:t>Authoritative systems remain systems of record; deterministic services enforce eligibility, rules, validation, and case confidence.</w:t>
            </w:r>
          </w:p>
        </w:tc>
      </w:tr>
      <w:tr>
        <w:tc>
          <w:tcPr>
            <w:tcW w:type="dxa" w:w="4968"/>
            <w:vAlign w:val="center"/>
          </w:tcPr>
          <w:p>
            <w:r/>
            <w:r>
              <w:rPr>
                <w:rFonts w:ascii="Aptos" w:hAnsi="Aptos"/>
                <w:b w:val="0"/>
                <w:color w:val="1B2430"/>
                <w:sz w:val="16"/>
              </w:rPr>
              <w:t>Auditability</w:t>
            </w:r>
          </w:p>
        </w:tc>
        <w:tc>
          <w:tcPr>
            <w:tcW w:type="dxa" w:w="4968"/>
            <w:vAlign w:val="center"/>
          </w:tcPr>
          <w:p>
            <w:r/>
            <w:r>
              <w:rPr>
                <w:rFonts w:ascii="Aptos" w:hAnsi="Aptos"/>
                <w:b w:val="0"/>
                <w:color w:val="1B2430"/>
                <w:sz w:val="16"/>
              </w:rPr>
              <w:t>Immutable audit store + workflow checkpoints + source lineage + model/prompt/version metadata.</w:t>
            </w:r>
          </w:p>
        </w:tc>
      </w:tr>
      <w:tr>
        <w:tc>
          <w:tcPr>
            <w:tcW w:type="dxa" w:w="4968"/>
            <w:vAlign w:val="center"/>
            <w:shd w:fill="F7F9FC"/>
          </w:tcPr>
          <w:p>
            <w:r/>
            <w:r>
              <w:rPr>
                <w:rFonts w:ascii="Aptos" w:hAnsi="Aptos"/>
                <w:b w:val="0"/>
                <w:color w:val="1B2430"/>
                <w:sz w:val="16"/>
              </w:rPr>
              <w:t>Safety</w:t>
            </w:r>
          </w:p>
        </w:tc>
        <w:tc>
          <w:tcPr>
            <w:tcW w:type="dxa" w:w="4968"/>
            <w:vAlign w:val="center"/>
            <w:shd w:fill="F7F9FC"/>
          </w:tcPr>
          <w:p>
            <w:r/>
            <w:r>
              <w:rPr>
                <w:rFonts w:ascii="Aptos" w:hAnsi="Aptos"/>
                <w:b w:val="0"/>
                <w:color w:val="1B2430"/>
                <w:sz w:val="16"/>
              </w:rPr>
              <w:t>HITL gates, model gateway guardrails, PII controls, RBAC, feature flags/kill switch, response validation.</w:t>
            </w:r>
          </w:p>
        </w:tc>
      </w:tr>
      <w:tr>
        <w:tc>
          <w:tcPr>
            <w:tcW w:type="dxa" w:w="4968"/>
            <w:vAlign w:val="center"/>
          </w:tcPr>
          <w:p>
            <w:r/>
            <w:r>
              <w:rPr>
                <w:rFonts w:ascii="Aptos" w:hAnsi="Aptos"/>
                <w:b w:val="0"/>
                <w:color w:val="1B2430"/>
                <w:sz w:val="16"/>
              </w:rPr>
              <w:t>Resilience</w:t>
            </w:r>
          </w:p>
        </w:tc>
        <w:tc>
          <w:tcPr>
            <w:tcW w:type="dxa" w:w="4968"/>
            <w:vAlign w:val="center"/>
          </w:tcPr>
          <w:p>
            <w:r/>
            <w:r>
              <w:rPr>
                <w:rFonts w:ascii="Aptos" w:hAnsi="Aptos"/>
                <w:b w:val="0"/>
                <w:color w:val="1B2430"/>
                <w:sz w:val="16"/>
              </w:rPr>
              <w:t>Retries, timeouts, circuit breakers, idempotency, checkpoint resume, provider fallback, asynchronous paths.</w:t>
            </w:r>
          </w:p>
        </w:tc>
      </w:tr>
      <w:tr>
        <w:tc>
          <w:tcPr>
            <w:tcW w:type="dxa" w:w="4968"/>
            <w:vAlign w:val="center"/>
            <w:shd w:fill="F7F9FC"/>
          </w:tcPr>
          <w:p>
            <w:r/>
            <w:r>
              <w:rPr>
                <w:rFonts w:ascii="Aptos" w:hAnsi="Aptos"/>
                <w:b w:val="0"/>
                <w:color w:val="1B2430"/>
                <w:sz w:val="16"/>
              </w:rPr>
              <w:t>Scalability</w:t>
            </w:r>
          </w:p>
        </w:tc>
        <w:tc>
          <w:tcPr>
            <w:tcW w:type="dxa" w:w="4968"/>
            <w:vAlign w:val="center"/>
            <w:shd w:fill="F7F9FC"/>
          </w:tcPr>
          <w:p>
            <w:r/>
            <w:r>
              <w:rPr>
                <w:rFonts w:ascii="Aptos" w:hAnsi="Aptos"/>
                <w:b w:val="0"/>
                <w:color w:val="1B2430"/>
                <w:sz w:val="16"/>
              </w:rPr>
              <w:t>Stateless API/services where possible, horizontally scalable orchestration workers, queue/cache coordination, independently scalable AI services.</w:t>
            </w:r>
          </w:p>
        </w:tc>
      </w:tr>
      <w:tr>
        <w:tc>
          <w:tcPr>
            <w:tcW w:type="dxa" w:w="4968"/>
            <w:vAlign w:val="center"/>
          </w:tcPr>
          <w:p>
            <w:r/>
            <w:r>
              <w:rPr>
                <w:rFonts w:ascii="Aptos" w:hAnsi="Aptos"/>
                <w:b w:val="0"/>
                <w:color w:val="1B2430"/>
                <w:sz w:val="16"/>
              </w:rPr>
              <w:t>Changeability</w:t>
            </w:r>
          </w:p>
        </w:tc>
        <w:tc>
          <w:tcPr>
            <w:tcW w:type="dxa" w:w="4968"/>
            <w:vAlign w:val="center"/>
          </w:tcPr>
          <w:p>
            <w:r/>
            <w:r>
              <w:rPr>
                <w:rFonts w:ascii="Aptos" w:hAnsi="Aptos"/>
                <w:b w:val="0"/>
                <w:color w:val="1B2430"/>
                <w:sz w:val="16"/>
              </w:rPr>
              <w:t>Provider adapters, versioned rules, model registry, prompt manager, vectorized policy knowledge, modular services.</w:t>
            </w:r>
          </w:p>
        </w:tc>
      </w:tr>
    </w:tbl>
    <w:p>
      <w:pPr>
        <w:spacing w:after="20"/>
      </w:pPr>
    </w:p>
    <w:p>
      <w:bookmarkStart w:id="301" w:name="H_2__Scope_and_System_Boundaries"/>
      <w:pPr>
        <w:pStyle w:val="Heading1"/>
      </w:pPr>
      <w:r>
        <w:t>2. Scope and System Boundaries</w:t>
      </w:r>
      <w:bookmarkEnd w:id="301"/>
    </w:p>
    <w:p>
      <w:pPr>
        <w:pStyle w:val="Heading2"/>
      </w:pPr>
      <w:r>
        <w:t>2.1 In Scope</w:t>
      </w:r>
    </w:p>
    <w:p>
      <w:pPr>
        <w:pStyle w:val="ListBullet"/>
      </w:pPr>
      <w:r>
        <w:t>Dispute case intake from customer, analyst/reviewer, partner APIs, and email/SMS response channels.</w:t>
      </w:r>
    </w:p>
    <w:p>
      <w:pPr>
        <w:pStyle w:val="ListBullet"/>
      </w:pPr>
      <w:r>
        <w:t>Identity, authorization, request validation, idempotency, case/workflow service APIs.</w:t>
      </w:r>
    </w:p>
    <w:p>
      <w:pPr>
        <w:pStyle w:val="ListBullet"/>
      </w:pPr>
      <w:r>
        <w:t>Case classification and route selection.</w:t>
      </w:r>
    </w:p>
    <w:p>
      <w:pPr>
        <w:pStyle w:val="ListBullet"/>
      </w:pPr>
      <w:r>
        <w:t>Authoritative context acquisition from customer, account, transaction, settlement, merchant, and refund providers.</w:t>
      </w:r>
    </w:p>
    <w:p>
      <w:pPr>
        <w:pStyle w:val="ListBullet"/>
      </w:pPr>
      <w:r>
        <w:t>Evidence completeness assessment and additional evidence request workflow.</w:t>
      </w:r>
    </w:p>
    <w:p>
      <w:pPr>
        <w:pStyle w:val="ListBullet"/>
      </w:pPr>
      <w:r>
        <w:t>Policy retrieval using controlled RAG over governed policy knowledge.</w:t>
      </w:r>
    </w:p>
    <w:p>
      <w:pPr>
        <w:pStyle w:val="ListBullet"/>
      </w:pPr>
      <w:r>
        <w:t>Deterministic decision-rule execution and exception routing.</w:t>
      </w:r>
    </w:p>
    <w:p>
      <w:pPr>
        <w:pStyle w:val="ListBullet"/>
      </w:pPr>
      <w:r>
        <w:t>Case confidence calculation, supervisor escalation, AI recommendation, human approval, customer communication, and audit finalization.</w:t>
      </w:r>
    </w:p>
    <w:p>
      <w:pPr>
        <w:pStyle w:val="ListBullet"/>
      </w:pPr>
      <w:r>
        <w:t>Operational dashboards, alerts, AI quality evaluation, model governance, engineering delivery controls, and cross-cutting security/privacy/compliance.</w:t>
      </w:r>
    </w:p>
    <w:p>
      <w:pPr>
        <w:pStyle w:val="Heading2"/>
      </w:pPr>
      <w:r>
        <w:t>2.2 Out of Scope for HLD</w:t>
      </w:r>
    </w:p>
    <w:p>
      <w:pPr>
        <w:pStyle w:val="ListBullet"/>
      </w:pPr>
      <w:r>
        <w:t>Product-specific dispute policy content and jurisdiction-specific legal interpretation.</w:t>
      </w:r>
    </w:p>
    <w:p>
      <w:pPr>
        <w:pStyle w:val="ListBullet"/>
      </w:pPr>
      <w:r>
        <w:t>Physical data model and field-level retention schedule.</w:t>
      </w:r>
    </w:p>
    <w:p>
      <w:pPr>
        <w:pStyle w:val="ListBullet"/>
      </w:pPr>
      <w:r>
        <w:t>Exact model/provider selection or commercial contract.</w:t>
      </w:r>
    </w:p>
    <w:p>
      <w:pPr>
        <w:pStyle w:val="ListBullet"/>
      </w:pPr>
      <w:r>
        <w:t>Detailed UI/UX for customer and analyst portals.</w:t>
      </w:r>
    </w:p>
    <w:p>
      <w:pPr>
        <w:pStyle w:val="ListBullet"/>
      </w:pPr>
      <w:r>
        <w:t>Detailed external provider API payloads and error codes.</w:t>
      </w:r>
    </w:p>
    <w:p>
      <w:pPr>
        <w:pStyle w:val="ListBullet"/>
      </w:pPr>
      <w:r>
        <w:t>Model training/fine-tuning pipeline unless added later as a governed capability.</w:t>
      </w:r>
    </w:p>
    <w:p>
      <w:pPr>
        <w:pStyle w:val="Heading2"/>
      </w:pPr>
      <w:r>
        <w:t>2.3 Trust Boundaries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0B1F5B"/>
          </w:tcPr>
          <w:p>
            <w:r/>
            <w:r>
              <w:rPr>
                <w:rFonts w:ascii="Aptos" w:hAnsi="Aptos"/>
                <w:b/>
                <w:color w:val="FFFFFF"/>
                <w:sz w:val="17"/>
              </w:rPr>
              <w:t>Boundary</w:t>
            </w:r>
          </w:p>
        </w:tc>
        <w:tc>
          <w:tcPr>
            <w:tcW w:type="dxa" w:w="3312"/>
            <w:vAlign w:val="center"/>
            <w:shd w:fill="0B1F5B"/>
          </w:tcPr>
          <w:p>
            <w:r/>
            <w:r>
              <w:rPr>
                <w:rFonts w:ascii="Aptos" w:hAnsi="Aptos"/>
                <w:b/>
                <w:color w:val="FFFFFF"/>
                <w:sz w:val="17"/>
              </w:rPr>
              <w:t>Description</w:t>
            </w:r>
          </w:p>
        </w:tc>
        <w:tc>
          <w:tcPr>
            <w:tcW w:type="dxa" w:w="3312"/>
            <w:vAlign w:val="center"/>
            <w:shd w:fill="0B1F5B"/>
          </w:tcPr>
          <w:p>
            <w:r/>
            <w:r>
              <w:rPr>
                <w:rFonts w:ascii="Aptos" w:hAnsi="Aptos"/>
                <w:b/>
                <w:color w:val="FFFFFF"/>
                <w:sz w:val="17"/>
              </w:rPr>
              <w:t>Primary Controls</w:t>
            </w:r>
          </w:p>
        </w:tc>
      </w:tr>
      <w:tr>
        <w:tc>
          <w:tcPr>
            <w:tcW w:type="dxa" w:w="3312"/>
            <w:vAlign w:val="center"/>
            <w:shd w:fill="F7F9FC"/>
          </w:tcPr>
          <w:p>
            <w:r/>
            <w:r>
              <w:rPr>
                <w:rFonts w:ascii="Aptos" w:hAnsi="Aptos"/>
                <w:b w:val="0"/>
                <w:color w:val="1B2430"/>
                <w:sz w:val="16"/>
              </w:rPr>
              <w:t>Public/Partner -&gt; Edge</w:t>
            </w:r>
          </w:p>
        </w:tc>
        <w:tc>
          <w:tcPr>
            <w:tcW w:type="dxa" w:w="3312"/>
            <w:vAlign w:val="center"/>
            <w:shd w:fill="F7F9FC"/>
          </w:tcPr>
          <w:p>
            <w:r/>
            <w:r>
              <w:rPr>
                <w:rFonts w:ascii="Aptos" w:hAnsi="Aptos"/>
                <w:b w:val="0"/>
                <w:color w:val="1B2430"/>
                <w:sz w:val="16"/>
              </w:rPr>
              <w:t>Internet/mobile/web/partner/email originated traffic enters the platform.</w:t>
            </w:r>
          </w:p>
        </w:tc>
        <w:tc>
          <w:tcPr>
            <w:tcW w:type="dxa" w:w="3312"/>
            <w:vAlign w:val="center"/>
            <w:shd w:fill="F7F9FC"/>
          </w:tcPr>
          <w:p>
            <w:r/>
            <w:r>
              <w:rPr>
                <w:rFonts w:ascii="Aptos" w:hAnsi="Aptos"/>
                <w:b w:val="0"/>
                <w:color w:val="1B2430"/>
                <w:sz w:val="16"/>
              </w:rPr>
              <w:t>Cloudflare Edge, WAF, DDoS protection, rate limiting, Zero Trust access.</w:t>
            </w:r>
          </w:p>
        </w:tc>
      </w:tr>
      <w:tr>
        <w:tc>
          <w:tcPr>
            <w:tcW w:type="dxa" w:w="3312"/>
            <w:vAlign w:val="center"/>
          </w:tcPr>
          <w:p>
            <w:r/>
            <w:r>
              <w:rPr>
                <w:rFonts w:ascii="Aptos" w:hAnsi="Aptos"/>
                <w:b w:val="0"/>
                <w:color w:val="1B2430"/>
                <w:sz w:val="16"/>
              </w:rPr>
              <w:t>Edge -&gt; Application</w:t>
            </w:r>
          </w:p>
        </w:tc>
        <w:tc>
          <w:tcPr>
            <w:tcW w:type="dxa" w:w="3312"/>
            <w:vAlign w:val="center"/>
          </w:tcPr>
          <w:p>
            <w:r/>
            <w:r>
              <w:rPr>
                <w:rFonts w:ascii="Aptos" w:hAnsi="Aptos"/>
                <w:b w:val="0"/>
                <w:color w:val="1B2430"/>
                <w:sz w:val="16"/>
              </w:rPr>
              <w:t>Authenticated requests enter the API/application tier.</w:t>
            </w:r>
          </w:p>
        </w:tc>
        <w:tc>
          <w:tcPr>
            <w:tcW w:type="dxa" w:w="3312"/>
            <w:vAlign w:val="center"/>
          </w:tcPr>
          <w:p>
            <w:r/>
            <w:r>
              <w:rPr>
                <w:rFonts w:ascii="Aptos" w:hAnsi="Aptos"/>
                <w:b w:val="0"/>
                <w:color w:val="1B2430"/>
                <w:sz w:val="16"/>
              </w:rPr>
              <w:t>OIDC, RBAC, request validation, idempotency, service authorization.</w:t>
            </w:r>
          </w:p>
        </w:tc>
      </w:tr>
      <w:tr>
        <w:tc>
          <w:tcPr>
            <w:tcW w:type="dxa" w:w="3312"/>
            <w:vAlign w:val="center"/>
            <w:shd w:fill="F7F9FC"/>
          </w:tcPr>
          <w:p>
            <w:r/>
            <w:r>
              <w:rPr>
                <w:rFonts w:ascii="Aptos" w:hAnsi="Aptos"/>
                <w:b w:val="0"/>
                <w:color w:val="1B2430"/>
                <w:sz w:val="16"/>
              </w:rPr>
              <w:t>Application -&gt; Orchestration</w:t>
            </w:r>
          </w:p>
        </w:tc>
        <w:tc>
          <w:tcPr>
            <w:tcW w:type="dxa" w:w="3312"/>
            <w:vAlign w:val="center"/>
            <w:shd w:fill="F7F9FC"/>
          </w:tcPr>
          <w:p>
            <w:r/>
            <w:r>
              <w:rPr>
                <w:rFonts w:ascii="Aptos" w:hAnsi="Aptos"/>
                <w:b w:val="0"/>
                <w:color w:val="1B2430"/>
                <w:sz w:val="16"/>
              </w:rPr>
              <w:t>Case commands/events invoke the stateful workflow.</w:t>
            </w:r>
          </w:p>
        </w:tc>
        <w:tc>
          <w:tcPr>
            <w:tcW w:type="dxa" w:w="3312"/>
            <w:vAlign w:val="center"/>
            <w:shd w:fill="F7F9FC"/>
          </w:tcPr>
          <w:p>
            <w:r/>
            <w:r>
              <w:rPr>
                <w:rFonts w:ascii="Aptos" w:hAnsi="Aptos"/>
                <w:b w:val="0"/>
                <w:color w:val="1B2430"/>
                <w:sz w:val="16"/>
              </w:rPr>
              <w:t>Authenticated service calls, case ownership, workflow correlation ID.</w:t>
            </w:r>
          </w:p>
        </w:tc>
      </w:tr>
      <w:tr>
        <w:tc>
          <w:tcPr>
            <w:tcW w:type="dxa" w:w="3312"/>
            <w:vAlign w:val="center"/>
          </w:tcPr>
          <w:p>
            <w:r/>
            <w:r>
              <w:rPr>
                <w:rFonts w:ascii="Aptos" w:hAnsi="Aptos"/>
                <w:b w:val="0"/>
                <w:color w:val="1B2430"/>
                <w:sz w:val="16"/>
              </w:rPr>
              <w:t>Orchestration -&gt; Authoritative Data</w:t>
            </w:r>
          </w:p>
        </w:tc>
        <w:tc>
          <w:tcPr>
            <w:tcW w:type="dxa" w:w="3312"/>
            <w:vAlign w:val="center"/>
          </w:tcPr>
          <w:p>
            <w:r/>
            <w:r>
              <w:rPr>
                <w:rFonts w:ascii="Aptos" w:hAnsi="Aptos"/>
                <w:b w:val="0"/>
                <w:color w:val="1B2430"/>
                <w:sz w:val="16"/>
              </w:rPr>
              <w:t>Workflow reads customer/account/transaction/settlement/merchant/refund sources.</w:t>
            </w:r>
          </w:p>
        </w:tc>
        <w:tc>
          <w:tcPr>
            <w:tcW w:type="dxa" w:w="3312"/>
            <w:vAlign w:val="center"/>
          </w:tcPr>
          <w:p>
            <w:r/>
            <w:r>
              <w:rPr>
                <w:rFonts w:ascii="Aptos" w:hAnsi="Aptos"/>
                <w:b w:val="0"/>
                <w:color w:val="1B2430"/>
                <w:sz w:val="16"/>
              </w:rPr>
              <w:t>Read-only-by-default adapters, timeouts, retries, circuit breakers, source lineage.</w:t>
            </w:r>
          </w:p>
        </w:tc>
      </w:tr>
      <w:tr>
        <w:tc>
          <w:tcPr>
            <w:tcW w:type="dxa" w:w="3312"/>
            <w:vAlign w:val="center"/>
            <w:shd w:fill="F7F9FC"/>
          </w:tcPr>
          <w:p>
            <w:r/>
            <w:r>
              <w:rPr>
                <w:rFonts w:ascii="Aptos" w:hAnsi="Aptos"/>
                <w:b w:val="0"/>
                <w:color w:val="1B2430"/>
                <w:sz w:val="16"/>
              </w:rPr>
              <w:t>Orchestration -&gt; AI Providers</w:t>
            </w:r>
          </w:p>
        </w:tc>
        <w:tc>
          <w:tcPr>
            <w:tcW w:type="dxa" w:w="3312"/>
            <w:vAlign w:val="center"/>
            <w:shd w:fill="F7F9FC"/>
          </w:tcPr>
          <w:p>
            <w:r/>
            <w:r>
              <w:rPr>
                <w:rFonts w:ascii="Aptos" w:hAnsi="Aptos"/>
                <w:b w:val="0"/>
                <w:color w:val="1B2430"/>
                <w:sz w:val="16"/>
              </w:rPr>
              <w:t>Approved context is sent through the model gateway.</w:t>
            </w:r>
          </w:p>
        </w:tc>
        <w:tc>
          <w:tcPr>
            <w:tcW w:type="dxa" w:w="3312"/>
            <w:vAlign w:val="center"/>
            <w:shd w:fill="F7F9FC"/>
          </w:tcPr>
          <w:p>
            <w:r/>
            <w:r>
              <w:rPr>
                <w:rFonts w:ascii="Aptos" w:hAnsi="Aptos"/>
                <w:b w:val="0"/>
                <w:color w:val="1B2430"/>
                <w:sz w:val="16"/>
              </w:rPr>
              <w:t>Data classification, PII minimization, prompt policy, model allowlist, response validation, telemetry.</w:t>
            </w:r>
          </w:p>
        </w:tc>
      </w:tr>
      <w:tr>
        <w:tc>
          <w:tcPr>
            <w:tcW w:type="dxa" w:w="3312"/>
            <w:vAlign w:val="center"/>
          </w:tcPr>
          <w:p>
            <w:r/>
            <w:r>
              <w:rPr>
                <w:rFonts w:ascii="Aptos" w:hAnsi="Aptos"/>
                <w:b w:val="0"/>
                <w:color w:val="1B2430"/>
                <w:sz w:val="16"/>
              </w:rPr>
              <w:t>Platform -&gt; External Notifications</w:t>
            </w:r>
          </w:p>
        </w:tc>
        <w:tc>
          <w:tcPr>
            <w:tcW w:type="dxa" w:w="3312"/>
            <w:vAlign w:val="center"/>
          </w:tcPr>
          <w:p>
            <w:r/>
            <w:r>
              <w:rPr>
                <w:rFonts w:ascii="Aptos" w:hAnsi="Aptos"/>
                <w:b w:val="0"/>
                <w:color w:val="1B2430"/>
                <w:sz w:val="16"/>
              </w:rPr>
              <w:t>Approved communications leave the platform.</w:t>
            </w:r>
          </w:p>
        </w:tc>
        <w:tc>
          <w:tcPr>
            <w:tcW w:type="dxa" w:w="3312"/>
            <w:vAlign w:val="center"/>
          </w:tcPr>
          <w:p>
            <w:r/>
            <w:r>
              <w:rPr>
                <w:rFonts w:ascii="Aptos" w:hAnsi="Aptos"/>
                <w:b w:val="0"/>
                <w:color w:val="1B2430"/>
                <w:sz w:val="16"/>
              </w:rPr>
              <w:t>Human/AI approval gates, template controls, notification service, audit trail.</w:t>
            </w:r>
          </w:p>
        </w:tc>
      </w:tr>
    </w:tbl>
    <w:p>
      <w:pPr>
        <w:spacing w:after="20"/>
      </w:pPr>
    </w:p>
    <w:p>
      <w:bookmarkStart w:id="302" w:name="H_3__Architecture_Context"/>
      <w:pPr>
        <w:pStyle w:val="Heading1"/>
      </w:pPr>
      <w:r>
        <w:t>3. Architecture Context</w:t>
      </w:r>
      <w:bookmarkEnd w:id="302"/>
    </w:p>
    <w:p>
      <w:r>
        <w:t>The platform is organized into 16 architecture domains represented in the supplied diagram. The central design principle is controlled orchestration: LangGraph coordinates work, but authoritative facts and regulated decisions remain owned by deterministic services and systems of record.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0B1F5B"/>
          </w:tcPr>
          <w:p>
            <w:r/>
            <w:r>
              <w:rPr>
                <w:rFonts w:ascii="Aptos" w:hAnsi="Aptos"/>
                <w:b/>
                <w:color w:val="FFFFFF"/>
                <w:sz w:val="17"/>
              </w:rPr>
              <w:t>#</w:t>
            </w:r>
          </w:p>
        </w:tc>
        <w:tc>
          <w:tcPr>
            <w:tcW w:type="dxa" w:w="3312"/>
            <w:vAlign w:val="center"/>
            <w:shd w:fill="0B1F5B"/>
          </w:tcPr>
          <w:p>
            <w:r/>
            <w:r>
              <w:rPr>
                <w:rFonts w:ascii="Aptos" w:hAnsi="Aptos"/>
                <w:b/>
                <w:color w:val="FFFFFF"/>
                <w:sz w:val="17"/>
              </w:rPr>
              <w:t>Domain</w:t>
            </w:r>
          </w:p>
        </w:tc>
        <w:tc>
          <w:tcPr>
            <w:tcW w:type="dxa" w:w="3312"/>
            <w:vAlign w:val="center"/>
            <w:shd w:fill="0B1F5B"/>
          </w:tcPr>
          <w:p>
            <w:r/>
            <w:r>
              <w:rPr>
                <w:rFonts w:ascii="Aptos" w:hAnsi="Aptos"/>
                <w:b/>
                <w:color w:val="FFFFFF"/>
                <w:sz w:val="17"/>
              </w:rPr>
              <w:t>Role</w:t>
            </w:r>
          </w:p>
        </w:tc>
      </w:tr>
      <w:tr>
        <w:tc>
          <w:tcPr>
            <w:tcW w:type="dxa" w:w="3312"/>
            <w:vAlign w:val="center"/>
            <w:shd w:fill="F7F9FC"/>
          </w:tcPr>
          <w:p>
            <w:r/>
            <w:r>
              <w:rPr>
                <w:rFonts w:ascii="Aptos" w:hAnsi="Aptos"/>
                <w:b w:val="0"/>
                <w:color w:val="1B2430"/>
                <w:sz w:val="16"/>
              </w:rPr>
              <w:t>1</w:t>
            </w:r>
          </w:p>
        </w:tc>
        <w:tc>
          <w:tcPr>
            <w:tcW w:type="dxa" w:w="3312"/>
            <w:vAlign w:val="center"/>
            <w:shd w:fill="F7F9FC"/>
          </w:tcPr>
          <w:p>
            <w:r/>
            <w:r>
              <w:rPr>
                <w:rFonts w:ascii="Aptos" w:hAnsi="Aptos"/>
                <w:b w:val="0"/>
                <w:color w:val="1B2430"/>
                <w:sz w:val="16"/>
              </w:rPr>
              <w:t>Entry Points</w:t>
            </w:r>
          </w:p>
        </w:tc>
        <w:tc>
          <w:tcPr>
            <w:tcW w:type="dxa" w:w="3312"/>
            <w:vAlign w:val="center"/>
            <w:shd w:fill="F7F9FC"/>
          </w:tcPr>
          <w:p>
            <w:r/>
            <w:r>
              <w:rPr>
                <w:rFonts w:ascii="Aptos" w:hAnsi="Aptos"/>
                <w:b w:val="0"/>
                <w:color w:val="1B2430"/>
                <w:sz w:val="16"/>
              </w:rPr>
              <w:t>Customer, analyst/reviewer, APIs/partners, and email/SMS inputs.</w:t>
            </w:r>
          </w:p>
        </w:tc>
      </w:tr>
      <w:tr>
        <w:tc>
          <w:tcPr>
            <w:tcW w:type="dxa" w:w="3312"/>
            <w:vAlign w:val="center"/>
          </w:tcPr>
          <w:p>
            <w:r/>
            <w:r>
              <w:rPr>
                <w:rFonts w:ascii="Aptos" w:hAnsi="Aptos"/>
                <w:b w:val="0"/>
                <w:color w:val="1B2430"/>
                <w:sz w:val="16"/>
              </w:rPr>
              <w:t>2</w:t>
            </w:r>
          </w:p>
        </w:tc>
        <w:tc>
          <w:tcPr>
            <w:tcW w:type="dxa" w:w="3312"/>
            <w:vAlign w:val="center"/>
          </w:tcPr>
          <w:p>
            <w:r/>
            <w:r>
              <w:rPr>
                <w:rFonts w:ascii="Aptos" w:hAnsi="Aptos"/>
                <w:b w:val="0"/>
                <w:color w:val="1B2430"/>
                <w:sz w:val="16"/>
              </w:rPr>
              <w:t>Edge &amp; Security</w:t>
            </w:r>
          </w:p>
        </w:tc>
        <w:tc>
          <w:tcPr>
            <w:tcW w:type="dxa" w:w="3312"/>
            <w:vAlign w:val="center"/>
          </w:tcPr>
          <w:p>
            <w:r/>
            <w:r>
              <w:rPr>
                <w:rFonts w:ascii="Aptos" w:hAnsi="Aptos"/>
                <w:b w:val="0"/>
                <w:color w:val="1B2430"/>
                <w:sz w:val="16"/>
              </w:rPr>
              <w:t>Network-edge protection and Zero Trust controls.</w:t>
            </w:r>
          </w:p>
        </w:tc>
      </w:tr>
      <w:tr>
        <w:tc>
          <w:tcPr>
            <w:tcW w:type="dxa" w:w="3312"/>
            <w:vAlign w:val="center"/>
            <w:shd w:fill="F7F9FC"/>
          </w:tcPr>
          <w:p>
            <w:r/>
            <w:r>
              <w:rPr>
                <w:rFonts w:ascii="Aptos" w:hAnsi="Aptos"/>
                <w:b w:val="0"/>
                <w:color w:val="1B2430"/>
                <w:sz w:val="16"/>
              </w:rPr>
              <w:t>3</w:t>
            </w:r>
          </w:p>
        </w:tc>
        <w:tc>
          <w:tcPr>
            <w:tcW w:type="dxa" w:w="3312"/>
            <w:vAlign w:val="center"/>
            <w:shd w:fill="F7F9FC"/>
          </w:tcPr>
          <w:p>
            <w:r/>
            <w:r>
              <w:rPr>
                <w:rFonts w:ascii="Aptos" w:hAnsi="Aptos"/>
                <w:b w:val="0"/>
                <w:color w:val="1B2430"/>
                <w:sz w:val="16"/>
              </w:rPr>
              <w:t>Application Layer (FastAPI)</w:t>
            </w:r>
          </w:p>
        </w:tc>
        <w:tc>
          <w:tcPr>
            <w:tcW w:type="dxa" w:w="3312"/>
            <w:vAlign w:val="center"/>
            <w:shd w:fill="F7F9FC"/>
          </w:tcPr>
          <w:p>
            <w:r/>
            <w:r>
              <w:rPr>
                <w:rFonts w:ascii="Aptos" w:hAnsi="Aptos"/>
                <w:b w:val="0"/>
                <w:color w:val="1B2430"/>
                <w:sz w:val="16"/>
              </w:rPr>
              <w:t>API gateway, auth, validation, idempotency, case/workflow/audit APIs.</w:t>
            </w:r>
          </w:p>
        </w:tc>
      </w:tr>
      <w:tr>
        <w:tc>
          <w:tcPr>
            <w:tcW w:type="dxa" w:w="3312"/>
            <w:vAlign w:val="center"/>
          </w:tcPr>
          <w:p>
            <w:r/>
            <w:r>
              <w:rPr>
                <w:rFonts w:ascii="Aptos" w:hAnsi="Aptos"/>
                <w:b w:val="0"/>
                <w:color w:val="1B2430"/>
                <w:sz w:val="16"/>
              </w:rPr>
              <w:t>4</w:t>
            </w:r>
          </w:p>
        </w:tc>
        <w:tc>
          <w:tcPr>
            <w:tcW w:type="dxa" w:w="3312"/>
            <w:vAlign w:val="center"/>
          </w:tcPr>
          <w:p>
            <w:r/>
            <w:r>
              <w:rPr>
                <w:rFonts w:ascii="Aptos" w:hAnsi="Aptos"/>
                <w:b w:val="0"/>
                <w:color w:val="1B2430"/>
                <w:sz w:val="16"/>
              </w:rPr>
              <w:t>LangGraph Orchestration</w:t>
            </w:r>
          </w:p>
        </w:tc>
        <w:tc>
          <w:tcPr>
            <w:tcW w:type="dxa" w:w="3312"/>
            <w:vAlign w:val="center"/>
          </w:tcPr>
          <w:p>
            <w:r/>
            <w:r>
              <w:rPr>
                <w:rFonts w:ascii="Aptos" w:hAnsi="Aptos"/>
                <w:b w:val="0"/>
                <w:color w:val="1B2430"/>
                <w:sz w:val="16"/>
              </w:rPr>
              <w:t>Stateful 11-step workflow, checkpoints, interrupts, HITL routing.</w:t>
            </w:r>
          </w:p>
        </w:tc>
      </w:tr>
      <w:tr>
        <w:tc>
          <w:tcPr>
            <w:tcW w:type="dxa" w:w="3312"/>
            <w:vAlign w:val="center"/>
            <w:shd w:fill="F7F9FC"/>
          </w:tcPr>
          <w:p>
            <w:r/>
            <w:r>
              <w:rPr>
                <w:rFonts w:ascii="Aptos" w:hAnsi="Aptos"/>
                <w:b w:val="0"/>
                <w:color w:val="1B2430"/>
                <w:sz w:val="16"/>
              </w:rPr>
              <w:t>5</w:t>
            </w:r>
          </w:p>
        </w:tc>
        <w:tc>
          <w:tcPr>
            <w:tcW w:type="dxa" w:w="3312"/>
            <w:vAlign w:val="center"/>
            <w:shd w:fill="F7F9FC"/>
          </w:tcPr>
          <w:p>
            <w:r/>
            <w:r>
              <w:rPr>
                <w:rFonts w:ascii="Aptos" w:hAnsi="Aptos"/>
                <w:b w:val="0"/>
                <w:color w:val="1B2430"/>
                <w:sz w:val="16"/>
              </w:rPr>
              <w:t>AI Capabilities</w:t>
            </w:r>
          </w:p>
        </w:tc>
        <w:tc>
          <w:tcPr>
            <w:tcW w:type="dxa" w:w="3312"/>
            <w:vAlign w:val="center"/>
            <w:shd w:fill="F7F9FC"/>
          </w:tcPr>
          <w:p>
            <w:r/>
            <w:r>
              <w:rPr>
                <w:rFonts w:ascii="Aptos" w:hAnsi="Aptos"/>
                <w:b w:val="0"/>
                <w:color w:val="1B2430"/>
                <w:sz w:val="16"/>
              </w:rPr>
              <w:t>Classification, evidence analysis, recommendation, communication services via model gateway.</w:t>
            </w:r>
          </w:p>
        </w:tc>
      </w:tr>
      <w:tr>
        <w:tc>
          <w:tcPr>
            <w:tcW w:type="dxa" w:w="3312"/>
            <w:vAlign w:val="center"/>
          </w:tcPr>
          <w:p>
            <w:r/>
            <w:r>
              <w:rPr>
                <w:rFonts w:ascii="Aptos" w:hAnsi="Aptos"/>
                <w:b w:val="0"/>
                <w:color w:val="1B2430"/>
                <w:sz w:val="16"/>
              </w:rPr>
              <w:t>6</w:t>
            </w:r>
          </w:p>
        </w:tc>
        <w:tc>
          <w:tcPr>
            <w:tcW w:type="dxa" w:w="3312"/>
            <w:vAlign w:val="center"/>
          </w:tcPr>
          <w:p>
            <w:r/>
            <w:r>
              <w:rPr>
                <w:rFonts w:ascii="Aptos" w:hAnsi="Aptos"/>
                <w:b w:val="0"/>
                <w:color w:val="1B2430"/>
                <w:sz w:val="16"/>
              </w:rPr>
              <w:t>Deterministic &amp; Controlled Services</w:t>
            </w:r>
          </w:p>
        </w:tc>
        <w:tc>
          <w:tcPr>
            <w:tcW w:type="dxa" w:w="3312"/>
            <w:vAlign w:val="center"/>
          </w:tcPr>
          <w:p>
            <w:r/>
            <w:r>
              <w:rPr>
                <w:rFonts w:ascii="Aptos" w:hAnsi="Aptos"/>
                <w:b w:val="0"/>
                <w:color w:val="1B2430"/>
                <w:sz w:val="16"/>
              </w:rPr>
              <w:t>Eligibility, completeness, rules, confidence, idempotency.</w:t>
            </w:r>
          </w:p>
        </w:tc>
      </w:tr>
      <w:tr>
        <w:tc>
          <w:tcPr>
            <w:tcW w:type="dxa" w:w="3312"/>
            <w:vAlign w:val="center"/>
            <w:shd w:fill="F7F9FC"/>
          </w:tcPr>
          <w:p>
            <w:r/>
            <w:r>
              <w:rPr>
                <w:rFonts w:ascii="Aptos" w:hAnsi="Aptos"/>
                <w:b w:val="0"/>
                <w:color w:val="1B2430"/>
                <w:sz w:val="16"/>
              </w:rPr>
              <w:t>7</w:t>
            </w:r>
          </w:p>
        </w:tc>
        <w:tc>
          <w:tcPr>
            <w:tcW w:type="dxa" w:w="3312"/>
            <w:vAlign w:val="center"/>
            <w:shd w:fill="F7F9FC"/>
          </w:tcPr>
          <w:p>
            <w:r/>
            <w:r>
              <w:rPr>
                <w:rFonts w:ascii="Aptos" w:hAnsi="Aptos"/>
                <w:b w:val="0"/>
                <w:color w:val="1B2430"/>
                <w:sz w:val="16"/>
              </w:rPr>
              <w:t>Authoritative Data &amp; Tool Adapters</w:t>
            </w:r>
          </w:p>
        </w:tc>
        <w:tc>
          <w:tcPr>
            <w:tcW w:type="dxa" w:w="3312"/>
            <w:vAlign w:val="center"/>
            <w:shd w:fill="F7F9FC"/>
          </w:tcPr>
          <w:p>
            <w:r/>
            <w:r>
              <w:rPr>
                <w:rFonts w:ascii="Aptos" w:hAnsi="Aptos"/>
                <w:b w:val="0"/>
                <w:color w:val="1B2430"/>
                <w:sz w:val="16"/>
              </w:rPr>
              <w:t>Controlled read adapters for banking providers.</w:t>
            </w:r>
          </w:p>
        </w:tc>
      </w:tr>
      <w:tr>
        <w:tc>
          <w:tcPr>
            <w:tcW w:type="dxa" w:w="3312"/>
            <w:vAlign w:val="center"/>
          </w:tcPr>
          <w:p>
            <w:r/>
            <w:r>
              <w:rPr>
                <w:rFonts w:ascii="Aptos" w:hAnsi="Aptos"/>
                <w:b w:val="0"/>
                <w:color w:val="1B2430"/>
                <w:sz w:val="16"/>
              </w:rPr>
              <w:t>8</w:t>
            </w:r>
          </w:p>
        </w:tc>
        <w:tc>
          <w:tcPr>
            <w:tcW w:type="dxa" w:w="3312"/>
            <w:vAlign w:val="center"/>
          </w:tcPr>
          <w:p>
            <w:r/>
            <w:r>
              <w:rPr>
                <w:rFonts w:ascii="Aptos" w:hAnsi="Aptos"/>
                <w:b w:val="0"/>
                <w:color w:val="1B2430"/>
                <w:sz w:val="16"/>
              </w:rPr>
              <w:t>Platform Services</w:t>
            </w:r>
          </w:p>
        </w:tc>
        <w:tc>
          <w:tcPr>
            <w:tcW w:type="dxa" w:w="3312"/>
            <w:vAlign w:val="center"/>
          </w:tcPr>
          <w:p>
            <w:r/>
            <w:r>
              <w:rPr>
                <w:rFonts w:ascii="Aptos" w:hAnsi="Aptos"/>
                <w:b w:val="0"/>
                <w:color w:val="1B2430"/>
                <w:sz w:val="16"/>
              </w:rPr>
              <w:t>Audit, notification, task/case, evidence, search.</w:t>
            </w:r>
          </w:p>
        </w:tc>
      </w:tr>
      <w:tr>
        <w:tc>
          <w:tcPr>
            <w:tcW w:type="dxa" w:w="3312"/>
            <w:vAlign w:val="center"/>
            <w:shd w:fill="F7F9FC"/>
          </w:tcPr>
          <w:p>
            <w:r/>
            <w:r>
              <w:rPr>
                <w:rFonts w:ascii="Aptos" w:hAnsi="Aptos"/>
                <w:b w:val="0"/>
                <w:color w:val="1B2430"/>
                <w:sz w:val="16"/>
              </w:rPr>
              <w:t>9</w:t>
            </w:r>
          </w:p>
        </w:tc>
        <w:tc>
          <w:tcPr>
            <w:tcW w:type="dxa" w:w="3312"/>
            <w:vAlign w:val="center"/>
            <w:shd w:fill="F7F9FC"/>
          </w:tcPr>
          <w:p>
            <w:r/>
            <w:r>
              <w:rPr>
                <w:rFonts w:ascii="Aptos" w:hAnsi="Aptos"/>
                <w:b w:val="0"/>
                <w:color w:val="1B2430"/>
                <w:sz w:val="16"/>
              </w:rPr>
              <w:t>Data &amp; State Layer</w:t>
            </w:r>
          </w:p>
        </w:tc>
        <w:tc>
          <w:tcPr>
            <w:tcW w:type="dxa" w:w="3312"/>
            <w:vAlign w:val="center"/>
            <w:shd w:fill="F7F9FC"/>
          </w:tcPr>
          <w:p>
            <w:r/>
            <w:r>
              <w:rPr>
                <w:rFonts w:ascii="Aptos" w:hAnsi="Aptos"/>
                <w:b w:val="0"/>
                <w:color w:val="1B2430"/>
                <w:sz w:val="16"/>
              </w:rPr>
              <w:t>Operational state, workflow state, policy knowledge, cache/queue/locks, object store, immutable audit.</w:t>
            </w:r>
          </w:p>
        </w:tc>
      </w:tr>
      <w:tr>
        <w:tc>
          <w:tcPr>
            <w:tcW w:type="dxa" w:w="3312"/>
            <w:vAlign w:val="center"/>
          </w:tcPr>
          <w:p>
            <w:r/>
            <w:r>
              <w:rPr>
                <w:rFonts w:ascii="Aptos" w:hAnsi="Aptos"/>
                <w:b w:val="0"/>
                <w:color w:val="1B2430"/>
                <w:sz w:val="16"/>
              </w:rPr>
              <w:t>10</w:t>
            </w:r>
          </w:p>
        </w:tc>
        <w:tc>
          <w:tcPr>
            <w:tcW w:type="dxa" w:w="3312"/>
            <w:vAlign w:val="center"/>
          </w:tcPr>
          <w:p>
            <w:r/>
            <w:r>
              <w:rPr>
                <w:rFonts w:ascii="Aptos" w:hAnsi="Aptos"/>
                <w:b w:val="0"/>
                <w:color w:val="1B2430"/>
                <w:sz w:val="16"/>
              </w:rPr>
              <w:t>AI Platform Governance</w:t>
            </w:r>
          </w:p>
        </w:tc>
        <w:tc>
          <w:tcPr>
            <w:tcW w:type="dxa" w:w="3312"/>
            <w:vAlign w:val="center"/>
          </w:tcPr>
          <w:p>
            <w:r/>
            <w:r>
              <w:rPr>
                <w:rFonts w:ascii="Aptos" w:hAnsi="Aptos"/>
                <w:b w:val="0"/>
                <w:color w:val="1B2430"/>
                <w:sz w:val="16"/>
              </w:rPr>
              <w:t>Model/prompt registry, feature flags, model usage policy.</w:t>
            </w:r>
          </w:p>
        </w:tc>
      </w:tr>
      <w:tr>
        <w:tc>
          <w:tcPr>
            <w:tcW w:type="dxa" w:w="3312"/>
            <w:vAlign w:val="center"/>
            <w:shd w:fill="F7F9FC"/>
          </w:tcPr>
          <w:p>
            <w:r/>
            <w:r>
              <w:rPr>
                <w:rFonts w:ascii="Aptos" w:hAnsi="Aptos"/>
                <w:b w:val="0"/>
                <w:color w:val="1B2430"/>
                <w:sz w:val="16"/>
              </w:rPr>
              <w:t>11</w:t>
            </w:r>
          </w:p>
        </w:tc>
        <w:tc>
          <w:tcPr>
            <w:tcW w:type="dxa" w:w="3312"/>
            <w:vAlign w:val="center"/>
            <w:shd w:fill="F7F9FC"/>
          </w:tcPr>
          <w:p>
            <w:r/>
            <w:r>
              <w:rPr>
                <w:rFonts w:ascii="Aptos" w:hAnsi="Aptos"/>
                <w:b w:val="0"/>
                <w:color w:val="1B2430"/>
                <w:sz w:val="16"/>
              </w:rPr>
              <w:t>Model Providers</w:t>
            </w:r>
          </w:p>
        </w:tc>
        <w:tc>
          <w:tcPr>
            <w:tcW w:type="dxa" w:w="3312"/>
            <w:vAlign w:val="center"/>
            <w:shd w:fill="F7F9FC"/>
          </w:tcPr>
          <w:p>
            <w:r/>
            <w:r>
              <w:rPr>
                <w:rFonts w:ascii="Aptos" w:hAnsi="Aptos"/>
                <w:b w:val="0"/>
                <w:color w:val="1B2430"/>
                <w:sz w:val="16"/>
              </w:rPr>
              <w:t>OpenAI, Azure OpenAI, Anthropic, future providers, embeddings and reranker.</w:t>
            </w:r>
          </w:p>
        </w:tc>
      </w:tr>
      <w:tr>
        <w:tc>
          <w:tcPr>
            <w:tcW w:type="dxa" w:w="3312"/>
            <w:vAlign w:val="center"/>
          </w:tcPr>
          <w:p>
            <w:r/>
            <w:r>
              <w:rPr>
                <w:rFonts w:ascii="Aptos" w:hAnsi="Aptos"/>
                <w:b w:val="0"/>
                <w:color w:val="1B2430"/>
                <w:sz w:val="16"/>
              </w:rPr>
              <w:t>12</w:t>
            </w:r>
          </w:p>
        </w:tc>
        <w:tc>
          <w:tcPr>
            <w:tcW w:type="dxa" w:w="3312"/>
            <w:vAlign w:val="center"/>
          </w:tcPr>
          <w:p>
            <w:r/>
            <w:r>
              <w:rPr>
                <w:rFonts w:ascii="Aptos" w:hAnsi="Aptos"/>
                <w:b w:val="0"/>
                <w:color w:val="1B2430"/>
                <w:sz w:val="16"/>
              </w:rPr>
              <w:t>Integrations &amp; External Systems</w:t>
            </w:r>
          </w:p>
        </w:tc>
        <w:tc>
          <w:tcPr>
            <w:tcW w:type="dxa" w:w="3312"/>
            <w:vAlign w:val="center"/>
          </w:tcPr>
          <w:p>
            <w:r/>
            <w:r>
              <w:rPr>
                <w:rFonts w:ascii="Aptos" w:hAnsi="Aptos"/>
                <w:b w:val="0"/>
                <w:color w:val="1B2430"/>
                <w:sz w:val="16"/>
              </w:rPr>
              <w:t>Banking APIs, identity/KYC/fraud/payment/regulatory/external policy services.</w:t>
            </w:r>
          </w:p>
        </w:tc>
      </w:tr>
      <w:tr>
        <w:tc>
          <w:tcPr>
            <w:tcW w:type="dxa" w:w="3312"/>
            <w:vAlign w:val="center"/>
            <w:shd w:fill="F7F9FC"/>
          </w:tcPr>
          <w:p>
            <w:r/>
            <w:r>
              <w:rPr>
                <w:rFonts w:ascii="Aptos" w:hAnsi="Aptos"/>
                <w:b w:val="0"/>
                <w:color w:val="1B2430"/>
                <w:sz w:val="16"/>
              </w:rPr>
              <w:t>13</w:t>
            </w:r>
          </w:p>
        </w:tc>
        <w:tc>
          <w:tcPr>
            <w:tcW w:type="dxa" w:w="3312"/>
            <w:vAlign w:val="center"/>
            <w:shd w:fill="F7F9FC"/>
          </w:tcPr>
          <w:p>
            <w:r/>
            <w:r>
              <w:rPr>
                <w:rFonts w:ascii="Aptos" w:hAnsi="Aptos"/>
                <w:b w:val="0"/>
                <w:color w:val="1B2430"/>
                <w:sz w:val="16"/>
              </w:rPr>
              <w:t>Engineering Delivery &amp; Governance</w:t>
            </w:r>
          </w:p>
        </w:tc>
        <w:tc>
          <w:tcPr>
            <w:tcW w:type="dxa" w:w="3312"/>
            <w:vAlign w:val="center"/>
            <w:shd w:fill="F7F9FC"/>
          </w:tcPr>
          <w:p>
            <w:r/>
            <w:r>
              <w:rPr>
                <w:rFonts w:ascii="Aptos" w:hAnsi="Aptos"/>
                <w:b w:val="0"/>
                <w:color w:val="1B2430"/>
                <w:sz w:val="16"/>
              </w:rPr>
              <w:t>OpenSpec, GitHub, CI/CD, tests, AI evaluation, quality gates, staging/production.</w:t>
            </w:r>
          </w:p>
        </w:tc>
      </w:tr>
      <w:tr>
        <w:tc>
          <w:tcPr>
            <w:tcW w:type="dxa" w:w="3312"/>
            <w:vAlign w:val="center"/>
          </w:tcPr>
          <w:p>
            <w:r/>
            <w:r>
              <w:rPr>
                <w:rFonts w:ascii="Aptos" w:hAnsi="Aptos"/>
                <w:b w:val="0"/>
                <w:color w:val="1B2430"/>
                <w:sz w:val="16"/>
              </w:rPr>
              <w:t>14</w:t>
            </w:r>
          </w:p>
        </w:tc>
        <w:tc>
          <w:tcPr>
            <w:tcW w:type="dxa" w:w="3312"/>
            <w:vAlign w:val="center"/>
          </w:tcPr>
          <w:p>
            <w:r/>
            <w:r>
              <w:rPr>
                <w:rFonts w:ascii="Aptos" w:hAnsi="Aptos"/>
                <w:b w:val="0"/>
                <w:color w:val="1B2430"/>
                <w:sz w:val="16"/>
              </w:rPr>
              <w:t>Observability &amp; AI Quality</w:t>
            </w:r>
          </w:p>
        </w:tc>
        <w:tc>
          <w:tcPr>
            <w:tcW w:type="dxa" w:w="3312"/>
            <w:vAlign w:val="center"/>
          </w:tcPr>
          <w:p>
            <w:r/>
            <w:r>
              <w:rPr>
                <w:rFonts w:ascii="Aptos" w:hAnsi="Aptos"/>
                <w:b w:val="0"/>
                <w:color w:val="1B2430"/>
                <w:sz w:val="16"/>
              </w:rPr>
              <w:t>OpenTelemetry, LangSmith, LangWatch, dashboards and alerts.</w:t>
            </w:r>
          </w:p>
        </w:tc>
      </w:tr>
      <w:tr>
        <w:tc>
          <w:tcPr>
            <w:tcW w:type="dxa" w:w="3312"/>
            <w:vAlign w:val="center"/>
            <w:shd w:fill="F7F9FC"/>
          </w:tcPr>
          <w:p>
            <w:r/>
            <w:r>
              <w:rPr>
                <w:rFonts w:ascii="Aptos" w:hAnsi="Aptos"/>
                <w:b w:val="0"/>
                <w:color w:val="1B2430"/>
                <w:sz w:val="16"/>
              </w:rPr>
              <w:t>15</w:t>
            </w:r>
          </w:p>
        </w:tc>
        <w:tc>
          <w:tcPr>
            <w:tcW w:type="dxa" w:w="3312"/>
            <w:vAlign w:val="center"/>
            <w:shd w:fill="F7F9FC"/>
          </w:tcPr>
          <w:p>
            <w:r/>
            <w:r>
              <w:rPr>
                <w:rFonts w:ascii="Aptos" w:hAnsi="Aptos"/>
                <w:b w:val="0"/>
                <w:color w:val="1B2430"/>
                <w:sz w:val="16"/>
              </w:rPr>
              <w:t>Outputs</w:t>
            </w:r>
          </w:p>
        </w:tc>
        <w:tc>
          <w:tcPr>
            <w:tcW w:type="dxa" w:w="3312"/>
            <w:vAlign w:val="center"/>
            <w:shd w:fill="F7F9FC"/>
          </w:tcPr>
          <w:p>
            <w:r/>
            <w:r>
              <w:rPr>
                <w:rFonts w:ascii="Aptos" w:hAnsi="Aptos"/>
                <w:b w:val="0"/>
                <w:color w:val="1B2430"/>
                <w:sz w:val="16"/>
              </w:rPr>
              <w:t>Customer communication, case resolution, dashboards, reports, notifications.</w:t>
            </w:r>
          </w:p>
        </w:tc>
      </w:tr>
      <w:tr>
        <w:tc>
          <w:tcPr>
            <w:tcW w:type="dxa" w:w="3312"/>
            <w:vAlign w:val="center"/>
          </w:tcPr>
          <w:p>
            <w:r/>
            <w:r>
              <w:rPr>
                <w:rFonts w:ascii="Aptos" w:hAnsi="Aptos"/>
                <w:b w:val="0"/>
                <w:color w:val="1B2430"/>
                <w:sz w:val="16"/>
              </w:rPr>
              <w:t>16</w:t>
            </w:r>
          </w:p>
        </w:tc>
        <w:tc>
          <w:tcPr>
            <w:tcW w:type="dxa" w:w="3312"/>
            <w:vAlign w:val="center"/>
          </w:tcPr>
          <w:p>
            <w:r/>
            <w:r>
              <w:rPr>
                <w:rFonts w:ascii="Aptos" w:hAnsi="Aptos"/>
                <w:b w:val="0"/>
                <w:color w:val="1B2430"/>
                <w:sz w:val="16"/>
              </w:rPr>
              <w:t>Cross-Cutting Concerns</w:t>
            </w:r>
          </w:p>
        </w:tc>
        <w:tc>
          <w:tcPr>
            <w:tcW w:type="dxa" w:w="3312"/>
            <w:vAlign w:val="center"/>
          </w:tcPr>
          <w:p>
            <w:r/>
            <w:r>
              <w:rPr>
                <w:rFonts w:ascii="Aptos" w:hAnsi="Aptos"/>
                <w:b w:val="0"/>
                <w:color w:val="1B2430"/>
                <w:sz w:val="16"/>
              </w:rPr>
              <w:t>Security, privacy, compliance, data quality, reliability, scalability, observability, cost, continuity.</w:t>
            </w:r>
          </w:p>
        </w:tc>
      </w:tr>
    </w:tbl>
    <w:p>
      <w:pPr>
        <w:spacing w:after="20"/>
      </w:pPr>
    </w:p>
    <w:p>
      <w:r>
        <w:br w:type="page"/>
      </w:r>
    </w:p>
    <w:p>
      <w:pPr>
        <w:jc w:val="center"/>
      </w:pPr>
      <w:r>
        <w:rPr>
          <w:b/>
          <w:color w:val="0B1F5B"/>
          <w:sz w:val="24"/>
        </w:rPr>
        <w:t>Figure 1 - DisputeIQ Overall Architecture</w:t>
      </w:r>
    </w:p>
    <w:p>
      <w:r>
        <w:drawing>
          <wp:inline xmlns:a="http://schemas.openxmlformats.org/drawingml/2006/main" xmlns:pic="http://schemas.openxmlformats.org/drawingml/2006/picture">
            <wp:extent cx="6172200" cy="4114800"/>
            <wp:docPr id="1" name="Picture 1"/>
            <wp:cNvGraphicFramePr>
              <a:graphicFrameLocks noChangeAspect="1"/>
            </wp:cNvGraphicFramePr>
            <a:graphic>
              <a:graphicData uri="http://schemas.openxmlformats.org/drawingml/2006/picture">
                <pic:pic>
                  <pic:nvPicPr>
                    <pic:cNvPr id="0" name="DisputeIQ-Overall Architecture Diagram(3).png"/>
                    <pic:cNvPicPr/>
                  </pic:nvPicPr>
                  <pic:blipFill>
                    <a:blip r:embed="rId11"/>
                    <a:stretch>
                      <a:fillRect/>
                    </a:stretch>
                  </pic:blipFill>
                  <pic:spPr>
                    <a:xfrm>
                      <a:off x="0" y="0"/>
                      <a:ext cx="6172200" cy="4114800"/>
                    </a:xfrm>
                    <a:prstGeom prst="rect"/>
                  </pic:spPr>
                </pic:pic>
              </a:graphicData>
            </a:graphic>
          </wp:inline>
        </w:drawing>
      </w:r>
    </w:p>
    <w:p>
      <w:pPr>
        <w:pStyle w:val="SmallNote"/>
        <w:jc w:val="center"/>
      </w:pPr>
      <w:r>
        <w:t>Source: user-supplied production-ready architecture diagram.</w:t>
      </w:r>
    </w:p>
    <w:p>
      <w:r>
        <w:br w:type="page"/>
      </w:r>
    </w:p>
    <w:p>
      <w:bookmarkStart w:id="303" w:name="H_4__Logical_Architecture_and_Responsi"/>
      <w:pPr>
        <w:pStyle w:val="Heading1"/>
      </w:pPr>
      <w:r>
        <w:t>4. Logical Architecture and Responsibilities</w:t>
      </w:r>
      <w:bookmarkEnd w:id="303"/>
    </w:p>
    <w:p>
      <w:pPr>
        <w:pStyle w:val="Heading2"/>
      </w:pPr>
      <w:r>
        <w:t>4.1 Entry, Edge and Application Layer</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0B1F5B"/>
          </w:tcPr>
          <w:p>
            <w:r/>
            <w:r>
              <w:rPr>
                <w:rFonts w:ascii="Aptos" w:hAnsi="Aptos"/>
                <w:b/>
                <w:color w:val="FFFFFF"/>
                <w:sz w:val="17"/>
              </w:rPr>
              <w:t>Component</w:t>
            </w:r>
          </w:p>
        </w:tc>
        <w:tc>
          <w:tcPr>
            <w:tcW w:type="dxa" w:w="3312"/>
            <w:vAlign w:val="center"/>
            <w:shd w:fill="0B1F5B"/>
          </w:tcPr>
          <w:p>
            <w:r/>
            <w:r>
              <w:rPr>
                <w:rFonts w:ascii="Aptos" w:hAnsi="Aptos"/>
                <w:b/>
                <w:color w:val="FFFFFF"/>
                <w:sz w:val="17"/>
              </w:rPr>
              <w:t>Responsibility</w:t>
            </w:r>
          </w:p>
        </w:tc>
        <w:tc>
          <w:tcPr>
            <w:tcW w:type="dxa" w:w="3312"/>
            <w:vAlign w:val="center"/>
            <w:shd w:fill="0B1F5B"/>
          </w:tcPr>
          <w:p>
            <w:r/>
            <w:r>
              <w:rPr>
                <w:rFonts w:ascii="Aptos" w:hAnsi="Aptos"/>
                <w:b/>
                <w:color w:val="FFFFFF"/>
                <w:sz w:val="17"/>
              </w:rPr>
              <w:t>Design Notes</w:t>
            </w:r>
          </w:p>
        </w:tc>
      </w:tr>
      <w:tr>
        <w:tc>
          <w:tcPr>
            <w:tcW w:type="dxa" w:w="3312"/>
            <w:vAlign w:val="center"/>
            <w:shd w:fill="F7F9FC"/>
          </w:tcPr>
          <w:p>
            <w:r/>
            <w:r>
              <w:rPr>
                <w:rFonts w:ascii="Aptos" w:hAnsi="Aptos"/>
                <w:b w:val="0"/>
                <w:color w:val="1B2430"/>
                <w:sz w:val="16"/>
              </w:rPr>
              <w:t>Entry Points</w:t>
            </w:r>
          </w:p>
        </w:tc>
        <w:tc>
          <w:tcPr>
            <w:tcW w:type="dxa" w:w="3312"/>
            <w:vAlign w:val="center"/>
            <w:shd w:fill="F7F9FC"/>
          </w:tcPr>
          <w:p>
            <w:r/>
            <w:r>
              <w:rPr>
                <w:rFonts w:ascii="Aptos" w:hAnsi="Aptos"/>
                <w:b w:val="0"/>
                <w:color w:val="1B2430"/>
                <w:sz w:val="16"/>
              </w:rPr>
              <w:t>Accept dispute submissions, analyst actions, partner events, and customer replies.</w:t>
            </w:r>
          </w:p>
        </w:tc>
        <w:tc>
          <w:tcPr>
            <w:tcW w:type="dxa" w:w="3312"/>
            <w:vAlign w:val="center"/>
            <w:shd w:fill="F7F9FC"/>
          </w:tcPr>
          <w:p>
            <w:r/>
            <w:r>
              <w:rPr>
                <w:rFonts w:ascii="Aptos" w:hAnsi="Aptos"/>
                <w:b w:val="0"/>
                <w:color w:val="1B2430"/>
                <w:sz w:val="16"/>
              </w:rPr>
              <w:t>All channels normalize into a case/workflow command model; channel-specific metadata is preserved.</w:t>
            </w:r>
          </w:p>
        </w:tc>
      </w:tr>
      <w:tr>
        <w:tc>
          <w:tcPr>
            <w:tcW w:type="dxa" w:w="3312"/>
            <w:vAlign w:val="center"/>
          </w:tcPr>
          <w:p>
            <w:r/>
            <w:r>
              <w:rPr>
                <w:rFonts w:ascii="Aptos" w:hAnsi="Aptos"/>
                <w:b w:val="0"/>
                <w:color w:val="1B2430"/>
                <w:sz w:val="16"/>
              </w:rPr>
              <w:t>Cloudflare Edge / WAF / DDoS / Rate Limiting</w:t>
            </w:r>
          </w:p>
        </w:tc>
        <w:tc>
          <w:tcPr>
            <w:tcW w:type="dxa" w:w="3312"/>
            <w:vAlign w:val="center"/>
          </w:tcPr>
          <w:p>
            <w:r/>
            <w:r>
              <w:rPr>
                <w:rFonts w:ascii="Aptos" w:hAnsi="Aptos"/>
                <w:b w:val="0"/>
                <w:color w:val="1B2430"/>
                <w:sz w:val="16"/>
              </w:rPr>
              <w:t>Protect public-facing entry points.</w:t>
            </w:r>
          </w:p>
        </w:tc>
        <w:tc>
          <w:tcPr>
            <w:tcW w:type="dxa" w:w="3312"/>
            <w:vAlign w:val="center"/>
          </w:tcPr>
          <w:p>
            <w:r/>
            <w:r>
              <w:rPr>
                <w:rFonts w:ascii="Aptos" w:hAnsi="Aptos"/>
                <w:b w:val="0"/>
                <w:color w:val="1B2430"/>
                <w:sz w:val="16"/>
              </w:rPr>
              <w:t>Reject abusive traffic before application resources are consumed.</w:t>
            </w:r>
          </w:p>
        </w:tc>
      </w:tr>
      <w:tr>
        <w:tc>
          <w:tcPr>
            <w:tcW w:type="dxa" w:w="3312"/>
            <w:vAlign w:val="center"/>
            <w:shd w:fill="F7F9FC"/>
          </w:tcPr>
          <w:p>
            <w:r/>
            <w:r>
              <w:rPr>
                <w:rFonts w:ascii="Aptos" w:hAnsi="Aptos"/>
                <w:b w:val="0"/>
                <w:color w:val="1B2430"/>
                <w:sz w:val="16"/>
              </w:rPr>
              <w:t>Zero Trust Access</w:t>
            </w:r>
          </w:p>
        </w:tc>
        <w:tc>
          <w:tcPr>
            <w:tcW w:type="dxa" w:w="3312"/>
            <w:vAlign w:val="center"/>
            <w:shd w:fill="F7F9FC"/>
          </w:tcPr>
          <w:p>
            <w:r/>
            <w:r>
              <w:rPr>
                <w:rFonts w:ascii="Aptos" w:hAnsi="Aptos"/>
                <w:b w:val="0"/>
                <w:color w:val="1B2430"/>
                <w:sz w:val="16"/>
              </w:rPr>
              <w:t>Control privileged/internal access.</w:t>
            </w:r>
          </w:p>
        </w:tc>
        <w:tc>
          <w:tcPr>
            <w:tcW w:type="dxa" w:w="3312"/>
            <w:vAlign w:val="center"/>
            <w:shd w:fill="F7F9FC"/>
          </w:tcPr>
          <w:p>
            <w:r/>
            <w:r>
              <w:rPr>
                <w:rFonts w:ascii="Aptos" w:hAnsi="Aptos"/>
                <w:b w:val="0"/>
                <w:color w:val="1B2430"/>
                <w:sz w:val="16"/>
              </w:rPr>
              <w:t>Analyst and operational access should be device/user/context aware.</w:t>
            </w:r>
          </w:p>
        </w:tc>
      </w:tr>
      <w:tr>
        <w:tc>
          <w:tcPr>
            <w:tcW w:type="dxa" w:w="3312"/>
            <w:vAlign w:val="center"/>
          </w:tcPr>
          <w:p>
            <w:r/>
            <w:r>
              <w:rPr>
                <w:rFonts w:ascii="Aptos" w:hAnsi="Aptos"/>
                <w:b w:val="0"/>
                <w:color w:val="1B2430"/>
                <w:sz w:val="16"/>
              </w:rPr>
              <w:t>API Gateway</w:t>
            </w:r>
          </w:p>
        </w:tc>
        <w:tc>
          <w:tcPr>
            <w:tcW w:type="dxa" w:w="3312"/>
            <w:vAlign w:val="center"/>
          </w:tcPr>
          <w:p>
            <w:r/>
            <w:r>
              <w:rPr>
                <w:rFonts w:ascii="Aptos" w:hAnsi="Aptos"/>
                <w:b w:val="0"/>
                <w:color w:val="1B2430"/>
                <w:sz w:val="16"/>
              </w:rPr>
              <w:t>Route and govern API traffic.</w:t>
            </w:r>
          </w:p>
        </w:tc>
        <w:tc>
          <w:tcPr>
            <w:tcW w:type="dxa" w:w="3312"/>
            <w:vAlign w:val="center"/>
          </w:tcPr>
          <w:p>
            <w:r/>
            <w:r>
              <w:rPr>
                <w:rFonts w:ascii="Aptos" w:hAnsi="Aptos"/>
                <w:b w:val="0"/>
                <w:color w:val="1B2430"/>
                <w:sz w:val="16"/>
              </w:rPr>
              <w:t>Enforce authentication, quotas, correlation IDs, request size/content rules.</w:t>
            </w:r>
          </w:p>
        </w:tc>
      </w:tr>
      <w:tr>
        <w:tc>
          <w:tcPr>
            <w:tcW w:type="dxa" w:w="3312"/>
            <w:vAlign w:val="center"/>
            <w:shd w:fill="F7F9FC"/>
          </w:tcPr>
          <w:p>
            <w:r/>
            <w:r>
              <w:rPr>
                <w:rFonts w:ascii="Aptos" w:hAnsi="Aptos"/>
                <w:b w:val="0"/>
                <w:color w:val="1B2430"/>
                <w:sz w:val="16"/>
              </w:rPr>
              <w:t>AuthN/AuthZ (OIDC/RBAC)</w:t>
            </w:r>
          </w:p>
        </w:tc>
        <w:tc>
          <w:tcPr>
            <w:tcW w:type="dxa" w:w="3312"/>
            <w:vAlign w:val="center"/>
            <w:shd w:fill="F7F9FC"/>
          </w:tcPr>
          <w:p>
            <w:r/>
            <w:r>
              <w:rPr>
                <w:rFonts w:ascii="Aptos" w:hAnsi="Aptos"/>
                <w:b w:val="0"/>
                <w:color w:val="1B2430"/>
                <w:sz w:val="16"/>
              </w:rPr>
              <w:t>Authenticate users/services and authorize actions.</w:t>
            </w:r>
          </w:p>
        </w:tc>
        <w:tc>
          <w:tcPr>
            <w:tcW w:type="dxa" w:w="3312"/>
            <w:vAlign w:val="center"/>
            <w:shd w:fill="F7F9FC"/>
          </w:tcPr>
          <w:p>
            <w:r/>
            <w:r>
              <w:rPr>
                <w:rFonts w:ascii="Aptos" w:hAnsi="Aptos"/>
                <w:b w:val="0"/>
                <w:color w:val="1B2430"/>
                <w:sz w:val="16"/>
              </w:rPr>
              <w:t>Roles should distinguish customer, analyst, supervisor, auditor, service account, operations.</w:t>
            </w:r>
          </w:p>
        </w:tc>
      </w:tr>
      <w:tr>
        <w:tc>
          <w:tcPr>
            <w:tcW w:type="dxa" w:w="3312"/>
            <w:vAlign w:val="center"/>
          </w:tcPr>
          <w:p>
            <w:r/>
            <w:r>
              <w:rPr>
                <w:rFonts w:ascii="Aptos" w:hAnsi="Aptos"/>
                <w:b w:val="0"/>
                <w:color w:val="1B2430"/>
                <w:sz w:val="16"/>
              </w:rPr>
              <w:t>Request Validation</w:t>
            </w:r>
          </w:p>
        </w:tc>
        <w:tc>
          <w:tcPr>
            <w:tcW w:type="dxa" w:w="3312"/>
            <w:vAlign w:val="center"/>
          </w:tcPr>
          <w:p>
            <w:r/>
            <w:r>
              <w:rPr>
                <w:rFonts w:ascii="Aptos" w:hAnsi="Aptos"/>
                <w:b w:val="0"/>
                <w:color w:val="1B2430"/>
                <w:sz w:val="16"/>
              </w:rPr>
              <w:t>Schema and semantic validation.</w:t>
            </w:r>
          </w:p>
        </w:tc>
        <w:tc>
          <w:tcPr>
            <w:tcW w:type="dxa" w:w="3312"/>
            <w:vAlign w:val="center"/>
          </w:tcPr>
          <w:p>
            <w:r/>
            <w:r>
              <w:rPr>
                <w:rFonts w:ascii="Aptos" w:hAnsi="Aptos"/>
                <w:b w:val="0"/>
                <w:color w:val="1B2430"/>
                <w:sz w:val="16"/>
              </w:rPr>
              <w:t>Fail fast before case mutation.</w:t>
            </w:r>
          </w:p>
        </w:tc>
      </w:tr>
      <w:tr>
        <w:tc>
          <w:tcPr>
            <w:tcW w:type="dxa" w:w="3312"/>
            <w:vAlign w:val="center"/>
            <w:shd w:fill="F7F9FC"/>
          </w:tcPr>
          <w:p>
            <w:r/>
            <w:r>
              <w:rPr>
                <w:rFonts w:ascii="Aptos" w:hAnsi="Aptos"/>
                <w:b w:val="0"/>
                <w:color w:val="1B2430"/>
                <w:sz w:val="16"/>
              </w:rPr>
              <w:t>Idempotency Check</w:t>
            </w:r>
          </w:p>
        </w:tc>
        <w:tc>
          <w:tcPr>
            <w:tcW w:type="dxa" w:w="3312"/>
            <w:vAlign w:val="center"/>
            <w:shd w:fill="F7F9FC"/>
          </w:tcPr>
          <w:p>
            <w:r/>
            <w:r>
              <w:rPr>
                <w:rFonts w:ascii="Aptos" w:hAnsi="Aptos"/>
                <w:b w:val="0"/>
                <w:color w:val="1B2430"/>
                <w:sz w:val="16"/>
              </w:rPr>
              <w:t>Prevent duplicate case mutation.</w:t>
            </w:r>
          </w:p>
        </w:tc>
        <w:tc>
          <w:tcPr>
            <w:tcW w:type="dxa" w:w="3312"/>
            <w:vAlign w:val="center"/>
            <w:shd w:fill="F7F9FC"/>
          </w:tcPr>
          <w:p>
            <w:r/>
            <w:r>
              <w:rPr>
                <w:rFonts w:ascii="Aptos" w:hAnsi="Aptos"/>
                <w:b w:val="0"/>
                <w:color w:val="1B2430"/>
                <w:sz w:val="16"/>
              </w:rPr>
              <w:t>Use stable idempotency keys for create/update/communication commands.</w:t>
            </w:r>
          </w:p>
        </w:tc>
      </w:tr>
      <w:tr>
        <w:tc>
          <w:tcPr>
            <w:tcW w:type="dxa" w:w="3312"/>
            <w:vAlign w:val="center"/>
          </w:tcPr>
          <w:p>
            <w:r/>
            <w:r>
              <w:rPr>
                <w:rFonts w:ascii="Aptos" w:hAnsi="Aptos"/>
                <w:b w:val="0"/>
                <w:color w:val="1B2430"/>
                <w:sz w:val="16"/>
              </w:rPr>
              <w:t>Case Service</w:t>
            </w:r>
          </w:p>
        </w:tc>
        <w:tc>
          <w:tcPr>
            <w:tcW w:type="dxa" w:w="3312"/>
            <w:vAlign w:val="center"/>
          </w:tcPr>
          <w:p>
            <w:r/>
            <w:r>
              <w:rPr>
                <w:rFonts w:ascii="Aptos" w:hAnsi="Aptos"/>
                <w:b w:val="0"/>
                <w:color w:val="1B2430"/>
                <w:sz w:val="16"/>
              </w:rPr>
              <w:t>Own dispute case lifecycle and operational business state.</w:t>
            </w:r>
          </w:p>
        </w:tc>
        <w:tc>
          <w:tcPr>
            <w:tcW w:type="dxa" w:w="3312"/>
            <w:vAlign w:val="center"/>
          </w:tcPr>
          <w:p>
            <w:r/>
            <w:r>
              <w:rPr>
                <w:rFonts w:ascii="Aptos" w:hAnsi="Aptos"/>
                <w:b w:val="0"/>
                <w:color w:val="1B2430"/>
                <w:sz w:val="16"/>
              </w:rPr>
              <w:t>System of record for case status, evidence references, decisions and approved communication.</w:t>
            </w:r>
          </w:p>
        </w:tc>
      </w:tr>
      <w:tr>
        <w:tc>
          <w:tcPr>
            <w:tcW w:type="dxa" w:w="3312"/>
            <w:vAlign w:val="center"/>
            <w:shd w:fill="F7F9FC"/>
          </w:tcPr>
          <w:p>
            <w:r/>
            <w:r>
              <w:rPr>
                <w:rFonts w:ascii="Aptos" w:hAnsi="Aptos"/>
                <w:b w:val="0"/>
                <w:color w:val="1B2430"/>
                <w:sz w:val="16"/>
              </w:rPr>
              <w:t>Workflow Service</w:t>
            </w:r>
          </w:p>
        </w:tc>
        <w:tc>
          <w:tcPr>
            <w:tcW w:type="dxa" w:w="3312"/>
            <w:vAlign w:val="center"/>
            <w:shd w:fill="F7F9FC"/>
          </w:tcPr>
          <w:p>
            <w:r/>
            <w:r>
              <w:rPr>
                <w:rFonts w:ascii="Aptos" w:hAnsi="Aptos"/>
                <w:b w:val="0"/>
                <w:color w:val="1B2430"/>
                <w:sz w:val="16"/>
              </w:rPr>
              <w:t>Start/resume/query orchestrated workflows.</w:t>
            </w:r>
          </w:p>
        </w:tc>
        <w:tc>
          <w:tcPr>
            <w:tcW w:type="dxa" w:w="3312"/>
            <w:vAlign w:val="center"/>
            <w:shd w:fill="F7F9FC"/>
          </w:tcPr>
          <w:p>
            <w:r/>
            <w:r>
              <w:rPr>
                <w:rFonts w:ascii="Aptos" w:hAnsi="Aptos"/>
                <w:b w:val="0"/>
                <w:color w:val="1B2430"/>
                <w:sz w:val="16"/>
              </w:rPr>
              <w:t>Maps case IDs to LangGraph thread/checkpoint identifiers.</w:t>
            </w:r>
          </w:p>
        </w:tc>
      </w:tr>
      <w:tr>
        <w:tc>
          <w:tcPr>
            <w:tcW w:type="dxa" w:w="3312"/>
            <w:vAlign w:val="center"/>
          </w:tcPr>
          <w:p>
            <w:r/>
            <w:r>
              <w:rPr>
                <w:rFonts w:ascii="Aptos" w:hAnsi="Aptos"/>
                <w:b w:val="0"/>
                <w:color w:val="1B2430"/>
                <w:sz w:val="16"/>
              </w:rPr>
              <w:t>Audit API</w:t>
            </w:r>
          </w:p>
        </w:tc>
        <w:tc>
          <w:tcPr>
            <w:tcW w:type="dxa" w:w="3312"/>
            <w:vAlign w:val="center"/>
          </w:tcPr>
          <w:p>
            <w:r/>
            <w:r>
              <w:rPr>
                <w:rFonts w:ascii="Aptos" w:hAnsi="Aptos"/>
                <w:b w:val="0"/>
                <w:color w:val="1B2430"/>
                <w:sz w:val="16"/>
              </w:rPr>
              <w:t>Expose controlled audit queries/exports.</w:t>
            </w:r>
          </w:p>
        </w:tc>
        <w:tc>
          <w:tcPr>
            <w:tcW w:type="dxa" w:w="3312"/>
            <w:vAlign w:val="center"/>
          </w:tcPr>
          <w:p>
            <w:r/>
            <w:r>
              <w:rPr>
                <w:rFonts w:ascii="Aptos" w:hAnsi="Aptos"/>
                <w:b w:val="0"/>
                <w:color w:val="1B2430"/>
                <w:sz w:val="16"/>
              </w:rPr>
              <w:t>Read model should not permit mutation of immutable audit records.</w:t>
            </w:r>
          </w:p>
        </w:tc>
      </w:tr>
    </w:tbl>
    <w:p>
      <w:pPr>
        <w:spacing w:after="20"/>
      </w:pPr>
    </w:p>
    <w:p>
      <w:pPr>
        <w:pStyle w:val="Heading2"/>
      </w:pPr>
      <w:r>
        <w:t>4.2 LangGraph Orchestration Layer</w:t>
      </w:r>
    </w:p>
    <w:p>
      <w:r>
        <w:t>LangGraph acts as the stateful coordination plane. It is not the source of truth for authoritative banking facts or policy/rule semantics. Workflow state contains references, derived results, confidence values, gate outcomes, and checkpoint metadata required to resume execution safely.</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0B1F5B"/>
          </w:tcPr>
          <w:p>
            <w:r/>
            <w:r>
              <w:rPr>
                <w:rFonts w:ascii="Aptos" w:hAnsi="Aptos"/>
                <w:b/>
                <w:color w:val="FFFFFF"/>
                <w:sz w:val="17"/>
              </w:rPr>
              <w:t>Step</w:t>
            </w:r>
          </w:p>
        </w:tc>
        <w:tc>
          <w:tcPr>
            <w:tcW w:type="dxa" w:w="1987"/>
            <w:vAlign w:val="center"/>
            <w:shd w:fill="0B1F5B"/>
          </w:tcPr>
          <w:p>
            <w:r/>
            <w:r>
              <w:rPr>
                <w:rFonts w:ascii="Aptos" w:hAnsi="Aptos"/>
                <w:b/>
                <w:color w:val="FFFFFF"/>
                <w:sz w:val="17"/>
              </w:rPr>
              <w:t>Node</w:t>
            </w:r>
          </w:p>
        </w:tc>
        <w:tc>
          <w:tcPr>
            <w:tcW w:type="dxa" w:w="1987"/>
            <w:vAlign w:val="center"/>
            <w:shd w:fill="0B1F5B"/>
          </w:tcPr>
          <w:p>
            <w:r/>
            <w:r>
              <w:rPr>
                <w:rFonts w:ascii="Aptos" w:hAnsi="Aptos"/>
                <w:b/>
                <w:color w:val="FFFFFF"/>
                <w:sz w:val="17"/>
              </w:rPr>
              <w:t>Execution Mode</w:t>
            </w:r>
          </w:p>
        </w:tc>
        <w:tc>
          <w:tcPr>
            <w:tcW w:type="dxa" w:w="1987"/>
            <w:vAlign w:val="center"/>
            <w:shd w:fill="0B1F5B"/>
          </w:tcPr>
          <w:p>
            <w:r/>
            <w:r>
              <w:rPr>
                <w:rFonts w:ascii="Aptos" w:hAnsi="Aptos"/>
                <w:b/>
                <w:color w:val="FFFFFF"/>
                <w:sz w:val="17"/>
              </w:rPr>
              <w:t>Primary Output</w:t>
            </w:r>
          </w:p>
        </w:tc>
        <w:tc>
          <w:tcPr>
            <w:tcW w:type="dxa" w:w="1987"/>
            <w:vAlign w:val="center"/>
            <w:shd w:fill="0B1F5B"/>
          </w:tcPr>
          <w:p>
            <w:r/>
            <w:r>
              <w:rPr>
                <w:rFonts w:ascii="Aptos" w:hAnsi="Aptos"/>
                <w:b/>
                <w:color w:val="FFFFFF"/>
                <w:sz w:val="17"/>
              </w:rPr>
              <w:t>Escalation / Interrupt</w:t>
            </w:r>
          </w:p>
        </w:tc>
      </w:tr>
      <w:tr>
        <w:tc>
          <w:tcPr>
            <w:tcW w:type="dxa" w:w="1987"/>
            <w:vAlign w:val="center"/>
            <w:shd w:fill="F7F9FC"/>
          </w:tcPr>
          <w:p>
            <w:r/>
            <w:r>
              <w:rPr>
                <w:rFonts w:ascii="Aptos" w:hAnsi="Aptos"/>
                <w:b w:val="0"/>
                <w:color w:val="1B2430"/>
                <w:sz w:val="16"/>
              </w:rPr>
              <w:t>1</w:t>
            </w:r>
          </w:p>
        </w:tc>
        <w:tc>
          <w:tcPr>
            <w:tcW w:type="dxa" w:w="1987"/>
            <w:vAlign w:val="center"/>
            <w:shd w:fill="F7F9FC"/>
          </w:tcPr>
          <w:p>
            <w:r/>
            <w:r>
              <w:rPr>
                <w:rFonts w:ascii="Aptos" w:hAnsi="Aptos"/>
                <w:b w:val="0"/>
                <w:color w:val="1B2430"/>
                <w:sz w:val="16"/>
              </w:rPr>
              <w:t>Intake &amp; Normalize</w:t>
            </w:r>
          </w:p>
        </w:tc>
        <w:tc>
          <w:tcPr>
            <w:tcW w:type="dxa" w:w="1987"/>
            <w:vAlign w:val="center"/>
            <w:shd w:fill="F7F9FC"/>
          </w:tcPr>
          <w:p>
            <w:r/>
            <w:r>
              <w:rPr>
                <w:rFonts w:ascii="Aptos" w:hAnsi="Aptos"/>
                <w:b w:val="0"/>
                <w:color w:val="1B2430"/>
                <w:sz w:val="16"/>
              </w:rPr>
              <w:t>Hybrid</w:t>
            </w:r>
          </w:p>
        </w:tc>
        <w:tc>
          <w:tcPr>
            <w:tcW w:type="dxa" w:w="1987"/>
            <w:vAlign w:val="center"/>
            <w:shd w:fill="F7F9FC"/>
          </w:tcPr>
          <w:p>
            <w:r/>
            <w:r>
              <w:rPr>
                <w:rFonts w:ascii="Aptos" w:hAnsi="Aptos"/>
                <w:b w:val="0"/>
                <w:color w:val="1B2430"/>
                <w:sz w:val="16"/>
              </w:rPr>
              <w:t>Canonical dispute case context.</w:t>
            </w:r>
          </w:p>
        </w:tc>
        <w:tc>
          <w:tcPr>
            <w:tcW w:type="dxa" w:w="1987"/>
            <w:vAlign w:val="center"/>
            <w:shd w:fill="F7F9FC"/>
          </w:tcPr>
          <w:p>
            <w:r/>
            <w:r>
              <w:rPr>
                <w:rFonts w:ascii="Aptos" w:hAnsi="Aptos"/>
                <w:b w:val="0"/>
                <w:color w:val="1B2430"/>
                <w:sz w:val="16"/>
              </w:rPr>
              <w:t>Validation failure -&gt; controlled error/manual intake.</w:t>
            </w:r>
          </w:p>
        </w:tc>
      </w:tr>
      <w:tr>
        <w:tc>
          <w:tcPr>
            <w:tcW w:type="dxa" w:w="1987"/>
            <w:vAlign w:val="center"/>
          </w:tcPr>
          <w:p>
            <w:r/>
            <w:r>
              <w:rPr>
                <w:rFonts w:ascii="Aptos" w:hAnsi="Aptos"/>
                <w:b w:val="0"/>
                <w:color w:val="1B2430"/>
                <w:sz w:val="16"/>
              </w:rPr>
              <w:t>2</w:t>
            </w:r>
          </w:p>
        </w:tc>
        <w:tc>
          <w:tcPr>
            <w:tcW w:type="dxa" w:w="1987"/>
            <w:vAlign w:val="center"/>
          </w:tcPr>
          <w:p>
            <w:r/>
            <w:r>
              <w:rPr>
                <w:rFonts w:ascii="Aptos" w:hAnsi="Aptos"/>
                <w:b w:val="0"/>
                <w:color w:val="1B2430"/>
                <w:sz w:val="16"/>
              </w:rPr>
              <w:t>Classify &amp; Route</w:t>
            </w:r>
          </w:p>
        </w:tc>
        <w:tc>
          <w:tcPr>
            <w:tcW w:type="dxa" w:w="1987"/>
            <w:vAlign w:val="center"/>
          </w:tcPr>
          <w:p>
            <w:r/>
            <w:r>
              <w:rPr>
                <w:rFonts w:ascii="Aptos" w:hAnsi="Aptos"/>
                <w:b w:val="0"/>
                <w:color w:val="1B2430"/>
                <w:sz w:val="16"/>
              </w:rPr>
              <w:t>AI-assisted</w:t>
            </w:r>
          </w:p>
        </w:tc>
        <w:tc>
          <w:tcPr>
            <w:tcW w:type="dxa" w:w="1987"/>
            <w:vAlign w:val="center"/>
          </w:tcPr>
          <w:p>
            <w:r/>
            <w:r>
              <w:rPr>
                <w:rFonts w:ascii="Aptos" w:hAnsi="Aptos"/>
                <w:b w:val="0"/>
                <w:color w:val="1B2430"/>
                <w:sz w:val="16"/>
              </w:rPr>
              <w:t>Dispute category, route, confidence.</w:t>
            </w:r>
          </w:p>
        </w:tc>
        <w:tc>
          <w:tcPr>
            <w:tcW w:type="dxa" w:w="1987"/>
            <w:vAlign w:val="center"/>
          </w:tcPr>
          <w:p>
            <w:r/>
            <w:r>
              <w:rPr>
                <w:rFonts w:ascii="Aptos" w:hAnsi="Aptos"/>
                <w:b w:val="0"/>
                <w:color w:val="1B2430"/>
                <w:sz w:val="16"/>
              </w:rPr>
              <w:t>Low confidence -&gt; manual classification (HITL).</w:t>
            </w:r>
          </w:p>
        </w:tc>
      </w:tr>
      <w:tr>
        <w:tc>
          <w:tcPr>
            <w:tcW w:type="dxa" w:w="1987"/>
            <w:vAlign w:val="center"/>
            <w:shd w:fill="F7F9FC"/>
          </w:tcPr>
          <w:p>
            <w:r/>
            <w:r>
              <w:rPr>
                <w:rFonts w:ascii="Aptos" w:hAnsi="Aptos"/>
                <w:b w:val="0"/>
                <w:color w:val="1B2430"/>
                <w:sz w:val="16"/>
              </w:rPr>
              <w:t>3</w:t>
            </w:r>
          </w:p>
        </w:tc>
        <w:tc>
          <w:tcPr>
            <w:tcW w:type="dxa" w:w="1987"/>
            <w:vAlign w:val="center"/>
            <w:shd w:fill="F7F9FC"/>
          </w:tcPr>
          <w:p>
            <w:r/>
            <w:r>
              <w:rPr>
                <w:rFonts w:ascii="Aptos" w:hAnsi="Aptos"/>
                <w:b w:val="0"/>
                <w:color w:val="1B2430"/>
                <w:sz w:val="16"/>
              </w:rPr>
              <w:t>Acquire Authoritative Context</w:t>
            </w:r>
          </w:p>
        </w:tc>
        <w:tc>
          <w:tcPr>
            <w:tcW w:type="dxa" w:w="1987"/>
            <w:vAlign w:val="center"/>
            <w:shd w:fill="F7F9FC"/>
          </w:tcPr>
          <w:p>
            <w:r/>
            <w:r>
              <w:rPr>
                <w:rFonts w:ascii="Aptos" w:hAnsi="Aptos"/>
                <w:b w:val="0"/>
                <w:color w:val="1B2430"/>
                <w:sz w:val="16"/>
              </w:rPr>
              <w:t>Tool/API</w:t>
            </w:r>
          </w:p>
        </w:tc>
        <w:tc>
          <w:tcPr>
            <w:tcW w:type="dxa" w:w="1987"/>
            <w:vAlign w:val="center"/>
            <w:shd w:fill="F7F9FC"/>
          </w:tcPr>
          <w:p>
            <w:r/>
            <w:r>
              <w:rPr>
                <w:rFonts w:ascii="Aptos" w:hAnsi="Aptos"/>
                <w:b w:val="0"/>
                <w:color w:val="1B2430"/>
                <w:sz w:val="16"/>
              </w:rPr>
              <w:t>Customer/account/transaction/settlement/merchant/refund context + lineage.</w:t>
            </w:r>
          </w:p>
        </w:tc>
        <w:tc>
          <w:tcPr>
            <w:tcW w:type="dxa" w:w="1987"/>
            <w:vAlign w:val="center"/>
            <w:shd w:fill="F7F9FC"/>
          </w:tcPr>
          <w:p>
            <w:r/>
            <w:r>
              <w:rPr>
                <w:rFonts w:ascii="Aptos" w:hAnsi="Aptos"/>
                <w:b w:val="0"/>
                <w:color w:val="1B2430"/>
                <w:sz w:val="16"/>
              </w:rPr>
              <w:t>Provider failure -&gt; retry/fallback/operations path.</w:t>
            </w:r>
          </w:p>
        </w:tc>
      </w:tr>
      <w:tr>
        <w:tc>
          <w:tcPr>
            <w:tcW w:type="dxa" w:w="1987"/>
            <w:vAlign w:val="center"/>
          </w:tcPr>
          <w:p>
            <w:r/>
            <w:r>
              <w:rPr>
                <w:rFonts w:ascii="Aptos" w:hAnsi="Aptos"/>
                <w:b w:val="0"/>
                <w:color w:val="1B2430"/>
                <w:sz w:val="16"/>
              </w:rPr>
              <w:t>4</w:t>
            </w:r>
          </w:p>
        </w:tc>
        <w:tc>
          <w:tcPr>
            <w:tcW w:type="dxa" w:w="1987"/>
            <w:vAlign w:val="center"/>
          </w:tcPr>
          <w:p>
            <w:r/>
            <w:r>
              <w:rPr>
                <w:rFonts w:ascii="Aptos" w:hAnsi="Aptos"/>
                <w:b w:val="0"/>
                <w:color w:val="1B2430"/>
                <w:sz w:val="16"/>
              </w:rPr>
              <w:t>Assess Evidence Completeness</w:t>
            </w:r>
          </w:p>
        </w:tc>
        <w:tc>
          <w:tcPr>
            <w:tcW w:type="dxa" w:w="1987"/>
            <w:vAlign w:val="center"/>
          </w:tcPr>
          <w:p>
            <w:r/>
            <w:r>
              <w:rPr>
                <w:rFonts w:ascii="Aptos" w:hAnsi="Aptos"/>
                <w:b w:val="0"/>
                <w:color w:val="1B2430"/>
                <w:sz w:val="16"/>
              </w:rPr>
              <w:t>Hybrid</w:t>
            </w:r>
          </w:p>
        </w:tc>
        <w:tc>
          <w:tcPr>
            <w:tcW w:type="dxa" w:w="1987"/>
            <w:vAlign w:val="center"/>
          </w:tcPr>
          <w:p>
            <w:r/>
            <w:r>
              <w:rPr>
                <w:rFonts w:ascii="Aptos" w:hAnsi="Aptos"/>
                <w:b w:val="0"/>
                <w:color w:val="1B2430"/>
                <w:sz w:val="16"/>
              </w:rPr>
              <w:t>Evidence sufficiency and missing-item list.</w:t>
            </w:r>
          </w:p>
        </w:tc>
        <w:tc>
          <w:tcPr>
            <w:tcW w:type="dxa" w:w="1987"/>
            <w:vAlign w:val="center"/>
          </w:tcPr>
          <w:p>
            <w:r/>
            <w:r>
              <w:rPr>
                <w:rFonts w:ascii="Aptos" w:hAnsi="Aptos"/>
                <w:b w:val="0"/>
                <w:color w:val="1B2430"/>
                <w:sz w:val="16"/>
              </w:rPr>
              <w:t>Mandatory evidence missing -&gt; request additional evidence (HITL/work item).</w:t>
            </w:r>
          </w:p>
        </w:tc>
      </w:tr>
      <w:tr>
        <w:tc>
          <w:tcPr>
            <w:tcW w:type="dxa" w:w="1987"/>
            <w:vAlign w:val="center"/>
            <w:shd w:fill="F7F9FC"/>
          </w:tcPr>
          <w:p>
            <w:r/>
            <w:r>
              <w:rPr>
                <w:rFonts w:ascii="Aptos" w:hAnsi="Aptos"/>
                <w:b w:val="0"/>
                <w:color w:val="1B2430"/>
                <w:sz w:val="16"/>
              </w:rPr>
              <w:t>5</w:t>
            </w:r>
          </w:p>
        </w:tc>
        <w:tc>
          <w:tcPr>
            <w:tcW w:type="dxa" w:w="1987"/>
            <w:vAlign w:val="center"/>
            <w:shd w:fill="F7F9FC"/>
          </w:tcPr>
          <w:p>
            <w:r/>
            <w:r>
              <w:rPr>
                <w:rFonts w:ascii="Aptos" w:hAnsi="Aptos"/>
                <w:b w:val="0"/>
                <w:color w:val="1B2430"/>
                <w:sz w:val="16"/>
              </w:rPr>
              <w:t>Resolve Policy Context</w:t>
            </w:r>
          </w:p>
        </w:tc>
        <w:tc>
          <w:tcPr>
            <w:tcW w:type="dxa" w:w="1987"/>
            <w:vAlign w:val="center"/>
            <w:shd w:fill="F7F9FC"/>
          </w:tcPr>
          <w:p>
            <w:r/>
            <w:r>
              <w:rPr>
                <w:rFonts w:ascii="Aptos" w:hAnsi="Aptos"/>
                <w:b w:val="0"/>
                <w:color w:val="1B2430"/>
                <w:sz w:val="16"/>
              </w:rPr>
              <w:t>Controlled retrieval</w:t>
            </w:r>
          </w:p>
        </w:tc>
        <w:tc>
          <w:tcPr>
            <w:tcW w:type="dxa" w:w="1987"/>
            <w:vAlign w:val="center"/>
            <w:shd w:fill="F7F9FC"/>
          </w:tcPr>
          <w:p>
            <w:r/>
            <w:r>
              <w:rPr>
                <w:rFonts w:ascii="Aptos" w:hAnsi="Aptos"/>
                <w:b w:val="0"/>
                <w:color w:val="1B2430"/>
                <w:sz w:val="16"/>
              </w:rPr>
              <w:t>Policy chunks, citations, version/effective date, retrieval confidence.</w:t>
            </w:r>
          </w:p>
        </w:tc>
        <w:tc>
          <w:tcPr>
            <w:tcW w:type="dxa" w:w="1987"/>
            <w:vAlign w:val="center"/>
            <w:shd w:fill="F7F9FC"/>
          </w:tcPr>
          <w:p>
            <w:r/>
            <w:r>
              <w:rPr>
                <w:rFonts w:ascii="Aptos" w:hAnsi="Aptos"/>
                <w:b w:val="0"/>
                <w:color w:val="1B2430"/>
                <w:sz w:val="16"/>
              </w:rPr>
              <w:t>Low confidence -&gt; policy review (HITL).</w:t>
            </w:r>
          </w:p>
        </w:tc>
      </w:tr>
      <w:tr>
        <w:tc>
          <w:tcPr>
            <w:tcW w:type="dxa" w:w="1987"/>
            <w:vAlign w:val="center"/>
          </w:tcPr>
          <w:p>
            <w:r/>
            <w:r>
              <w:rPr>
                <w:rFonts w:ascii="Aptos" w:hAnsi="Aptos"/>
                <w:b w:val="0"/>
                <w:color w:val="1B2430"/>
                <w:sz w:val="16"/>
              </w:rPr>
              <w:t>6</w:t>
            </w:r>
          </w:p>
        </w:tc>
        <w:tc>
          <w:tcPr>
            <w:tcW w:type="dxa" w:w="1987"/>
            <w:vAlign w:val="center"/>
          </w:tcPr>
          <w:p>
            <w:r/>
            <w:r>
              <w:rPr>
                <w:rFonts w:ascii="Aptos" w:hAnsi="Aptos"/>
                <w:b w:val="0"/>
                <w:color w:val="1B2430"/>
                <w:sz w:val="16"/>
              </w:rPr>
              <w:t>Execute Decision Rules</w:t>
            </w:r>
          </w:p>
        </w:tc>
        <w:tc>
          <w:tcPr>
            <w:tcW w:type="dxa" w:w="1987"/>
            <w:vAlign w:val="center"/>
          </w:tcPr>
          <w:p>
            <w:r/>
            <w:r>
              <w:rPr>
                <w:rFonts w:ascii="Aptos" w:hAnsi="Aptos"/>
                <w:b w:val="0"/>
                <w:color w:val="1B2430"/>
                <w:sz w:val="16"/>
              </w:rPr>
              <w:t>Deterministic</w:t>
            </w:r>
          </w:p>
        </w:tc>
        <w:tc>
          <w:tcPr>
            <w:tcW w:type="dxa" w:w="1987"/>
            <w:vAlign w:val="center"/>
          </w:tcPr>
          <w:p>
            <w:r/>
            <w:r>
              <w:rPr>
                <w:rFonts w:ascii="Aptos" w:hAnsi="Aptos"/>
                <w:b w:val="0"/>
                <w:color w:val="1B2430"/>
                <w:sz w:val="16"/>
              </w:rPr>
              <w:t>Rule outcomes, rule IDs/versions, reason codes.</w:t>
            </w:r>
          </w:p>
        </w:tc>
        <w:tc>
          <w:tcPr>
            <w:tcW w:type="dxa" w:w="1987"/>
            <w:vAlign w:val="center"/>
          </w:tcPr>
          <w:p>
            <w:r/>
            <w:r>
              <w:rPr>
                <w:rFonts w:ascii="Aptos" w:hAnsi="Aptos"/>
                <w:b w:val="0"/>
                <w:color w:val="1B2430"/>
                <w:sz w:val="16"/>
              </w:rPr>
              <w:t>Rule exception -&gt; manual review (HITL).</w:t>
            </w:r>
          </w:p>
        </w:tc>
      </w:tr>
      <w:tr>
        <w:tc>
          <w:tcPr>
            <w:tcW w:type="dxa" w:w="1987"/>
            <w:vAlign w:val="center"/>
            <w:shd w:fill="F7F9FC"/>
          </w:tcPr>
          <w:p>
            <w:r/>
            <w:r>
              <w:rPr>
                <w:rFonts w:ascii="Aptos" w:hAnsi="Aptos"/>
                <w:b w:val="0"/>
                <w:color w:val="1B2430"/>
                <w:sz w:val="16"/>
              </w:rPr>
              <w:t>7</w:t>
            </w:r>
          </w:p>
        </w:tc>
        <w:tc>
          <w:tcPr>
            <w:tcW w:type="dxa" w:w="1987"/>
            <w:vAlign w:val="center"/>
            <w:shd w:fill="F7F9FC"/>
          </w:tcPr>
          <w:p>
            <w:r/>
            <w:r>
              <w:rPr>
                <w:rFonts w:ascii="Aptos" w:hAnsi="Aptos"/>
                <w:b w:val="0"/>
                <w:color w:val="1B2430"/>
                <w:sz w:val="16"/>
              </w:rPr>
              <w:t>Case Confidence &amp; Escalation</w:t>
            </w:r>
          </w:p>
        </w:tc>
        <w:tc>
          <w:tcPr>
            <w:tcW w:type="dxa" w:w="1987"/>
            <w:vAlign w:val="center"/>
            <w:shd w:fill="F7F9FC"/>
          </w:tcPr>
          <w:p>
            <w:r/>
            <w:r>
              <w:rPr>
                <w:rFonts w:ascii="Aptos" w:hAnsi="Aptos"/>
                <w:b w:val="0"/>
                <w:color w:val="1B2430"/>
                <w:sz w:val="16"/>
              </w:rPr>
              <w:t>Governed deterministic/score service</w:t>
            </w:r>
          </w:p>
        </w:tc>
        <w:tc>
          <w:tcPr>
            <w:tcW w:type="dxa" w:w="1987"/>
            <w:vAlign w:val="center"/>
            <w:shd w:fill="F7F9FC"/>
          </w:tcPr>
          <w:p>
            <w:r/>
            <w:r>
              <w:rPr>
                <w:rFonts w:ascii="Aptos" w:hAnsi="Aptos"/>
                <w:b w:val="0"/>
                <w:color w:val="1B2430"/>
                <w:sz w:val="16"/>
              </w:rPr>
              <w:t>Confidence score, escalation decision.</w:t>
            </w:r>
          </w:p>
        </w:tc>
        <w:tc>
          <w:tcPr>
            <w:tcW w:type="dxa" w:w="1987"/>
            <w:vAlign w:val="center"/>
            <w:shd w:fill="F7F9FC"/>
          </w:tcPr>
          <w:p>
            <w:r/>
            <w:r>
              <w:rPr>
                <w:rFonts w:ascii="Aptos" w:hAnsi="Aptos"/>
                <w:b w:val="0"/>
                <w:color w:val="1B2430"/>
                <w:sz w:val="16"/>
              </w:rPr>
              <w:t>Below threshold -&gt; supervisor review (HITL).</w:t>
            </w:r>
          </w:p>
        </w:tc>
      </w:tr>
      <w:tr>
        <w:tc>
          <w:tcPr>
            <w:tcW w:type="dxa" w:w="1987"/>
            <w:vAlign w:val="center"/>
          </w:tcPr>
          <w:p>
            <w:r/>
            <w:r>
              <w:rPr>
                <w:rFonts w:ascii="Aptos" w:hAnsi="Aptos"/>
                <w:b w:val="0"/>
                <w:color w:val="1B2430"/>
                <w:sz w:val="16"/>
              </w:rPr>
              <w:t>8</w:t>
            </w:r>
          </w:p>
        </w:tc>
        <w:tc>
          <w:tcPr>
            <w:tcW w:type="dxa" w:w="1987"/>
            <w:vAlign w:val="center"/>
          </w:tcPr>
          <w:p>
            <w:r/>
            <w:r>
              <w:rPr>
                <w:rFonts w:ascii="Aptos" w:hAnsi="Aptos"/>
                <w:b w:val="0"/>
                <w:color w:val="1B2430"/>
                <w:sz w:val="16"/>
              </w:rPr>
              <w:t>Generate Recommendation</w:t>
            </w:r>
          </w:p>
        </w:tc>
        <w:tc>
          <w:tcPr>
            <w:tcW w:type="dxa" w:w="1987"/>
            <w:vAlign w:val="center"/>
          </w:tcPr>
          <w:p>
            <w:r/>
            <w:r>
              <w:rPr>
                <w:rFonts w:ascii="Aptos" w:hAnsi="Aptos"/>
                <w:b w:val="0"/>
                <w:color w:val="1B2430"/>
                <w:sz w:val="16"/>
              </w:rPr>
              <w:t>AI-assisted</w:t>
            </w:r>
          </w:p>
        </w:tc>
        <w:tc>
          <w:tcPr>
            <w:tcW w:type="dxa" w:w="1987"/>
            <w:vAlign w:val="center"/>
          </w:tcPr>
          <w:p>
            <w:r/>
            <w:r>
              <w:rPr>
                <w:rFonts w:ascii="Aptos" w:hAnsi="Aptos"/>
                <w:b w:val="0"/>
                <w:color w:val="1B2430"/>
                <w:sz w:val="16"/>
              </w:rPr>
              <w:t>Recommendation with evidence/policy/rule rationale.</w:t>
            </w:r>
          </w:p>
        </w:tc>
        <w:tc>
          <w:tcPr>
            <w:tcW w:type="dxa" w:w="1987"/>
            <w:vAlign w:val="center"/>
          </w:tcPr>
          <w:p>
            <w:r/>
            <w:r>
              <w:rPr>
                <w:rFonts w:ascii="Aptos" w:hAnsi="Aptos"/>
                <w:b w:val="0"/>
                <w:color w:val="1B2430"/>
                <w:sz w:val="16"/>
              </w:rPr>
              <w:t>Never finalizes outcome by itself.</w:t>
            </w:r>
          </w:p>
        </w:tc>
      </w:tr>
      <w:tr>
        <w:tc>
          <w:tcPr>
            <w:tcW w:type="dxa" w:w="1987"/>
            <w:vAlign w:val="center"/>
            <w:shd w:fill="F7F9FC"/>
          </w:tcPr>
          <w:p>
            <w:r/>
            <w:r>
              <w:rPr>
                <w:rFonts w:ascii="Aptos" w:hAnsi="Aptos"/>
                <w:b w:val="0"/>
                <w:color w:val="1B2430"/>
                <w:sz w:val="16"/>
              </w:rPr>
              <w:t>9</w:t>
            </w:r>
          </w:p>
        </w:tc>
        <w:tc>
          <w:tcPr>
            <w:tcW w:type="dxa" w:w="1987"/>
            <w:vAlign w:val="center"/>
            <w:shd w:fill="F7F9FC"/>
          </w:tcPr>
          <w:p>
            <w:r/>
            <w:r>
              <w:rPr>
                <w:rFonts w:ascii="Aptos" w:hAnsi="Aptos"/>
                <w:b w:val="0"/>
                <w:color w:val="1B2430"/>
                <w:sz w:val="16"/>
              </w:rPr>
              <w:t>Human Decision</w:t>
            </w:r>
          </w:p>
        </w:tc>
        <w:tc>
          <w:tcPr>
            <w:tcW w:type="dxa" w:w="1987"/>
            <w:vAlign w:val="center"/>
            <w:shd w:fill="F7F9FC"/>
          </w:tcPr>
          <w:p>
            <w:r/>
            <w:r>
              <w:rPr>
                <w:rFonts w:ascii="Aptos" w:hAnsi="Aptos"/>
                <w:b w:val="0"/>
                <w:color w:val="1B2430"/>
                <w:sz w:val="16"/>
              </w:rPr>
              <w:t>HITL</w:t>
            </w:r>
          </w:p>
        </w:tc>
        <w:tc>
          <w:tcPr>
            <w:tcW w:type="dxa" w:w="1987"/>
            <w:vAlign w:val="center"/>
            <w:shd w:fill="F7F9FC"/>
          </w:tcPr>
          <w:p>
            <w:r/>
            <w:r>
              <w:rPr>
                <w:rFonts w:ascii="Aptos" w:hAnsi="Aptos"/>
                <w:b w:val="0"/>
                <w:color w:val="1B2430"/>
                <w:sz w:val="16"/>
              </w:rPr>
              <w:t>Approve/modify/reject recommendation and final decision.</w:t>
            </w:r>
          </w:p>
        </w:tc>
        <w:tc>
          <w:tcPr>
            <w:tcW w:type="dxa" w:w="1987"/>
            <w:vAlign w:val="center"/>
            <w:shd w:fill="F7F9FC"/>
          </w:tcPr>
          <w:p>
            <w:r/>
            <w:r>
              <w:rPr>
                <w:rFonts w:ascii="Aptos" w:hAnsi="Aptos"/>
                <w:b w:val="0"/>
                <w:color w:val="1B2430"/>
                <w:sz w:val="16"/>
              </w:rPr>
              <w:t>Required approval boundary.</w:t>
            </w:r>
          </w:p>
        </w:tc>
      </w:tr>
      <w:tr>
        <w:tc>
          <w:tcPr>
            <w:tcW w:type="dxa" w:w="1987"/>
            <w:vAlign w:val="center"/>
          </w:tcPr>
          <w:p>
            <w:r/>
            <w:r>
              <w:rPr>
                <w:rFonts w:ascii="Aptos" w:hAnsi="Aptos"/>
                <w:b w:val="0"/>
                <w:color w:val="1B2430"/>
                <w:sz w:val="16"/>
              </w:rPr>
              <w:t>10</w:t>
            </w:r>
          </w:p>
        </w:tc>
        <w:tc>
          <w:tcPr>
            <w:tcW w:type="dxa" w:w="1987"/>
            <w:vAlign w:val="center"/>
          </w:tcPr>
          <w:p>
            <w:r/>
            <w:r>
              <w:rPr>
                <w:rFonts w:ascii="Aptos" w:hAnsi="Aptos"/>
                <w:b w:val="0"/>
                <w:color w:val="1B2430"/>
                <w:sz w:val="16"/>
              </w:rPr>
              <w:t>Generate Approved Communication</w:t>
            </w:r>
          </w:p>
        </w:tc>
        <w:tc>
          <w:tcPr>
            <w:tcW w:type="dxa" w:w="1987"/>
            <w:vAlign w:val="center"/>
          </w:tcPr>
          <w:p>
            <w:r/>
            <w:r>
              <w:rPr>
                <w:rFonts w:ascii="Aptos" w:hAnsi="Aptos"/>
                <w:b w:val="0"/>
                <w:color w:val="1B2430"/>
                <w:sz w:val="16"/>
              </w:rPr>
              <w:t>AI-assisted + governed template</w:t>
            </w:r>
          </w:p>
        </w:tc>
        <w:tc>
          <w:tcPr>
            <w:tcW w:type="dxa" w:w="1987"/>
            <w:vAlign w:val="center"/>
          </w:tcPr>
          <w:p>
            <w:r/>
            <w:r>
              <w:rPr>
                <w:rFonts w:ascii="Aptos" w:hAnsi="Aptos"/>
                <w:b w:val="0"/>
                <w:color w:val="1B2430"/>
                <w:sz w:val="16"/>
              </w:rPr>
              <w:t>Customer-ready message linked to approved decision.</w:t>
            </w:r>
          </w:p>
        </w:tc>
        <w:tc>
          <w:tcPr>
            <w:tcW w:type="dxa" w:w="1987"/>
            <w:vAlign w:val="center"/>
          </w:tcPr>
          <w:p>
            <w:r/>
            <w:r>
              <w:rPr>
                <w:rFonts w:ascii="Aptos" w:hAnsi="Aptos"/>
                <w:b w:val="0"/>
                <w:color w:val="1B2430"/>
                <w:sz w:val="16"/>
              </w:rPr>
              <w:t>Validation/approval failure -&gt; task/manual edit.</w:t>
            </w:r>
          </w:p>
        </w:tc>
      </w:tr>
      <w:tr>
        <w:tc>
          <w:tcPr>
            <w:tcW w:type="dxa" w:w="1987"/>
            <w:vAlign w:val="center"/>
            <w:shd w:fill="F7F9FC"/>
          </w:tcPr>
          <w:p>
            <w:r/>
            <w:r>
              <w:rPr>
                <w:rFonts w:ascii="Aptos" w:hAnsi="Aptos"/>
                <w:b w:val="0"/>
                <w:color w:val="1B2430"/>
                <w:sz w:val="16"/>
              </w:rPr>
              <w:t>11</w:t>
            </w:r>
          </w:p>
        </w:tc>
        <w:tc>
          <w:tcPr>
            <w:tcW w:type="dxa" w:w="1987"/>
            <w:vAlign w:val="center"/>
            <w:shd w:fill="F7F9FC"/>
          </w:tcPr>
          <w:p>
            <w:r/>
            <w:r>
              <w:rPr>
                <w:rFonts w:ascii="Aptos" w:hAnsi="Aptos"/>
                <w:b w:val="0"/>
                <w:color w:val="1B2430"/>
                <w:sz w:val="16"/>
              </w:rPr>
              <w:t>Finalize &amp; Audit</w:t>
            </w:r>
          </w:p>
        </w:tc>
        <w:tc>
          <w:tcPr>
            <w:tcW w:type="dxa" w:w="1987"/>
            <w:vAlign w:val="center"/>
            <w:shd w:fill="F7F9FC"/>
          </w:tcPr>
          <w:p>
            <w:r/>
            <w:r>
              <w:rPr>
                <w:rFonts w:ascii="Aptos" w:hAnsi="Aptos"/>
                <w:b w:val="0"/>
                <w:color w:val="1B2430"/>
                <w:sz w:val="16"/>
              </w:rPr>
              <w:t>Deterministic</w:t>
            </w:r>
          </w:p>
        </w:tc>
        <w:tc>
          <w:tcPr>
            <w:tcW w:type="dxa" w:w="1987"/>
            <w:vAlign w:val="center"/>
            <w:shd w:fill="F7F9FC"/>
          </w:tcPr>
          <w:p>
            <w:r/>
            <w:r>
              <w:rPr>
                <w:rFonts w:ascii="Aptos" w:hAnsi="Aptos"/>
                <w:b w:val="0"/>
                <w:color w:val="1B2430"/>
                <w:sz w:val="16"/>
              </w:rPr>
              <w:t>Final case state, immutable audit events, export/notification triggers.</w:t>
            </w:r>
          </w:p>
        </w:tc>
        <w:tc>
          <w:tcPr>
            <w:tcW w:type="dxa" w:w="1987"/>
            <w:vAlign w:val="center"/>
            <w:shd w:fill="F7F9FC"/>
          </w:tcPr>
          <w:p>
            <w:r/>
            <w:r>
              <w:rPr>
                <w:rFonts w:ascii="Aptos" w:hAnsi="Aptos"/>
                <w:b w:val="0"/>
                <w:color w:val="1B2430"/>
                <w:sz w:val="16"/>
              </w:rPr>
              <w:t>Audit persistence failure blocks finalization or routes to recovery.</w:t>
            </w:r>
          </w:p>
        </w:tc>
      </w:tr>
    </w:tbl>
    <w:p>
      <w:pPr>
        <w:spacing w:after="20"/>
      </w:pPr>
    </w:p>
    <w:p>
      <w:pPr>
        <w:pStyle w:val="Heading2"/>
      </w:pPr>
      <w:r>
        <w:t>4.3 AI Capability Layer and Model Gateway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0B1F5B"/>
          </w:tcPr>
          <w:p>
            <w:r/>
            <w:r>
              <w:rPr>
                <w:rFonts w:ascii="Aptos" w:hAnsi="Aptos"/>
                <w:b/>
                <w:color w:val="FFFFFF"/>
                <w:sz w:val="17"/>
              </w:rPr>
              <w:t>AI Service</w:t>
            </w:r>
          </w:p>
        </w:tc>
        <w:tc>
          <w:tcPr>
            <w:tcW w:type="dxa" w:w="3312"/>
            <w:vAlign w:val="center"/>
            <w:shd w:fill="0B1F5B"/>
          </w:tcPr>
          <w:p>
            <w:r/>
            <w:r>
              <w:rPr>
                <w:rFonts w:ascii="Aptos" w:hAnsi="Aptos"/>
                <w:b/>
                <w:color w:val="FFFFFF"/>
                <w:sz w:val="17"/>
              </w:rPr>
              <w:t>Permitted Use</w:t>
            </w:r>
          </w:p>
        </w:tc>
        <w:tc>
          <w:tcPr>
            <w:tcW w:type="dxa" w:w="3312"/>
            <w:vAlign w:val="center"/>
            <w:shd w:fill="0B1F5B"/>
          </w:tcPr>
          <w:p>
            <w:r/>
            <w:r>
              <w:rPr>
                <w:rFonts w:ascii="Aptos" w:hAnsi="Aptos"/>
                <w:b/>
                <w:color w:val="FFFFFF"/>
                <w:sz w:val="17"/>
              </w:rPr>
              <w:t>Required Controls</w:t>
            </w:r>
          </w:p>
        </w:tc>
      </w:tr>
      <w:tr>
        <w:tc>
          <w:tcPr>
            <w:tcW w:type="dxa" w:w="3312"/>
            <w:vAlign w:val="center"/>
            <w:shd w:fill="F7F9FC"/>
          </w:tcPr>
          <w:p>
            <w:r/>
            <w:r>
              <w:rPr>
                <w:rFonts w:ascii="Aptos" w:hAnsi="Aptos"/>
                <w:b w:val="0"/>
                <w:color w:val="1B2430"/>
                <w:sz w:val="16"/>
              </w:rPr>
              <w:t>Classification Service</w:t>
            </w:r>
          </w:p>
        </w:tc>
        <w:tc>
          <w:tcPr>
            <w:tcW w:type="dxa" w:w="3312"/>
            <w:vAlign w:val="center"/>
            <w:shd w:fill="F7F9FC"/>
          </w:tcPr>
          <w:p>
            <w:r/>
            <w:r>
              <w:rPr>
                <w:rFonts w:ascii="Aptos" w:hAnsi="Aptos"/>
                <w:b w:val="0"/>
                <w:color w:val="1B2430"/>
                <w:sz w:val="16"/>
              </w:rPr>
              <w:t>Classify dispute type and routing intent.</w:t>
            </w:r>
          </w:p>
        </w:tc>
        <w:tc>
          <w:tcPr>
            <w:tcW w:type="dxa" w:w="3312"/>
            <w:vAlign w:val="center"/>
            <w:shd w:fill="F7F9FC"/>
          </w:tcPr>
          <w:p>
            <w:r/>
            <w:r>
              <w:rPr>
                <w:rFonts w:ascii="Aptos" w:hAnsi="Aptos"/>
                <w:b w:val="0"/>
                <w:color w:val="1B2430"/>
                <w:sz w:val="16"/>
              </w:rPr>
              <w:t>Confidence threshold, taxonomy allowlist, deterministic validation, HITL fallback.</w:t>
            </w:r>
          </w:p>
        </w:tc>
      </w:tr>
      <w:tr>
        <w:tc>
          <w:tcPr>
            <w:tcW w:type="dxa" w:w="3312"/>
            <w:vAlign w:val="center"/>
          </w:tcPr>
          <w:p>
            <w:r/>
            <w:r>
              <w:rPr>
                <w:rFonts w:ascii="Aptos" w:hAnsi="Aptos"/>
                <w:b w:val="0"/>
                <w:color w:val="1B2430"/>
                <w:sz w:val="16"/>
              </w:rPr>
              <w:t>Evidence Analysis Service</w:t>
            </w:r>
          </w:p>
        </w:tc>
        <w:tc>
          <w:tcPr>
            <w:tcW w:type="dxa" w:w="3312"/>
            <w:vAlign w:val="center"/>
          </w:tcPr>
          <w:p>
            <w:r/>
            <w:r>
              <w:rPr>
                <w:rFonts w:ascii="Aptos" w:hAnsi="Aptos"/>
                <w:b w:val="0"/>
                <w:color w:val="1B2430"/>
                <w:sz w:val="16"/>
              </w:rPr>
              <w:t>Summarize/structure evidence and detect relevant facts.</w:t>
            </w:r>
          </w:p>
        </w:tc>
        <w:tc>
          <w:tcPr>
            <w:tcW w:type="dxa" w:w="3312"/>
            <w:vAlign w:val="center"/>
          </w:tcPr>
          <w:p>
            <w:r/>
            <w:r>
              <w:rPr>
                <w:rFonts w:ascii="Aptos" w:hAnsi="Aptos"/>
                <w:b w:val="0"/>
                <w:color w:val="1B2430"/>
                <w:sz w:val="16"/>
              </w:rPr>
              <w:t>Source grounding, evidence IDs, no fabrication, sensitive-data policy.</w:t>
            </w:r>
          </w:p>
        </w:tc>
      </w:tr>
      <w:tr>
        <w:tc>
          <w:tcPr>
            <w:tcW w:type="dxa" w:w="3312"/>
            <w:vAlign w:val="center"/>
            <w:shd w:fill="F7F9FC"/>
          </w:tcPr>
          <w:p>
            <w:r/>
            <w:r>
              <w:rPr>
                <w:rFonts w:ascii="Aptos" w:hAnsi="Aptos"/>
                <w:b w:val="0"/>
                <w:color w:val="1B2430"/>
                <w:sz w:val="16"/>
              </w:rPr>
              <w:t>Recommendation Service</w:t>
            </w:r>
          </w:p>
        </w:tc>
        <w:tc>
          <w:tcPr>
            <w:tcW w:type="dxa" w:w="3312"/>
            <w:vAlign w:val="center"/>
            <w:shd w:fill="F7F9FC"/>
          </w:tcPr>
          <w:p>
            <w:r/>
            <w:r>
              <w:rPr>
                <w:rFonts w:ascii="Aptos" w:hAnsi="Aptos"/>
                <w:b w:val="0"/>
                <w:color w:val="1B2430"/>
                <w:sz w:val="16"/>
              </w:rPr>
              <w:t>Generate explainable recommendation from approved context, policy and rule results.</w:t>
            </w:r>
          </w:p>
        </w:tc>
        <w:tc>
          <w:tcPr>
            <w:tcW w:type="dxa" w:w="3312"/>
            <w:vAlign w:val="center"/>
            <w:shd w:fill="F7F9FC"/>
          </w:tcPr>
          <w:p>
            <w:r/>
            <w:r>
              <w:rPr>
                <w:rFonts w:ascii="Aptos" w:hAnsi="Aptos"/>
                <w:b w:val="0"/>
                <w:color w:val="1B2430"/>
                <w:sz w:val="16"/>
              </w:rPr>
              <w:t>Must cite supporting context; cannot override deterministic rule outcome or human approval.</w:t>
            </w:r>
          </w:p>
        </w:tc>
      </w:tr>
      <w:tr>
        <w:tc>
          <w:tcPr>
            <w:tcW w:type="dxa" w:w="3312"/>
            <w:vAlign w:val="center"/>
          </w:tcPr>
          <w:p>
            <w:r/>
            <w:r>
              <w:rPr>
                <w:rFonts w:ascii="Aptos" w:hAnsi="Aptos"/>
                <w:b w:val="0"/>
                <w:color w:val="1B2430"/>
                <w:sz w:val="16"/>
              </w:rPr>
              <w:t>Communication Service</w:t>
            </w:r>
          </w:p>
        </w:tc>
        <w:tc>
          <w:tcPr>
            <w:tcW w:type="dxa" w:w="3312"/>
            <w:vAlign w:val="center"/>
          </w:tcPr>
          <w:p>
            <w:r/>
            <w:r>
              <w:rPr>
                <w:rFonts w:ascii="Aptos" w:hAnsi="Aptos"/>
                <w:b w:val="0"/>
                <w:color w:val="1B2430"/>
                <w:sz w:val="16"/>
              </w:rPr>
              <w:t>Draft customer/analyst communication from approved decision.</w:t>
            </w:r>
          </w:p>
        </w:tc>
        <w:tc>
          <w:tcPr>
            <w:tcW w:type="dxa" w:w="3312"/>
            <w:vAlign w:val="center"/>
          </w:tcPr>
          <w:p>
            <w:r/>
            <w:r>
              <w:rPr>
                <w:rFonts w:ascii="Aptos" w:hAnsi="Aptos"/>
                <w:b w:val="0"/>
                <w:color w:val="1B2430"/>
                <w:sz w:val="16"/>
              </w:rPr>
              <w:t>Approved templates/tones, PII validation, prohibited-content checks, human/governed approval.</w:t>
            </w:r>
          </w:p>
        </w:tc>
      </w:tr>
      <w:tr>
        <w:tc>
          <w:tcPr>
            <w:tcW w:type="dxa" w:w="3312"/>
            <w:vAlign w:val="center"/>
            <w:shd w:fill="F7F9FC"/>
          </w:tcPr>
          <w:p>
            <w:r/>
            <w:r>
              <w:rPr>
                <w:rFonts w:ascii="Aptos" w:hAnsi="Aptos"/>
                <w:b w:val="0"/>
                <w:color w:val="1B2430"/>
                <w:sz w:val="16"/>
              </w:rPr>
              <w:t>Model Gateway</w:t>
            </w:r>
          </w:p>
        </w:tc>
        <w:tc>
          <w:tcPr>
            <w:tcW w:type="dxa" w:w="3312"/>
            <w:vAlign w:val="center"/>
            <w:shd w:fill="F7F9FC"/>
          </w:tcPr>
          <w:p>
            <w:r/>
            <w:r>
              <w:rPr>
                <w:rFonts w:ascii="Aptos" w:hAnsi="Aptos"/>
                <w:b w:val="0"/>
                <w:color w:val="1B2430"/>
                <w:sz w:val="16"/>
              </w:rPr>
              <w:t>Central provider abstraction and policy enforcement.</w:t>
            </w:r>
          </w:p>
        </w:tc>
        <w:tc>
          <w:tcPr>
            <w:tcW w:type="dxa" w:w="3312"/>
            <w:vAlign w:val="center"/>
            <w:shd w:fill="F7F9FC"/>
          </w:tcPr>
          <w:p>
            <w:r/>
            <w:r>
              <w:rPr>
                <w:rFonts w:ascii="Aptos" w:hAnsi="Aptos"/>
                <w:b w:val="0"/>
                <w:color w:val="1B2430"/>
                <w:sz w:val="16"/>
              </w:rPr>
              <w:t>Routing, fallback, timeout, token management, prompt resolution, guardrails, response validation, telemetry, data classification.</w:t>
            </w:r>
          </w:p>
        </w:tc>
      </w:tr>
    </w:tbl>
    <w:p>
      <w:pPr>
        <w:spacing w:after="20"/>
      </w:pPr>
    </w:p>
    <w:tbl>
      <w:tblPr>
        <w:tblW w:type="auto" w:w="0"/>
        <w:jc w:val="center"/>
        <w:tblLook w:firstColumn="1" w:firstRow="1" w:lastColumn="0" w:lastRow="0" w:noHBand="0" w:noVBand="1" w:val="04A0"/>
      </w:tblPr>
      <w:tblGrid>
        <w:gridCol w:w="9936"/>
      </w:tblGrid>
      <w:tr>
        <w:tc>
          <w:tcPr>
            <w:tcW w:type="dxa" w:w="9936"/>
            <w:shd w:fill="EEF8F4"/>
            <w:tcBorders>
              <w:top w:val="single" w:sz="8" w:color="12733E"/>
              <w:left w:val="single" w:sz="8" w:color="12733E"/>
              <w:bottom w:val="single" w:sz="8" w:color="12733E"/>
              <w:right w:val="single" w:sz="8" w:color="12733E"/>
            </w:tcBorders>
          </w:tcPr>
          <w:p>
            <w:r>
              <w:rPr>
                <w:b/>
                <w:color w:val="12733E"/>
                <w:sz w:val="19"/>
              </w:rPr>
              <w:t xml:space="preserve">Key control  </w:t>
            </w:r>
            <w:r>
              <w:rPr>
                <w:sz w:val="18"/>
              </w:rPr>
              <w:t>No workflow node should call a model provider directly. All generative/embedding/reranking calls pass through the governed Model Gateway so provider, prompt, model, data policy, cost, and telemetry controls are consistently applied.</w:t>
            </w:r>
          </w:p>
        </w:tc>
      </w:tr>
    </w:tbl>
    <w:p>
      <w:pPr>
        <w:spacing w:after="20"/>
      </w:pPr>
    </w:p>
    <w:p>
      <w:pPr>
        <w:pStyle w:val="Heading2"/>
      </w:pPr>
      <w:r>
        <w:t>4.4 Deterministic and Controlled Services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0B1F5B"/>
          </w:tcPr>
          <w:p>
            <w:r/>
            <w:r>
              <w:rPr>
                <w:rFonts w:ascii="Aptos" w:hAnsi="Aptos"/>
                <w:b/>
                <w:color w:val="FFFFFF"/>
                <w:sz w:val="17"/>
              </w:rPr>
              <w:t>Service</w:t>
            </w:r>
          </w:p>
        </w:tc>
        <w:tc>
          <w:tcPr>
            <w:tcW w:type="dxa" w:w="4968"/>
            <w:vAlign w:val="center"/>
            <w:shd w:fill="0B1F5B"/>
          </w:tcPr>
          <w:p>
            <w:r/>
            <w:r>
              <w:rPr>
                <w:rFonts w:ascii="Aptos" w:hAnsi="Aptos"/>
                <w:b/>
                <w:color w:val="FFFFFF"/>
                <w:sz w:val="17"/>
              </w:rPr>
              <w:t>Ownership / Behavior</w:t>
            </w:r>
          </w:p>
        </w:tc>
      </w:tr>
      <w:tr>
        <w:tc>
          <w:tcPr>
            <w:tcW w:type="dxa" w:w="4968"/>
            <w:vAlign w:val="center"/>
            <w:shd w:fill="F7F9FC"/>
          </w:tcPr>
          <w:p>
            <w:r/>
            <w:r>
              <w:rPr>
                <w:rFonts w:ascii="Aptos" w:hAnsi="Aptos"/>
                <w:b w:val="0"/>
                <w:color w:val="1B2430"/>
                <w:sz w:val="16"/>
              </w:rPr>
              <w:t>Policy Eligibility &amp; Applicability Service</w:t>
            </w:r>
          </w:p>
        </w:tc>
        <w:tc>
          <w:tcPr>
            <w:tcW w:type="dxa" w:w="4968"/>
            <w:vAlign w:val="center"/>
            <w:shd w:fill="F7F9FC"/>
          </w:tcPr>
          <w:p>
            <w:r/>
            <w:r>
              <w:rPr>
                <w:rFonts w:ascii="Aptos" w:hAnsi="Aptos"/>
                <w:b w:val="0"/>
                <w:color w:val="1B2430"/>
                <w:sz w:val="16"/>
              </w:rPr>
              <w:t>Determines which policy families/jurisdictions/products/transaction types are applicable using authoritative metadata and versioned logic.</w:t>
            </w:r>
          </w:p>
        </w:tc>
      </w:tr>
      <w:tr>
        <w:tc>
          <w:tcPr>
            <w:tcW w:type="dxa" w:w="4968"/>
            <w:vAlign w:val="center"/>
          </w:tcPr>
          <w:p>
            <w:r/>
            <w:r>
              <w:rPr>
                <w:rFonts w:ascii="Aptos" w:hAnsi="Aptos"/>
                <w:b w:val="0"/>
                <w:color w:val="1B2430"/>
                <w:sz w:val="16"/>
              </w:rPr>
              <w:t>Evidence Completeness Service</w:t>
            </w:r>
          </w:p>
        </w:tc>
        <w:tc>
          <w:tcPr>
            <w:tcW w:type="dxa" w:w="4968"/>
            <w:vAlign w:val="center"/>
          </w:tcPr>
          <w:p>
            <w:r/>
            <w:r>
              <w:rPr>
                <w:rFonts w:ascii="Aptos" w:hAnsi="Aptos"/>
                <w:b w:val="0"/>
                <w:color w:val="1B2430"/>
                <w:sz w:val="16"/>
              </w:rPr>
              <w:t>Evaluates required evidence by dispute type and returns missing/optional/invalid evidence with reason codes.</w:t>
            </w:r>
          </w:p>
        </w:tc>
      </w:tr>
      <w:tr>
        <w:tc>
          <w:tcPr>
            <w:tcW w:type="dxa" w:w="4968"/>
            <w:vAlign w:val="center"/>
            <w:shd w:fill="F7F9FC"/>
          </w:tcPr>
          <w:p>
            <w:r/>
            <w:r>
              <w:rPr>
                <w:rFonts w:ascii="Aptos" w:hAnsi="Aptos"/>
                <w:b w:val="0"/>
                <w:color w:val="1B2430"/>
                <w:sz w:val="16"/>
              </w:rPr>
              <w:t>Rules Engine</w:t>
            </w:r>
          </w:p>
        </w:tc>
        <w:tc>
          <w:tcPr>
            <w:tcW w:type="dxa" w:w="4968"/>
            <w:vAlign w:val="center"/>
            <w:shd w:fill="F7F9FC"/>
          </w:tcPr>
          <w:p>
            <w:r/>
            <w:r>
              <w:rPr>
                <w:rFonts w:ascii="Aptos" w:hAnsi="Aptos"/>
                <w:b w:val="0"/>
                <w:color w:val="1B2430"/>
                <w:sz w:val="16"/>
              </w:rPr>
              <w:t>Executes versioned deterministic decision rules; records rule_id, version, effective_from/effective_to, parameters and policy_reference.</w:t>
            </w:r>
          </w:p>
        </w:tc>
      </w:tr>
      <w:tr>
        <w:tc>
          <w:tcPr>
            <w:tcW w:type="dxa" w:w="4968"/>
            <w:vAlign w:val="center"/>
          </w:tcPr>
          <w:p>
            <w:r/>
            <w:r>
              <w:rPr>
                <w:rFonts w:ascii="Aptos" w:hAnsi="Aptos"/>
                <w:b w:val="0"/>
                <w:color w:val="1B2430"/>
                <w:sz w:val="16"/>
              </w:rPr>
              <w:t>Case Confidence &amp; Escalation Service</w:t>
            </w:r>
          </w:p>
        </w:tc>
        <w:tc>
          <w:tcPr>
            <w:tcW w:type="dxa" w:w="4968"/>
            <w:vAlign w:val="center"/>
          </w:tcPr>
          <w:p>
            <w:r/>
            <w:r>
              <w:rPr>
                <w:rFonts w:ascii="Aptos" w:hAnsi="Aptos"/>
                <w:b w:val="0"/>
                <w:color w:val="1B2430"/>
                <w:sz w:val="16"/>
              </w:rPr>
              <w:t>Combines governed signals into an explainable score/decision; enforces escalation thresholds.</w:t>
            </w:r>
          </w:p>
        </w:tc>
      </w:tr>
      <w:tr>
        <w:tc>
          <w:tcPr>
            <w:tcW w:type="dxa" w:w="4968"/>
            <w:vAlign w:val="center"/>
            <w:shd w:fill="F7F9FC"/>
          </w:tcPr>
          <w:p>
            <w:r/>
            <w:r>
              <w:rPr>
                <w:rFonts w:ascii="Aptos" w:hAnsi="Aptos"/>
                <w:b w:val="0"/>
                <w:color w:val="1B2430"/>
                <w:sz w:val="16"/>
              </w:rPr>
              <w:t>Idempotency Validation Service</w:t>
            </w:r>
          </w:p>
        </w:tc>
        <w:tc>
          <w:tcPr>
            <w:tcW w:type="dxa" w:w="4968"/>
            <w:vAlign w:val="center"/>
            <w:shd w:fill="F7F9FC"/>
          </w:tcPr>
          <w:p>
            <w:r/>
            <w:r>
              <w:rPr>
                <w:rFonts w:ascii="Aptos" w:hAnsi="Aptos"/>
                <w:b w:val="0"/>
                <w:color w:val="1B2430"/>
                <w:sz w:val="16"/>
              </w:rPr>
              <w:t>Prevents duplicate mutations and repeated external side effects across retries/resumes.</w:t>
            </w:r>
          </w:p>
        </w:tc>
      </w:tr>
    </w:tbl>
    <w:p>
      <w:pPr>
        <w:spacing w:after="20"/>
      </w:pPr>
    </w:p>
    <w:p>
      <w:pPr>
        <w:pStyle w:val="Heading2"/>
      </w:pPr>
      <w:r>
        <w:t>4.5 Authoritative Data and Tool Adapters</w:t>
      </w:r>
    </w:p>
    <w:p>
      <w:r>
        <w:t>Provider adapters isolate external-system variability from the workflow. They are read-only by default for investigation context. Any mutation-capable integration should be separately authorized, idempotent, audited, and explicitly approved.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0B1F5B"/>
          </w:tcPr>
          <w:p>
            <w:r/>
            <w:r>
              <w:rPr>
                <w:rFonts w:ascii="Aptos" w:hAnsi="Aptos"/>
                <w:b/>
                <w:color w:val="FFFFFF"/>
                <w:sz w:val="17"/>
              </w:rPr>
              <w:t>Provider</w:t>
            </w:r>
          </w:p>
        </w:tc>
        <w:tc>
          <w:tcPr>
            <w:tcW w:type="dxa" w:w="3312"/>
            <w:vAlign w:val="center"/>
            <w:shd w:fill="0B1F5B"/>
          </w:tcPr>
          <w:p>
            <w:r/>
            <w:r>
              <w:rPr>
                <w:rFonts w:ascii="Aptos" w:hAnsi="Aptos"/>
                <w:b/>
                <w:color w:val="FFFFFF"/>
                <w:sz w:val="17"/>
              </w:rPr>
              <w:t>Typical Data</w:t>
            </w:r>
          </w:p>
        </w:tc>
        <w:tc>
          <w:tcPr>
            <w:tcW w:type="dxa" w:w="3312"/>
            <w:vAlign w:val="center"/>
            <w:shd w:fill="0B1F5B"/>
          </w:tcPr>
          <w:p>
            <w:r/>
            <w:r>
              <w:rPr>
                <w:rFonts w:ascii="Aptos" w:hAnsi="Aptos"/>
                <w:b/>
                <w:color w:val="FFFFFF"/>
                <w:sz w:val="17"/>
              </w:rPr>
              <w:t>Adapter Requirements</w:t>
            </w:r>
          </w:p>
        </w:tc>
      </w:tr>
      <w:tr>
        <w:tc>
          <w:tcPr>
            <w:tcW w:type="dxa" w:w="3312"/>
            <w:vAlign w:val="center"/>
            <w:shd w:fill="F7F9FC"/>
          </w:tcPr>
          <w:p>
            <w:r/>
            <w:r>
              <w:rPr>
                <w:rFonts w:ascii="Aptos" w:hAnsi="Aptos"/>
                <w:b w:val="0"/>
                <w:color w:val="1B2430"/>
                <w:sz w:val="16"/>
              </w:rPr>
              <w:t>Customer Provider</w:t>
            </w:r>
          </w:p>
        </w:tc>
        <w:tc>
          <w:tcPr>
            <w:tcW w:type="dxa" w:w="3312"/>
            <w:vAlign w:val="center"/>
            <w:shd w:fill="F7F9FC"/>
          </w:tcPr>
          <w:p>
            <w:r/>
            <w:r>
              <w:rPr>
                <w:rFonts w:ascii="Aptos" w:hAnsi="Aptos"/>
                <w:b w:val="0"/>
                <w:color w:val="1B2430"/>
                <w:sz w:val="16"/>
              </w:rPr>
              <w:t>Identity/profile/customer relationship attributes.</w:t>
            </w:r>
          </w:p>
        </w:tc>
        <w:tc>
          <w:tcPr>
            <w:tcW w:type="dxa" w:w="3312"/>
            <w:vAlign w:val="center"/>
            <w:shd w:fill="F7F9FC"/>
          </w:tcPr>
          <w:p>
            <w:r/>
            <w:r>
              <w:rPr>
                <w:rFonts w:ascii="Aptos" w:hAnsi="Aptos"/>
                <w:b w:val="0"/>
                <w:color w:val="1B2430"/>
                <w:sz w:val="16"/>
              </w:rPr>
              <w:t>Read-only, least privilege, masking, source timestamp.</w:t>
            </w:r>
          </w:p>
        </w:tc>
      </w:tr>
      <w:tr>
        <w:tc>
          <w:tcPr>
            <w:tcW w:type="dxa" w:w="3312"/>
            <w:vAlign w:val="center"/>
          </w:tcPr>
          <w:p>
            <w:r/>
            <w:r>
              <w:rPr>
                <w:rFonts w:ascii="Aptos" w:hAnsi="Aptos"/>
                <w:b w:val="0"/>
                <w:color w:val="1B2430"/>
                <w:sz w:val="16"/>
              </w:rPr>
              <w:t>Account Provider</w:t>
            </w:r>
          </w:p>
        </w:tc>
        <w:tc>
          <w:tcPr>
            <w:tcW w:type="dxa" w:w="3312"/>
            <w:vAlign w:val="center"/>
          </w:tcPr>
          <w:p>
            <w:r/>
            <w:r>
              <w:rPr>
                <w:rFonts w:ascii="Aptos" w:hAnsi="Aptos"/>
                <w:b w:val="0"/>
                <w:color w:val="1B2430"/>
                <w:sz w:val="16"/>
              </w:rPr>
              <w:t>Account status/product/ownership attributes.</w:t>
            </w:r>
          </w:p>
        </w:tc>
        <w:tc>
          <w:tcPr>
            <w:tcW w:type="dxa" w:w="3312"/>
            <w:vAlign w:val="center"/>
          </w:tcPr>
          <w:p>
            <w:r/>
            <w:r>
              <w:rPr>
                <w:rFonts w:ascii="Aptos" w:hAnsi="Aptos"/>
                <w:b w:val="0"/>
                <w:color w:val="1B2430"/>
                <w:sz w:val="16"/>
              </w:rPr>
              <w:t>Read-only, consistency checks, source lineage.</w:t>
            </w:r>
          </w:p>
        </w:tc>
      </w:tr>
      <w:tr>
        <w:tc>
          <w:tcPr>
            <w:tcW w:type="dxa" w:w="3312"/>
            <w:vAlign w:val="center"/>
            <w:shd w:fill="F7F9FC"/>
          </w:tcPr>
          <w:p>
            <w:r/>
            <w:r>
              <w:rPr>
                <w:rFonts w:ascii="Aptos" w:hAnsi="Aptos"/>
                <w:b w:val="0"/>
                <w:color w:val="1B2430"/>
                <w:sz w:val="16"/>
              </w:rPr>
              <w:t>Transaction Provider</w:t>
            </w:r>
          </w:p>
        </w:tc>
        <w:tc>
          <w:tcPr>
            <w:tcW w:type="dxa" w:w="3312"/>
            <w:vAlign w:val="center"/>
            <w:shd w:fill="F7F9FC"/>
          </w:tcPr>
          <w:p>
            <w:r/>
            <w:r>
              <w:rPr>
                <w:rFonts w:ascii="Aptos" w:hAnsi="Aptos"/>
                <w:b w:val="0"/>
                <w:color w:val="1B2430"/>
                <w:sz w:val="16"/>
              </w:rPr>
              <w:t>Transaction details, channel, amount, timestamps, identifiers.</w:t>
            </w:r>
          </w:p>
        </w:tc>
        <w:tc>
          <w:tcPr>
            <w:tcW w:type="dxa" w:w="3312"/>
            <w:vAlign w:val="center"/>
            <w:shd w:fill="F7F9FC"/>
          </w:tcPr>
          <w:p>
            <w:r/>
            <w:r>
              <w:rPr>
                <w:rFonts w:ascii="Aptos" w:hAnsi="Aptos"/>
                <w:b w:val="0"/>
                <w:color w:val="1B2430"/>
                <w:sz w:val="16"/>
              </w:rPr>
              <w:t>Stable transaction key, duplicate handling, source timestamp.</w:t>
            </w:r>
          </w:p>
        </w:tc>
      </w:tr>
      <w:tr>
        <w:tc>
          <w:tcPr>
            <w:tcW w:type="dxa" w:w="3312"/>
            <w:vAlign w:val="center"/>
          </w:tcPr>
          <w:p>
            <w:r/>
            <w:r>
              <w:rPr>
                <w:rFonts w:ascii="Aptos" w:hAnsi="Aptos"/>
                <w:b w:val="0"/>
                <w:color w:val="1B2430"/>
                <w:sz w:val="16"/>
              </w:rPr>
              <w:t>Settlement Provider</w:t>
            </w:r>
          </w:p>
        </w:tc>
        <w:tc>
          <w:tcPr>
            <w:tcW w:type="dxa" w:w="3312"/>
            <w:vAlign w:val="center"/>
          </w:tcPr>
          <w:p>
            <w:r/>
            <w:r>
              <w:rPr>
                <w:rFonts w:ascii="Aptos" w:hAnsi="Aptos"/>
                <w:b w:val="0"/>
                <w:color w:val="1B2430"/>
                <w:sz w:val="16"/>
              </w:rPr>
              <w:t>Settlement/clearing status and references.</w:t>
            </w:r>
          </w:p>
        </w:tc>
        <w:tc>
          <w:tcPr>
            <w:tcW w:type="dxa" w:w="3312"/>
            <w:vAlign w:val="center"/>
          </w:tcPr>
          <w:p>
            <w:r/>
            <w:r>
              <w:rPr>
                <w:rFonts w:ascii="Aptos" w:hAnsi="Aptos"/>
                <w:b w:val="0"/>
                <w:color w:val="1B2430"/>
                <w:sz w:val="16"/>
              </w:rPr>
              <w:t>Retry + timeout + stale-data handling.</w:t>
            </w:r>
          </w:p>
        </w:tc>
      </w:tr>
      <w:tr>
        <w:tc>
          <w:tcPr>
            <w:tcW w:type="dxa" w:w="3312"/>
            <w:vAlign w:val="center"/>
            <w:shd w:fill="F7F9FC"/>
          </w:tcPr>
          <w:p>
            <w:r/>
            <w:r>
              <w:rPr>
                <w:rFonts w:ascii="Aptos" w:hAnsi="Aptos"/>
                <w:b w:val="0"/>
                <w:color w:val="1B2430"/>
                <w:sz w:val="16"/>
              </w:rPr>
              <w:t>Merchant Provider</w:t>
            </w:r>
          </w:p>
        </w:tc>
        <w:tc>
          <w:tcPr>
            <w:tcW w:type="dxa" w:w="3312"/>
            <w:vAlign w:val="center"/>
            <w:shd w:fill="F7F9FC"/>
          </w:tcPr>
          <w:p>
            <w:r/>
            <w:r>
              <w:rPr>
                <w:rFonts w:ascii="Aptos" w:hAnsi="Aptos"/>
                <w:b w:val="0"/>
                <w:color w:val="1B2430"/>
                <w:sz w:val="16"/>
              </w:rPr>
              <w:t>Merchant identity/category/location/context.</w:t>
            </w:r>
          </w:p>
        </w:tc>
        <w:tc>
          <w:tcPr>
            <w:tcW w:type="dxa" w:w="3312"/>
            <w:vAlign w:val="center"/>
            <w:shd w:fill="F7F9FC"/>
          </w:tcPr>
          <w:p>
            <w:r/>
            <w:r>
              <w:rPr>
                <w:rFonts w:ascii="Aptos" w:hAnsi="Aptos"/>
                <w:b w:val="0"/>
                <w:color w:val="1B2430"/>
                <w:sz w:val="16"/>
              </w:rPr>
              <w:t>Normalize provider-specific codes.</w:t>
            </w:r>
          </w:p>
        </w:tc>
      </w:tr>
      <w:tr>
        <w:tc>
          <w:tcPr>
            <w:tcW w:type="dxa" w:w="3312"/>
            <w:vAlign w:val="center"/>
          </w:tcPr>
          <w:p>
            <w:r/>
            <w:r>
              <w:rPr>
                <w:rFonts w:ascii="Aptos" w:hAnsi="Aptos"/>
                <w:b w:val="0"/>
                <w:color w:val="1B2430"/>
                <w:sz w:val="16"/>
              </w:rPr>
              <w:t>Refund Provider</w:t>
            </w:r>
          </w:p>
        </w:tc>
        <w:tc>
          <w:tcPr>
            <w:tcW w:type="dxa" w:w="3312"/>
            <w:vAlign w:val="center"/>
          </w:tcPr>
          <w:p>
            <w:r/>
            <w:r>
              <w:rPr>
                <w:rFonts w:ascii="Aptos" w:hAnsi="Aptos"/>
                <w:b w:val="0"/>
                <w:color w:val="1B2430"/>
                <w:sz w:val="16"/>
              </w:rPr>
              <w:t>Refund status/amount/date/reference.</w:t>
            </w:r>
          </w:p>
        </w:tc>
        <w:tc>
          <w:tcPr>
            <w:tcW w:type="dxa" w:w="3312"/>
            <w:vAlign w:val="center"/>
          </w:tcPr>
          <w:p>
            <w:r/>
            <w:r>
              <w:rPr>
                <w:rFonts w:ascii="Aptos" w:hAnsi="Aptos"/>
                <w:b w:val="0"/>
                <w:color w:val="1B2430"/>
                <w:sz w:val="16"/>
              </w:rPr>
              <w:t>Detect pending/partial/complete states.</w:t>
            </w:r>
          </w:p>
        </w:tc>
      </w:tr>
    </w:tbl>
    <w:p>
      <w:pPr>
        <w:spacing w:after="20"/>
      </w:pPr>
    </w:p>
    <w:p>
      <w:pPr>
        <w:pStyle w:val="Heading2"/>
      </w:pPr>
      <w:r>
        <w:t>4.6 Platform Services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0B1F5B"/>
          </w:tcPr>
          <w:p>
            <w:r/>
            <w:r>
              <w:rPr>
                <w:rFonts w:ascii="Aptos" w:hAnsi="Aptos"/>
                <w:b/>
                <w:color w:val="FFFFFF"/>
                <w:sz w:val="17"/>
              </w:rPr>
              <w:t>Service</w:t>
            </w:r>
          </w:p>
        </w:tc>
        <w:tc>
          <w:tcPr>
            <w:tcW w:type="dxa" w:w="4968"/>
            <w:vAlign w:val="center"/>
            <w:shd w:fill="0B1F5B"/>
          </w:tcPr>
          <w:p>
            <w:r/>
            <w:r>
              <w:rPr>
                <w:rFonts w:ascii="Aptos" w:hAnsi="Aptos"/>
                <w:b/>
                <w:color w:val="FFFFFF"/>
                <w:sz w:val="17"/>
              </w:rPr>
              <w:t>Role</w:t>
            </w:r>
          </w:p>
        </w:tc>
      </w:tr>
      <w:tr>
        <w:tc>
          <w:tcPr>
            <w:tcW w:type="dxa" w:w="4968"/>
            <w:vAlign w:val="center"/>
            <w:shd w:fill="F7F9FC"/>
          </w:tcPr>
          <w:p>
            <w:r/>
            <w:r>
              <w:rPr>
                <w:rFonts w:ascii="Aptos" w:hAnsi="Aptos"/>
                <w:b w:val="0"/>
                <w:color w:val="1B2430"/>
                <w:sz w:val="16"/>
              </w:rPr>
              <w:t>Audit Event Service</w:t>
            </w:r>
          </w:p>
        </w:tc>
        <w:tc>
          <w:tcPr>
            <w:tcW w:type="dxa" w:w="4968"/>
            <w:vAlign w:val="center"/>
            <w:shd w:fill="F7F9FC"/>
          </w:tcPr>
          <w:p>
            <w:r/>
            <w:r>
              <w:rPr>
                <w:rFonts w:ascii="Aptos" w:hAnsi="Aptos"/>
                <w:b w:val="0"/>
                <w:color w:val="1B2430"/>
                <w:sz w:val="16"/>
              </w:rPr>
              <w:t>Append-only capture of workflow, user, model, rule, adapter and control events.</w:t>
            </w:r>
          </w:p>
        </w:tc>
      </w:tr>
      <w:tr>
        <w:tc>
          <w:tcPr>
            <w:tcW w:type="dxa" w:w="4968"/>
            <w:vAlign w:val="center"/>
          </w:tcPr>
          <w:p>
            <w:r/>
            <w:r>
              <w:rPr>
                <w:rFonts w:ascii="Aptos" w:hAnsi="Aptos"/>
                <w:b w:val="0"/>
                <w:color w:val="1B2430"/>
                <w:sz w:val="16"/>
              </w:rPr>
              <w:t>Notification Service</w:t>
            </w:r>
          </w:p>
        </w:tc>
        <w:tc>
          <w:tcPr>
            <w:tcW w:type="dxa" w:w="4968"/>
            <w:vAlign w:val="center"/>
          </w:tcPr>
          <w:p>
            <w:r/>
            <w:r>
              <w:rPr>
                <w:rFonts w:ascii="Aptos" w:hAnsi="Aptos"/>
                <w:b w:val="0"/>
                <w:color w:val="1B2430"/>
                <w:sz w:val="16"/>
              </w:rPr>
              <w:t>Customer/analyst notifications with delivery status and retry controls.</w:t>
            </w:r>
          </w:p>
        </w:tc>
      </w:tr>
      <w:tr>
        <w:tc>
          <w:tcPr>
            <w:tcW w:type="dxa" w:w="4968"/>
            <w:vAlign w:val="center"/>
            <w:shd w:fill="F7F9FC"/>
          </w:tcPr>
          <w:p>
            <w:r/>
            <w:r>
              <w:rPr>
                <w:rFonts w:ascii="Aptos" w:hAnsi="Aptos"/>
                <w:b w:val="0"/>
                <w:color w:val="1B2430"/>
                <w:sz w:val="16"/>
              </w:rPr>
              <w:t>Task &amp; Case Service</w:t>
            </w:r>
          </w:p>
        </w:tc>
        <w:tc>
          <w:tcPr>
            <w:tcW w:type="dxa" w:w="4968"/>
            <w:vAlign w:val="center"/>
            <w:shd w:fill="F7F9FC"/>
          </w:tcPr>
          <w:p>
            <w:r/>
            <w:r>
              <w:rPr>
                <w:rFonts w:ascii="Aptos" w:hAnsi="Aptos"/>
                <w:b w:val="0"/>
                <w:color w:val="1B2430"/>
                <w:sz w:val="16"/>
              </w:rPr>
              <w:t>Creates HITL work items, assignments, SLAs and case tasks.</w:t>
            </w:r>
          </w:p>
        </w:tc>
      </w:tr>
      <w:tr>
        <w:tc>
          <w:tcPr>
            <w:tcW w:type="dxa" w:w="4968"/>
            <w:vAlign w:val="center"/>
          </w:tcPr>
          <w:p>
            <w:r/>
            <w:r>
              <w:rPr>
                <w:rFonts w:ascii="Aptos" w:hAnsi="Aptos"/>
                <w:b w:val="0"/>
                <w:color w:val="1B2430"/>
                <w:sz w:val="16"/>
              </w:rPr>
              <w:t>Evidence Service</w:t>
            </w:r>
          </w:p>
        </w:tc>
        <w:tc>
          <w:tcPr>
            <w:tcW w:type="dxa" w:w="4968"/>
            <w:vAlign w:val="center"/>
          </w:tcPr>
          <w:p>
            <w:r/>
            <w:r>
              <w:rPr>
                <w:rFonts w:ascii="Aptos" w:hAnsi="Aptos"/>
                <w:b w:val="0"/>
                <w:color w:val="1B2430"/>
                <w:sz w:val="16"/>
              </w:rPr>
              <w:t>Metadata, evidence references, validation status, retrieval and retention hooks.</w:t>
            </w:r>
          </w:p>
        </w:tc>
      </w:tr>
      <w:tr>
        <w:tc>
          <w:tcPr>
            <w:tcW w:type="dxa" w:w="4968"/>
            <w:vAlign w:val="center"/>
            <w:shd w:fill="F7F9FC"/>
          </w:tcPr>
          <w:p>
            <w:r/>
            <w:r>
              <w:rPr>
                <w:rFonts w:ascii="Aptos" w:hAnsi="Aptos"/>
                <w:b w:val="0"/>
                <w:color w:val="1B2430"/>
                <w:sz w:val="16"/>
              </w:rPr>
              <w:t>Search Service</w:t>
            </w:r>
          </w:p>
        </w:tc>
        <w:tc>
          <w:tcPr>
            <w:tcW w:type="dxa" w:w="4968"/>
            <w:vAlign w:val="center"/>
            <w:shd w:fill="F7F9FC"/>
          </w:tcPr>
          <w:p>
            <w:r/>
            <w:r>
              <w:rPr>
                <w:rFonts w:ascii="Aptos" w:hAnsi="Aptos"/>
                <w:b w:val="0"/>
                <w:color w:val="1B2430"/>
                <w:sz w:val="16"/>
              </w:rPr>
              <w:t>Authorized search over cases/evidence/policy metadata as appropriate.</w:t>
            </w:r>
          </w:p>
        </w:tc>
      </w:tr>
    </w:tbl>
    <w:p>
      <w:pPr>
        <w:spacing w:after="20"/>
      </w:pPr>
    </w:p>
    <w:p>
      <w:bookmarkStart w:id="304" w:name="H_5__Data_and_State_Architecture"/>
      <w:pPr>
        <w:pStyle w:val="Heading1"/>
      </w:pPr>
      <w:r>
        <w:t>5. Data and State Architecture</w:t>
      </w:r>
      <w:bookmarkEnd w:id="304"/>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0B1F5B"/>
          </w:tcPr>
          <w:p>
            <w:r/>
            <w:r>
              <w:rPr>
                <w:rFonts w:ascii="Aptos" w:hAnsi="Aptos"/>
                <w:b/>
                <w:color w:val="FFFFFF"/>
                <w:sz w:val="17"/>
              </w:rPr>
              <w:t>Store</w:t>
            </w:r>
          </w:p>
        </w:tc>
        <w:tc>
          <w:tcPr>
            <w:tcW w:type="dxa" w:w="1987"/>
            <w:vAlign w:val="center"/>
            <w:shd w:fill="0B1F5B"/>
          </w:tcPr>
          <w:p>
            <w:r/>
            <w:r>
              <w:rPr>
                <w:rFonts w:ascii="Aptos" w:hAnsi="Aptos"/>
                <w:b/>
                <w:color w:val="FFFFFF"/>
                <w:sz w:val="17"/>
              </w:rPr>
              <w:t>Technology (diagram)</w:t>
            </w:r>
          </w:p>
        </w:tc>
        <w:tc>
          <w:tcPr>
            <w:tcW w:type="dxa" w:w="1987"/>
            <w:vAlign w:val="center"/>
            <w:shd w:fill="0B1F5B"/>
          </w:tcPr>
          <w:p>
            <w:r/>
            <w:r>
              <w:rPr>
                <w:rFonts w:ascii="Aptos" w:hAnsi="Aptos"/>
                <w:b/>
                <w:color w:val="FFFFFF"/>
                <w:sz w:val="17"/>
              </w:rPr>
              <w:t>Authority</w:t>
            </w:r>
          </w:p>
        </w:tc>
        <w:tc>
          <w:tcPr>
            <w:tcW w:type="dxa" w:w="1987"/>
            <w:vAlign w:val="center"/>
            <w:shd w:fill="0B1F5B"/>
          </w:tcPr>
          <w:p>
            <w:r/>
            <w:r>
              <w:rPr>
                <w:rFonts w:ascii="Aptos" w:hAnsi="Aptos"/>
                <w:b/>
                <w:color w:val="FFFFFF"/>
                <w:sz w:val="17"/>
              </w:rPr>
              <w:t>Primary Contents</w:t>
            </w:r>
          </w:p>
        </w:tc>
        <w:tc>
          <w:tcPr>
            <w:tcW w:type="dxa" w:w="1987"/>
            <w:vAlign w:val="center"/>
            <w:shd w:fill="0B1F5B"/>
          </w:tcPr>
          <w:p>
            <w:r/>
            <w:r>
              <w:rPr>
                <w:rFonts w:ascii="Aptos" w:hAnsi="Aptos"/>
                <w:b/>
                <w:color w:val="FFFFFF"/>
                <w:sz w:val="17"/>
              </w:rPr>
              <w:t>Key Design Rules</w:t>
            </w:r>
          </w:p>
        </w:tc>
      </w:tr>
      <w:tr>
        <w:tc>
          <w:tcPr>
            <w:tcW w:type="dxa" w:w="1987"/>
            <w:vAlign w:val="center"/>
            <w:shd w:fill="F7F9FC"/>
          </w:tcPr>
          <w:p>
            <w:r/>
            <w:r>
              <w:rPr>
                <w:rFonts w:ascii="Aptos" w:hAnsi="Aptos"/>
                <w:b w:val="0"/>
                <w:color w:val="1B2430"/>
                <w:sz w:val="16"/>
              </w:rPr>
              <w:t>Business State</w:t>
            </w:r>
          </w:p>
        </w:tc>
        <w:tc>
          <w:tcPr>
            <w:tcW w:type="dxa" w:w="1987"/>
            <w:vAlign w:val="center"/>
            <w:shd w:fill="F7F9FC"/>
          </w:tcPr>
          <w:p>
            <w:r/>
            <w:r>
              <w:rPr>
                <w:rFonts w:ascii="Aptos" w:hAnsi="Aptos"/>
                <w:b w:val="0"/>
                <w:color w:val="1B2430"/>
                <w:sz w:val="16"/>
              </w:rPr>
              <w:t>PostgreSQL Operational DB</w:t>
            </w:r>
          </w:p>
        </w:tc>
        <w:tc>
          <w:tcPr>
            <w:tcW w:type="dxa" w:w="1987"/>
            <w:vAlign w:val="center"/>
            <w:shd w:fill="F7F9FC"/>
          </w:tcPr>
          <w:p>
            <w:r/>
            <w:r>
              <w:rPr>
                <w:rFonts w:ascii="Aptos" w:hAnsi="Aptos"/>
                <w:b w:val="0"/>
                <w:color w:val="1B2430"/>
                <w:sz w:val="16"/>
              </w:rPr>
              <w:t>Business system of record</w:t>
            </w:r>
          </w:p>
        </w:tc>
        <w:tc>
          <w:tcPr>
            <w:tcW w:type="dxa" w:w="1987"/>
            <w:vAlign w:val="center"/>
            <w:shd w:fill="F7F9FC"/>
          </w:tcPr>
          <w:p>
            <w:r/>
            <w:r>
              <w:rPr>
                <w:rFonts w:ascii="Aptos" w:hAnsi="Aptos"/>
                <w:b w:val="0"/>
                <w:color w:val="1B2430"/>
                <w:sz w:val="16"/>
              </w:rPr>
              <w:t>Case, customer refs, evidence refs/status, decisions, communication records.</w:t>
            </w:r>
          </w:p>
        </w:tc>
        <w:tc>
          <w:tcPr>
            <w:tcW w:type="dxa" w:w="1987"/>
            <w:vAlign w:val="center"/>
            <w:shd w:fill="F7F9FC"/>
          </w:tcPr>
          <w:p>
            <w:r/>
            <w:r>
              <w:rPr>
                <w:rFonts w:ascii="Aptos" w:hAnsi="Aptos"/>
                <w:b w:val="0"/>
                <w:color w:val="1B2430"/>
                <w:sz w:val="16"/>
              </w:rPr>
              <w:t>Transactional consistency; normalized identifiers; PII minimization; retention policy.</w:t>
            </w:r>
          </w:p>
        </w:tc>
      </w:tr>
      <w:tr>
        <w:tc>
          <w:tcPr>
            <w:tcW w:type="dxa" w:w="1987"/>
            <w:vAlign w:val="center"/>
          </w:tcPr>
          <w:p>
            <w:r/>
            <w:r>
              <w:rPr>
                <w:rFonts w:ascii="Aptos" w:hAnsi="Aptos"/>
                <w:b w:val="0"/>
                <w:color w:val="1B2430"/>
                <w:sz w:val="16"/>
              </w:rPr>
              <w:t>Workflow State</w:t>
            </w:r>
          </w:p>
        </w:tc>
        <w:tc>
          <w:tcPr>
            <w:tcW w:type="dxa" w:w="1987"/>
            <w:vAlign w:val="center"/>
          </w:tcPr>
          <w:p>
            <w:r/>
            <w:r>
              <w:rPr>
                <w:rFonts w:ascii="Aptos" w:hAnsi="Aptos"/>
                <w:b w:val="0"/>
                <w:color w:val="1B2430"/>
                <w:sz w:val="16"/>
              </w:rPr>
              <w:t>PostgreSQL LangGraph Checkpoint Store</w:t>
            </w:r>
          </w:p>
        </w:tc>
        <w:tc>
          <w:tcPr>
            <w:tcW w:type="dxa" w:w="1987"/>
            <w:vAlign w:val="center"/>
          </w:tcPr>
          <w:p>
            <w:r/>
            <w:r>
              <w:rPr>
                <w:rFonts w:ascii="Aptos" w:hAnsi="Aptos"/>
                <w:b w:val="0"/>
                <w:color w:val="1B2430"/>
                <w:sz w:val="16"/>
              </w:rPr>
              <w:t>Workflow execution state</w:t>
            </w:r>
          </w:p>
        </w:tc>
        <w:tc>
          <w:tcPr>
            <w:tcW w:type="dxa" w:w="1987"/>
            <w:vAlign w:val="center"/>
          </w:tcPr>
          <w:p>
            <w:r/>
            <w:r>
              <w:rPr>
                <w:rFonts w:ascii="Aptos" w:hAnsi="Aptos"/>
                <w:b w:val="0"/>
                <w:color w:val="1B2430"/>
                <w:sz w:val="16"/>
              </w:rPr>
              <w:t>Graph state, checkpoints, interrupts, node outputs/references.</w:t>
            </w:r>
          </w:p>
        </w:tc>
        <w:tc>
          <w:tcPr>
            <w:tcW w:type="dxa" w:w="1987"/>
            <w:vAlign w:val="center"/>
          </w:tcPr>
          <w:p>
            <w:r/>
            <w:r>
              <w:rPr>
                <w:rFonts w:ascii="Aptos" w:hAnsi="Aptos"/>
                <w:b w:val="0"/>
                <w:color w:val="1B2430"/>
                <w:sz w:val="16"/>
              </w:rPr>
              <w:t>Checkpoint at side-effect boundaries; resumable execution; no unnecessary raw PII.</w:t>
            </w:r>
          </w:p>
        </w:tc>
      </w:tr>
      <w:tr>
        <w:tc>
          <w:tcPr>
            <w:tcW w:type="dxa" w:w="1987"/>
            <w:vAlign w:val="center"/>
            <w:shd w:fill="F7F9FC"/>
          </w:tcPr>
          <w:p>
            <w:r/>
            <w:r>
              <w:rPr>
                <w:rFonts w:ascii="Aptos" w:hAnsi="Aptos"/>
                <w:b w:val="0"/>
                <w:color w:val="1B2430"/>
                <w:sz w:val="16"/>
              </w:rPr>
              <w:t>Policy Knowledge</w:t>
            </w:r>
          </w:p>
        </w:tc>
        <w:tc>
          <w:tcPr>
            <w:tcW w:type="dxa" w:w="1987"/>
            <w:vAlign w:val="center"/>
            <w:shd w:fill="F7F9FC"/>
          </w:tcPr>
          <w:p>
            <w:r/>
            <w:r>
              <w:rPr>
                <w:rFonts w:ascii="Aptos" w:hAnsi="Aptos"/>
                <w:b w:val="0"/>
                <w:color w:val="1B2430"/>
                <w:sz w:val="16"/>
              </w:rPr>
              <w:t>pgvector</w:t>
            </w:r>
          </w:p>
        </w:tc>
        <w:tc>
          <w:tcPr>
            <w:tcW w:type="dxa" w:w="1987"/>
            <w:vAlign w:val="center"/>
            <w:shd w:fill="F7F9FC"/>
          </w:tcPr>
          <w:p>
            <w:r/>
            <w:r>
              <w:rPr>
                <w:rFonts w:ascii="Aptos" w:hAnsi="Aptos"/>
                <w:b w:val="0"/>
                <w:color w:val="1B2430"/>
                <w:sz w:val="16"/>
              </w:rPr>
              <w:t>Governed retrieval index</w:t>
            </w:r>
          </w:p>
        </w:tc>
        <w:tc>
          <w:tcPr>
            <w:tcW w:type="dxa" w:w="1987"/>
            <w:vAlign w:val="center"/>
            <w:shd w:fill="F7F9FC"/>
          </w:tcPr>
          <w:p>
            <w:r/>
            <w:r>
              <w:rPr>
                <w:rFonts w:ascii="Aptos" w:hAnsi="Aptos"/>
                <w:b w:val="0"/>
                <w:color w:val="1B2430"/>
                <w:sz w:val="16"/>
              </w:rPr>
              <w:t>Policy chunks, embeddings, metadata.</w:t>
            </w:r>
          </w:p>
        </w:tc>
        <w:tc>
          <w:tcPr>
            <w:tcW w:type="dxa" w:w="1987"/>
            <w:vAlign w:val="center"/>
            <w:shd w:fill="F7F9FC"/>
          </w:tcPr>
          <w:p>
            <w:r/>
            <w:r>
              <w:rPr>
                <w:rFonts w:ascii="Aptos" w:hAnsi="Aptos"/>
                <w:b w:val="0"/>
                <w:color w:val="1B2430"/>
                <w:sz w:val="16"/>
              </w:rPr>
              <w:t>Version/effective dates, product/jurisdiction metadata, provenance, re-index controls.</w:t>
            </w:r>
          </w:p>
        </w:tc>
      </w:tr>
      <w:tr>
        <w:tc>
          <w:tcPr>
            <w:tcW w:type="dxa" w:w="1987"/>
            <w:vAlign w:val="center"/>
          </w:tcPr>
          <w:p>
            <w:r/>
            <w:r>
              <w:rPr>
                <w:rFonts w:ascii="Aptos" w:hAnsi="Aptos"/>
                <w:b w:val="0"/>
                <w:color w:val="1B2430"/>
                <w:sz w:val="16"/>
              </w:rPr>
              <w:t>Cache / Queue / Lock</w:t>
            </w:r>
          </w:p>
        </w:tc>
        <w:tc>
          <w:tcPr>
            <w:tcW w:type="dxa" w:w="1987"/>
            <w:vAlign w:val="center"/>
          </w:tcPr>
          <w:p>
            <w:r/>
            <w:r>
              <w:rPr>
                <w:rFonts w:ascii="Aptos" w:hAnsi="Aptos"/>
                <w:b w:val="0"/>
                <w:color w:val="1B2430"/>
                <w:sz w:val="16"/>
              </w:rPr>
              <w:t>Redis</w:t>
            </w:r>
          </w:p>
        </w:tc>
        <w:tc>
          <w:tcPr>
            <w:tcW w:type="dxa" w:w="1987"/>
            <w:vAlign w:val="center"/>
          </w:tcPr>
          <w:p>
            <w:r/>
            <w:r>
              <w:rPr>
                <w:rFonts w:ascii="Aptos" w:hAnsi="Aptos"/>
                <w:b w:val="0"/>
                <w:color w:val="1B2430"/>
                <w:sz w:val="16"/>
              </w:rPr>
              <w:t>Transient coordination</w:t>
            </w:r>
          </w:p>
        </w:tc>
        <w:tc>
          <w:tcPr>
            <w:tcW w:type="dxa" w:w="1987"/>
            <w:vAlign w:val="center"/>
          </w:tcPr>
          <w:p>
            <w:r/>
            <w:r>
              <w:rPr>
                <w:rFonts w:ascii="Aptos" w:hAnsi="Aptos"/>
                <w:b w:val="0"/>
                <w:color w:val="1B2430"/>
                <w:sz w:val="16"/>
              </w:rPr>
              <w:t>Cache, queues, locks, rate coordination.</w:t>
            </w:r>
          </w:p>
        </w:tc>
        <w:tc>
          <w:tcPr>
            <w:tcW w:type="dxa" w:w="1987"/>
            <w:vAlign w:val="center"/>
          </w:tcPr>
          <w:p>
            <w:r/>
            <w:r>
              <w:rPr>
                <w:rFonts w:ascii="Aptos" w:hAnsi="Aptos"/>
                <w:b w:val="0"/>
                <w:color w:val="1B2430"/>
                <w:sz w:val="16"/>
              </w:rPr>
              <w:t>TTL, no durable business truth, encryption, bounded payloads.</w:t>
            </w:r>
          </w:p>
        </w:tc>
      </w:tr>
      <w:tr>
        <w:tc>
          <w:tcPr>
            <w:tcW w:type="dxa" w:w="1987"/>
            <w:vAlign w:val="center"/>
            <w:shd w:fill="F7F9FC"/>
          </w:tcPr>
          <w:p>
            <w:r/>
            <w:r>
              <w:rPr>
                <w:rFonts w:ascii="Aptos" w:hAnsi="Aptos"/>
                <w:b w:val="0"/>
                <w:color w:val="1B2430"/>
                <w:sz w:val="16"/>
              </w:rPr>
              <w:t>Object Storage</w:t>
            </w:r>
          </w:p>
        </w:tc>
        <w:tc>
          <w:tcPr>
            <w:tcW w:type="dxa" w:w="1987"/>
            <w:vAlign w:val="center"/>
            <w:shd w:fill="F7F9FC"/>
          </w:tcPr>
          <w:p>
            <w:r/>
            <w:r>
              <w:rPr>
                <w:rFonts w:ascii="Aptos" w:hAnsi="Aptos"/>
                <w:b w:val="0"/>
                <w:color w:val="1B2430"/>
                <w:sz w:val="16"/>
              </w:rPr>
              <w:t>Cloudflare R2 / S3</w:t>
            </w:r>
          </w:p>
        </w:tc>
        <w:tc>
          <w:tcPr>
            <w:tcW w:type="dxa" w:w="1987"/>
            <w:vAlign w:val="center"/>
            <w:shd w:fill="F7F9FC"/>
          </w:tcPr>
          <w:p>
            <w:r/>
            <w:r>
              <w:rPr>
                <w:rFonts w:ascii="Aptos" w:hAnsi="Aptos"/>
                <w:b w:val="0"/>
                <w:color w:val="1B2430"/>
                <w:sz w:val="16"/>
              </w:rPr>
              <w:t>Document/evidence artifact store</w:t>
            </w:r>
          </w:p>
        </w:tc>
        <w:tc>
          <w:tcPr>
            <w:tcW w:type="dxa" w:w="1987"/>
            <w:vAlign w:val="center"/>
            <w:shd w:fill="F7F9FC"/>
          </w:tcPr>
          <w:p>
            <w:r/>
            <w:r>
              <w:rPr>
                <w:rFonts w:ascii="Aptos" w:hAnsi="Aptos"/>
                <w:b w:val="0"/>
                <w:color w:val="1B2430"/>
                <w:sz w:val="16"/>
              </w:rPr>
              <w:t>Evidence files, policy documents, generated artifacts.</w:t>
            </w:r>
          </w:p>
        </w:tc>
        <w:tc>
          <w:tcPr>
            <w:tcW w:type="dxa" w:w="1987"/>
            <w:vAlign w:val="center"/>
            <w:shd w:fill="F7F9FC"/>
          </w:tcPr>
          <w:p>
            <w:r/>
            <w:r>
              <w:rPr>
                <w:rFonts w:ascii="Aptos" w:hAnsi="Aptos"/>
                <w:b w:val="0"/>
                <w:color w:val="1B2430"/>
                <w:sz w:val="16"/>
              </w:rPr>
              <w:t>Encryption, malware scanning, signed access, retention/legal hold.</w:t>
            </w:r>
          </w:p>
        </w:tc>
      </w:tr>
      <w:tr>
        <w:tc>
          <w:tcPr>
            <w:tcW w:type="dxa" w:w="1987"/>
            <w:vAlign w:val="center"/>
          </w:tcPr>
          <w:p>
            <w:r/>
            <w:r>
              <w:rPr>
                <w:rFonts w:ascii="Aptos" w:hAnsi="Aptos"/>
                <w:b w:val="0"/>
                <w:color w:val="1B2430"/>
                <w:sz w:val="16"/>
              </w:rPr>
              <w:t>Immutable Audit Store</w:t>
            </w:r>
          </w:p>
        </w:tc>
        <w:tc>
          <w:tcPr>
            <w:tcW w:type="dxa" w:w="1987"/>
            <w:vAlign w:val="center"/>
          </w:tcPr>
          <w:p>
            <w:r/>
            <w:r>
              <w:rPr>
                <w:rFonts w:ascii="Aptos" w:hAnsi="Aptos"/>
                <w:b w:val="0"/>
                <w:color w:val="1B2430"/>
                <w:sz w:val="16"/>
              </w:rPr>
              <w:t>Append-only</w:t>
            </w:r>
          </w:p>
        </w:tc>
        <w:tc>
          <w:tcPr>
            <w:tcW w:type="dxa" w:w="1987"/>
            <w:vAlign w:val="center"/>
          </w:tcPr>
          <w:p>
            <w:r/>
            <w:r>
              <w:rPr>
                <w:rFonts w:ascii="Aptos" w:hAnsi="Aptos"/>
                <w:b w:val="0"/>
                <w:color w:val="1B2430"/>
                <w:sz w:val="16"/>
              </w:rPr>
              <w:t>Audit authority</w:t>
            </w:r>
          </w:p>
        </w:tc>
        <w:tc>
          <w:tcPr>
            <w:tcW w:type="dxa" w:w="1987"/>
            <w:vAlign w:val="center"/>
          </w:tcPr>
          <w:p>
            <w:r/>
            <w:r>
              <w:rPr>
                <w:rFonts w:ascii="Aptos" w:hAnsi="Aptos"/>
                <w:b w:val="0"/>
                <w:color w:val="1B2430"/>
                <w:sz w:val="16"/>
              </w:rPr>
              <w:t>Business events, human decisions, control activities, model/rule metadata.</w:t>
            </w:r>
          </w:p>
        </w:tc>
        <w:tc>
          <w:tcPr>
            <w:tcW w:type="dxa" w:w="1987"/>
            <w:vAlign w:val="center"/>
          </w:tcPr>
          <w:p>
            <w:r/>
            <w:r>
              <w:rPr>
                <w:rFonts w:ascii="Aptos" w:hAnsi="Aptos"/>
                <w:b w:val="0"/>
                <w:color w:val="1B2430"/>
                <w:sz w:val="16"/>
              </w:rPr>
              <w:t>Immutability/WORM characteristics, correlation IDs, exportability, restricted access.</w:t>
            </w:r>
          </w:p>
        </w:tc>
      </w:tr>
    </w:tbl>
    <w:p>
      <w:pPr>
        <w:spacing w:after="20"/>
      </w:pPr>
    </w:p>
    <w:p>
      <w:pPr>
        <w:pStyle w:val="Heading2"/>
      </w:pPr>
      <w:r>
        <w:t>5.1 Core Identifiers</w:t>
      </w:r>
    </w:p>
    <w:p>
      <w:pPr>
        <w:pStyle w:val="ListBullet"/>
      </w:pPr>
      <w:r>
        <w:t>case_id - immutable business case identifier used across all tiers.</w:t>
      </w:r>
    </w:p>
    <w:p>
      <w:pPr>
        <w:pStyle w:val="ListBullet"/>
      </w:pPr>
      <w:r>
        <w:t>workflow_id / thread_id - LangGraph execution identifier linked one-to-one or one-to-many with case_id by design decision.</w:t>
      </w:r>
    </w:p>
    <w:p>
      <w:pPr>
        <w:pStyle w:val="ListBullet"/>
      </w:pPr>
      <w:r>
        <w:t>correlation_id - request/trace correlation across API, workflow, provider and notification calls.</w:t>
      </w:r>
    </w:p>
    <w:p>
      <w:pPr>
        <w:pStyle w:val="ListBullet"/>
      </w:pPr>
      <w:r>
        <w:t>evidence_id - immutable evidence metadata key; binary object referenced separately.</w:t>
      </w:r>
    </w:p>
    <w:p>
      <w:pPr>
        <w:pStyle w:val="ListBullet"/>
      </w:pPr>
      <w:r>
        <w:t>policy_id / policy_version / effective_date - controlled policy identity used by retrieval and rules.</w:t>
      </w:r>
    </w:p>
    <w:p>
      <w:pPr>
        <w:pStyle w:val="ListBullet"/>
      </w:pPr>
      <w:r>
        <w:t>rule_id / rule_version - exact deterministic rule identity recorded with every decision.</w:t>
      </w:r>
    </w:p>
    <w:p>
      <w:pPr>
        <w:pStyle w:val="ListBullet"/>
      </w:pPr>
      <w:r>
        <w:t>model_call_id / model_id / prompt_version - model governance/audit identity.</w:t>
      </w:r>
    </w:p>
    <w:p>
      <w:pPr>
        <w:pStyle w:val="ListBullet"/>
      </w:pPr>
      <w:r>
        <w:t>human_action_id - reviewer/supervisor action key with actor, time, role and reason.</w:t>
      </w:r>
    </w:p>
    <w:p>
      <w:pPr>
        <w:pStyle w:val="Heading2"/>
      </w:pPr>
      <w:r>
        <w:t>5.2 Data Consistency Model</w:t>
      </w:r>
    </w:p>
    <w:p>
      <w:pPr>
        <w:pStyle w:val="ListBullet"/>
      </w:pPr>
      <w:r>
        <w:t>Business case mutations are strongly consistent within the operational database transaction boundary.</w:t>
      </w:r>
    </w:p>
    <w:p>
      <w:pPr>
        <w:pStyle w:val="ListBullet"/>
      </w:pPr>
      <w:r>
        <w:t>External provider reads are treated as point-in-time observations with source timestamps and lineage; stale data rules must be explicit.</w:t>
      </w:r>
    </w:p>
    <w:p>
      <w:pPr>
        <w:pStyle w:val="ListBullet"/>
      </w:pPr>
      <w:r>
        <w:t>Workflow checkpoints may be eventually synchronized with business state but must use idempotent commands to avoid duplicate side effects during replay/resume.</w:t>
      </w:r>
    </w:p>
    <w:p>
      <w:pPr>
        <w:pStyle w:val="ListBullet"/>
      </w:pPr>
      <w:r>
        <w:t>Audit events are append-only and should be committed reliably at control boundaries; an outbox/event pattern is recommended where atomicity with business state is required.</w:t>
      </w:r>
    </w:p>
    <w:p>
      <w:pPr>
        <w:pStyle w:val="ListBullet"/>
      </w:pPr>
      <w:r>
        <w:t>Policy index content is derived from governed documents; retrieval results must carry source document/version/effective-date metadata back into the case decision context.</w:t>
      </w:r>
    </w:p>
    <w:p>
      <w:bookmarkStart w:id="305" w:name="H_6__End_to_End_Runtime_Flow"/>
      <w:pPr>
        <w:pStyle w:val="Heading1"/>
      </w:pPr>
      <w:r>
        <w:t>6. End-to-End Runtime Flow</w:t>
      </w:r>
      <w:bookmarkEnd w:id="305"/>
    </w:p>
    <w:p>
      <w:pPr>
        <w:pStyle w:val="ListNumber"/>
      </w:pPr>
      <w:r>
        <w:t>1. An entry channel submits a dispute or case action. Edge security validates traffic and the application layer authenticates, authorizes, validates and idempotency-checks the request.</w:t>
      </w:r>
    </w:p>
    <w:p>
      <w:pPr>
        <w:pStyle w:val="ListNumber"/>
      </w:pPr>
      <w:r>
        <w:t>2. The Case Service persists/updates business state and the Workflow Service starts or resumes the LangGraph workflow.</w:t>
      </w:r>
    </w:p>
    <w:p>
      <w:pPr>
        <w:pStyle w:val="ListNumber"/>
      </w:pPr>
      <w:r>
        <w:t>3. Intake normalization produces the canonical case context; classification determines the dispute route. Low confidence interrupts to manual classification.</w:t>
      </w:r>
    </w:p>
    <w:p>
      <w:pPr>
        <w:pStyle w:val="ListNumber"/>
      </w:pPr>
      <w:r>
        <w:t>4. Authoritative data adapters retrieve customer/account/transaction/settlement/merchant/refund context. Each response is timestamped and source-lined.</w:t>
      </w:r>
    </w:p>
    <w:p>
      <w:pPr>
        <w:pStyle w:val="ListNumber"/>
      </w:pPr>
      <w:r>
        <w:t>5. Evidence completeness is evaluated. Mandatory missing evidence creates an HITL/customer evidence request task and pauses the workflow until evidence arrives or a business timeout policy is reached.</w:t>
      </w:r>
    </w:p>
    <w:p>
      <w:pPr>
        <w:pStyle w:val="ListNumber"/>
      </w:pPr>
      <w:r>
        <w:t>6. Policy applicability is determined and the governed retrieval layer resolves relevant policy context from pgvector. Low retrieval confidence routes to policy review.</w:t>
      </w:r>
    </w:p>
    <w:p>
      <w:pPr>
        <w:pStyle w:val="ListNumber"/>
      </w:pPr>
      <w:r>
        <w:t>7. The deterministic rules engine executes the applicable rule set. Rule exceptions route to manual review rather than being guessed by the LLM.</w:t>
      </w:r>
    </w:p>
    <w:p>
      <w:pPr>
        <w:pStyle w:val="ListNumber"/>
      </w:pPr>
      <w:r>
        <w:t>8. The case confidence service calculates the governed confidence/escalation outcome. Cases below threshold are routed to supervisor review.</w:t>
      </w:r>
    </w:p>
    <w:p>
      <w:pPr>
        <w:pStyle w:val="ListNumber"/>
      </w:pPr>
      <w:r>
        <w:t>9. The recommendation service generates an explainable recommendation using only approved facts, retrieved policy and rule outcomes.</w:t>
      </w:r>
    </w:p>
    <w:p>
      <w:pPr>
        <w:pStyle w:val="ListNumber"/>
      </w:pPr>
      <w:r>
        <w:t>10. A human reviewer makes or approves the final decision. The communication service drafts the message from that approved decision, after which validation/approval controls apply.</w:t>
      </w:r>
    </w:p>
    <w:p>
      <w:pPr>
        <w:pStyle w:val="ListNumber"/>
      </w:pPr>
      <w:r>
        <w:t>11. Finalization writes the case outcome, immutable audit records, notification/report events, and closes or transitions the workflow. Operational metrics and AI quality traces are emitted end-to-end.</w:t>
      </w:r>
    </w:p>
    <w:p>
      <w:pPr>
        <w:pStyle w:val="Heading2"/>
      </w:pPr>
      <w:r>
        <w:t>6.1 Human-in-the-Loop Interruption Model</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0B1F5B"/>
          </w:tcPr>
          <w:p>
            <w:r/>
            <w:r>
              <w:rPr>
                <w:rFonts w:ascii="Aptos" w:hAnsi="Aptos"/>
                <w:b/>
                <w:color w:val="FFFFFF"/>
                <w:sz w:val="17"/>
              </w:rPr>
              <w:t>Trigger</w:t>
            </w:r>
          </w:p>
        </w:tc>
        <w:tc>
          <w:tcPr>
            <w:tcW w:type="dxa" w:w="3312"/>
            <w:vAlign w:val="center"/>
            <w:shd w:fill="0B1F5B"/>
          </w:tcPr>
          <w:p>
            <w:r/>
            <w:r>
              <w:rPr>
                <w:rFonts w:ascii="Aptos" w:hAnsi="Aptos"/>
                <w:b/>
                <w:color w:val="FFFFFF"/>
                <w:sz w:val="17"/>
              </w:rPr>
              <w:t>HITL Action</w:t>
            </w:r>
          </w:p>
        </w:tc>
        <w:tc>
          <w:tcPr>
            <w:tcW w:type="dxa" w:w="3312"/>
            <w:vAlign w:val="center"/>
            <w:shd w:fill="0B1F5B"/>
          </w:tcPr>
          <w:p>
            <w:r/>
            <w:r>
              <w:rPr>
                <w:rFonts w:ascii="Aptos" w:hAnsi="Aptos"/>
                <w:b/>
                <w:color w:val="FFFFFF"/>
                <w:sz w:val="17"/>
              </w:rPr>
              <w:t>Resume Condition</w:t>
            </w:r>
          </w:p>
        </w:tc>
      </w:tr>
      <w:tr>
        <w:tc>
          <w:tcPr>
            <w:tcW w:type="dxa" w:w="3312"/>
            <w:vAlign w:val="center"/>
            <w:shd w:fill="F7F9FC"/>
          </w:tcPr>
          <w:p>
            <w:r/>
            <w:r>
              <w:rPr>
                <w:rFonts w:ascii="Aptos" w:hAnsi="Aptos"/>
                <w:b w:val="0"/>
                <w:color w:val="1B2430"/>
                <w:sz w:val="16"/>
              </w:rPr>
              <w:t>Low classification confidence</w:t>
            </w:r>
          </w:p>
        </w:tc>
        <w:tc>
          <w:tcPr>
            <w:tcW w:type="dxa" w:w="3312"/>
            <w:vAlign w:val="center"/>
            <w:shd w:fill="F7F9FC"/>
          </w:tcPr>
          <w:p>
            <w:r/>
            <w:r>
              <w:rPr>
                <w:rFonts w:ascii="Aptos" w:hAnsi="Aptos"/>
                <w:b w:val="0"/>
                <w:color w:val="1B2430"/>
                <w:sz w:val="16"/>
              </w:rPr>
              <w:t>Manual classification</w:t>
            </w:r>
          </w:p>
        </w:tc>
        <w:tc>
          <w:tcPr>
            <w:tcW w:type="dxa" w:w="3312"/>
            <w:vAlign w:val="center"/>
            <w:shd w:fill="F7F9FC"/>
          </w:tcPr>
          <w:p>
            <w:r/>
            <w:r>
              <w:rPr>
                <w:rFonts w:ascii="Aptos" w:hAnsi="Aptos"/>
                <w:b w:val="0"/>
                <w:color w:val="1B2430"/>
                <w:sz w:val="16"/>
              </w:rPr>
              <w:t>Reviewer selects/approves category and route.</w:t>
            </w:r>
          </w:p>
        </w:tc>
      </w:tr>
      <w:tr>
        <w:tc>
          <w:tcPr>
            <w:tcW w:type="dxa" w:w="3312"/>
            <w:vAlign w:val="center"/>
          </w:tcPr>
          <w:p>
            <w:r/>
            <w:r>
              <w:rPr>
                <w:rFonts w:ascii="Aptos" w:hAnsi="Aptos"/>
                <w:b w:val="0"/>
                <w:color w:val="1B2430"/>
                <w:sz w:val="16"/>
              </w:rPr>
              <w:t>Mandatory evidence missing</w:t>
            </w:r>
          </w:p>
        </w:tc>
        <w:tc>
          <w:tcPr>
            <w:tcW w:type="dxa" w:w="3312"/>
            <w:vAlign w:val="center"/>
          </w:tcPr>
          <w:p>
            <w:r/>
            <w:r>
              <w:rPr>
                <w:rFonts w:ascii="Aptos" w:hAnsi="Aptos"/>
                <w:b w:val="0"/>
                <w:color w:val="1B2430"/>
                <w:sz w:val="16"/>
              </w:rPr>
              <w:t>Request additional evidence</w:t>
            </w:r>
          </w:p>
        </w:tc>
        <w:tc>
          <w:tcPr>
            <w:tcW w:type="dxa" w:w="3312"/>
            <w:vAlign w:val="center"/>
          </w:tcPr>
          <w:p>
            <w:r/>
            <w:r>
              <w:rPr>
                <w:rFonts w:ascii="Aptos" w:hAnsi="Aptos"/>
                <w:b w:val="0"/>
                <w:color w:val="1B2430"/>
                <w:sz w:val="16"/>
              </w:rPr>
              <w:t>Required evidence received/validated or approved exception.</w:t>
            </w:r>
          </w:p>
        </w:tc>
      </w:tr>
      <w:tr>
        <w:tc>
          <w:tcPr>
            <w:tcW w:type="dxa" w:w="3312"/>
            <w:vAlign w:val="center"/>
            <w:shd w:fill="F7F9FC"/>
          </w:tcPr>
          <w:p>
            <w:r/>
            <w:r>
              <w:rPr>
                <w:rFonts w:ascii="Aptos" w:hAnsi="Aptos"/>
                <w:b w:val="0"/>
                <w:color w:val="1B2430"/>
                <w:sz w:val="16"/>
              </w:rPr>
              <w:t>Low policy confidence</w:t>
            </w:r>
          </w:p>
        </w:tc>
        <w:tc>
          <w:tcPr>
            <w:tcW w:type="dxa" w:w="3312"/>
            <w:vAlign w:val="center"/>
            <w:shd w:fill="F7F9FC"/>
          </w:tcPr>
          <w:p>
            <w:r/>
            <w:r>
              <w:rPr>
                <w:rFonts w:ascii="Aptos" w:hAnsi="Aptos"/>
                <w:b w:val="0"/>
                <w:color w:val="1B2430"/>
                <w:sz w:val="16"/>
              </w:rPr>
              <w:t>Policy review</w:t>
            </w:r>
          </w:p>
        </w:tc>
        <w:tc>
          <w:tcPr>
            <w:tcW w:type="dxa" w:w="3312"/>
            <w:vAlign w:val="center"/>
            <w:shd w:fill="F7F9FC"/>
          </w:tcPr>
          <w:p>
            <w:r/>
            <w:r>
              <w:rPr>
                <w:rFonts w:ascii="Aptos" w:hAnsi="Aptos"/>
                <w:b w:val="0"/>
                <w:color w:val="1B2430"/>
                <w:sz w:val="16"/>
              </w:rPr>
              <w:t>Reviewer confirms applicable policy/version/context.</w:t>
            </w:r>
          </w:p>
        </w:tc>
      </w:tr>
      <w:tr>
        <w:tc>
          <w:tcPr>
            <w:tcW w:type="dxa" w:w="3312"/>
            <w:vAlign w:val="center"/>
          </w:tcPr>
          <w:p>
            <w:r/>
            <w:r>
              <w:rPr>
                <w:rFonts w:ascii="Aptos" w:hAnsi="Aptos"/>
                <w:b w:val="0"/>
                <w:color w:val="1B2430"/>
                <w:sz w:val="16"/>
              </w:rPr>
              <w:t>Rules exception</w:t>
            </w:r>
          </w:p>
        </w:tc>
        <w:tc>
          <w:tcPr>
            <w:tcW w:type="dxa" w:w="3312"/>
            <w:vAlign w:val="center"/>
          </w:tcPr>
          <w:p>
            <w:r/>
            <w:r>
              <w:rPr>
                <w:rFonts w:ascii="Aptos" w:hAnsi="Aptos"/>
                <w:b w:val="0"/>
                <w:color w:val="1B2430"/>
                <w:sz w:val="16"/>
              </w:rPr>
              <w:t>Manual review</w:t>
            </w:r>
          </w:p>
        </w:tc>
        <w:tc>
          <w:tcPr>
            <w:tcW w:type="dxa" w:w="3312"/>
            <w:vAlign w:val="center"/>
          </w:tcPr>
          <w:p>
            <w:r/>
            <w:r>
              <w:rPr>
                <w:rFonts w:ascii="Aptos" w:hAnsi="Aptos"/>
                <w:b w:val="0"/>
                <w:color w:val="1B2430"/>
                <w:sz w:val="16"/>
              </w:rPr>
              <w:t>Exception is dispositioned with reason code.</w:t>
            </w:r>
          </w:p>
        </w:tc>
      </w:tr>
      <w:tr>
        <w:tc>
          <w:tcPr>
            <w:tcW w:type="dxa" w:w="3312"/>
            <w:vAlign w:val="center"/>
            <w:shd w:fill="F7F9FC"/>
          </w:tcPr>
          <w:p>
            <w:r/>
            <w:r>
              <w:rPr>
                <w:rFonts w:ascii="Aptos" w:hAnsi="Aptos"/>
                <w:b w:val="0"/>
                <w:color w:val="1B2430"/>
                <w:sz w:val="16"/>
              </w:rPr>
              <w:t>Case confidence below threshold</w:t>
            </w:r>
          </w:p>
        </w:tc>
        <w:tc>
          <w:tcPr>
            <w:tcW w:type="dxa" w:w="3312"/>
            <w:vAlign w:val="center"/>
            <w:shd w:fill="F7F9FC"/>
          </w:tcPr>
          <w:p>
            <w:r/>
            <w:r>
              <w:rPr>
                <w:rFonts w:ascii="Aptos" w:hAnsi="Aptos"/>
                <w:b w:val="0"/>
                <w:color w:val="1B2430"/>
                <w:sz w:val="16"/>
              </w:rPr>
              <w:t>Supervisor review</w:t>
            </w:r>
          </w:p>
        </w:tc>
        <w:tc>
          <w:tcPr>
            <w:tcW w:type="dxa" w:w="3312"/>
            <w:vAlign w:val="center"/>
            <w:shd w:fill="F7F9FC"/>
          </w:tcPr>
          <w:p>
            <w:r/>
            <w:r>
              <w:rPr>
                <w:rFonts w:ascii="Aptos" w:hAnsi="Aptos"/>
                <w:b w:val="0"/>
                <w:color w:val="1B2430"/>
                <w:sz w:val="16"/>
              </w:rPr>
              <w:t>Supervisor approves/overrides with rationale.</w:t>
            </w:r>
          </w:p>
        </w:tc>
      </w:tr>
      <w:tr>
        <w:tc>
          <w:tcPr>
            <w:tcW w:type="dxa" w:w="3312"/>
            <w:vAlign w:val="center"/>
          </w:tcPr>
          <w:p>
            <w:r/>
            <w:r>
              <w:rPr>
                <w:rFonts w:ascii="Aptos" w:hAnsi="Aptos"/>
                <w:b w:val="0"/>
                <w:color w:val="1B2430"/>
                <w:sz w:val="16"/>
              </w:rPr>
              <w:t>Human decision node</w:t>
            </w:r>
          </w:p>
        </w:tc>
        <w:tc>
          <w:tcPr>
            <w:tcW w:type="dxa" w:w="3312"/>
            <w:vAlign w:val="center"/>
          </w:tcPr>
          <w:p>
            <w:r/>
            <w:r>
              <w:rPr>
                <w:rFonts w:ascii="Aptos" w:hAnsi="Aptos"/>
                <w:b w:val="0"/>
                <w:color w:val="1B2430"/>
                <w:sz w:val="16"/>
              </w:rPr>
              <w:t>Final business decision</w:t>
            </w:r>
          </w:p>
        </w:tc>
        <w:tc>
          <w:tcPr>
            <w:tcW w:type="dxa" w:w="3312"/>
            <w:vAlign w:val="center"/>
          </w:tcPr>
          <w:p>
            <w:r/>
            <w:r>
              <w:rPr>
                <w:rFonts w:ascii="Aptos" w:hAnsi="Aptos"/>
                <w:b w:val="0"/>
                <w:color w:val="1B2430"/>
                <w:sz w:val="16"/>
              </w:rPr>
              <w:t>Authorized reviewer records final decision.</w:t>
            </w:r>
          </w:p>
        </w:tc>
      </w:tr>
    </w:tbl>
    <w:p>
      <w:pPr>
        <w:spacing w:after="20"/>
      </w:pPr>
    </w:p>
    <w:p>
      <w:bookmarkStart w:id="306" w:name="H_7__Policy_Retrieval_and_Controlled_R"/>
      <w:pPr>
        <w:pStyle w:val="Heading1"/>
      </w:pPr>
      <w:r>
        <w:t>7. Policy Retrieval and Controlled RAG Design</w:t>
      </w:r>
      <w:bookmarkEnd w:id="306"/>
    </w:p>
    <w:p>
      <w:pPr>
        <w:pStyle w:val="Heading2"/>
      </w:pPr>
      <w:r>
        <w:t>7.1 Retrieval Pipeline</w:t>
      </w:r>
    </w:p>
    <w:p>
      <w:pPr>
        <w:pStyle w:val="ListNumber"/>
      </w:pPr>
      <w:r>
        <w:t>Determine policy eligibility/applicability before retrieval so the search space is constrained.</w:t>
      </w:r>
    </w:p>
    <w:p>
      <w:pPr>
        <w:pStyle w:val="ListNumber"/>
      </w:pPr>
      <w:r>
        <w:t>Filter by governed metadata such as policy family, product, transaction type, geography/jurisdiction, version and effective date.</w:t>
      </w:r>
    </w:p>
    <w:p>
      <w:pPr>
        <w:pStyle w:val="ListNumber"/>
      </w:pPr>
      <w:r>
        <w:t>Retrieve candidate chunks from pgvector using approved embedding model.</w:t>
      </w:r>
    </w:p>
    <w:p>
      <w:pPr>
        <w:pStyle w:val="ListNumber"/>
      </w:pPr>
      <w:r>
        <w:t>Optionally rerank candidates through the governed reranker provider.</w:t>
      </w:r>
    </w:p>
    <w:p>
      <w:pPr>
        <w:pStyle w:val="ListNumber"/>
      </w:pPr>
      <w:r>
        <w:t>Apply confidence and coverage checks before policy context is admitted to the decision workflow.</w:t>
      </w:r>
    </w:p>
    <w:p>
      <w:pPr>
        <w:pStyle w:val="ListNumber"/>
      </w:pPr>
      <w:r>
        <w:t>Return policy citations, document identifiers, chunk identifiers, version, effective date and retrieval scores to the workflow.</w:t>
      </w:r>
    </w:p>
    <w:p>
      <w:pPr>
        <w:pStyle w:val="Heading2"/>
      </w:pPr>
      <w:r>
        <w:t>7.2 Retrieval Safety Rules</w:t>
      </w:r>
    </w:p>
    <w:p>
      <w:pPr>
        <w:pStyle w:val="ListBullet"/>
      </w:pPr>
      <w:r>
        <w:t>No open-web retrieval in the regulated policy decision path unless explicitly governed as a separate source.</w:t>
      </w:r>
    </w:p>
    <w:p>
      <w:pPr>
        <w:pStyle w:val="ListBullet"/>
      </w:pPr>
      <w:r>
        <w:t>Expired/future policy versions must not be mixed with the effective policy context.</w:t>
      </w:r>
    </w:p>
    <w:p>
      <w:pPr>
        <w:pStyle w:val="ListBullet"/>
      </w:pPr>
      <w:r>
        <w:t>A low-confidence result must interrupt to policy review rather than silently selecting the nearest text.</w:t>
      </w:r>
    </w:p>
    <w:p>
      <w:pPr>
        <w:pStyle w:val="ListBullet"/>
      </w:pPr>
      <w:r>
        <w:t>Generative models may summarize retrieved policy but must not create policy requirements absent from sources.</w:t>
      </w:r>
    </w:p>
    <w:p>
      <w:pPr>
        <w:pStyle w:val="ListBullet"/>
      </w:pPr>
      <w:r>
        <w:t>Every recommendation and communication rationale should be reconstructable from case facts, cited policy and deterministic rules.</w:t>
      </w:r>
    </w:p>
    <w:p>
      <w:bookmarkStart w:id="307" w:name="H_8__Security__Privacy_and_Compliance_"/>
      <w:pPr>
        <w:pStyle w:val="Heading1"/>
      </w:pPr>
      <w:r>
        <w:t>8. Security, Privacy and Compliance Architecture</w:t>
      </w:r>
      <w:bookmarkEnd w:id="307"/>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0B1F5B"/>
          </w:tcPr>
          <w:p>
            <w:r/>
            <w:r>
              <w:rPr>
                <w:rFonts w:ascii="Aptos" w:hAnsi="Aptos"/>
                <w:b/>
                <w:color w:val="FFFFFF"/>
                <w:sz w:val="17"/>
              </w:rPr>
              <w:t>Control Area</w:t>
            </w:r>
          </w:p>
        </w:tc>
        <w:tc>
          <w:tcPr>
            <w:tcW w:type="dxa" w:w="4968"/>
            <w:vAlign w:val="center"/>
            <w:shd w:fill="0B1F5B"/>
          </w:tcPr>
          <w:p>
            <w:r/>
            <w:r>
              <w:rPr>
                <w:rFonts w:ascii="Aptos" w:hAnsi="Aptos"/>
                <w:b/>
                <w:color w:val="FFFFFF"/>
                <w:sz w:val="17"/>
              </w:rPr>
              <w:t>High-Level Design</w:t>
            </w:r>
          </w:p>
        </w:tc>
      </w:tr>
      <w:tr>
        <w:tc>
          <w:tcPr>
            <w:tcW w:type="dxa" w:w="4968"/>
            <w:vAlign w:val="center"/>
            <w:shd w:fill="F7F9FC"/>
          </w:tcPr>
          <w:p>
            <w:r/>
            <w:r>
              <w:rPr>
                <w:rFonts w:ascii="Aptos" w:hAnsi="Aptos"/>
                <w:b w:val="0"/>
                <w:color w:val="1B2430"/>
                <w:sz w:val="16"/>
              </w:rPr>
              <w:t>Identity</w:t>
            </w:r>
          </w:p>
        </w:tc>
        <w:tc>
          <w:tcPr>
            <w:tcW w:type="dxa" w:w="4968"/>
            <w:vAlign w:val="center"/>
            <w:shd w:fill="F7F9FC"/>
          </w:tcPr>
          <w:p>
            <w:r/>
            <w:r>
              <w:rPr>
                <w:rFonts w:ascii="Aptos" w:hAnsi="Aptos"/>
                <w:b w:val="0"/>
                <w:color w:val="1B2430"/>
                <w:sz w:val="16"/>
              </w:rPr>
              <w:t>OIDC for user/service authentication; RBAC with least privilege; privileged supervisor/auditor roles separated.</w:t>
            </w:r>
          </w:p>
        </w:tc>
      </w:tr>
      <w:tr>
        <w:tc>
          <w:tcPr>
            <w:tcW w:type="dxa" w:w="4968"/>
            <w:vAlign w:val="center"/>
          </w:tcPr>
          <w:p>
            <w:r/>
            <w:r>
              <w:rPr>
                <w:rFonts w:ascii="Aptos" w:hAnsi="Aptos"/>
                <w:b w:val="0"/>
                <w:color w:val="1B2430"/>
                <w:sz w:val="16"/>
              </w:rPr>
              <w:t>Network</w:t>
            </w:r>
          </w:p>
        </w:tc>
        <w:tc>
          <w:tcPr>
            <w:tcW w:type="dxa" w:w="4968"/>
            <w:vAlign w:val="center"/>
          </w:tcPr>
          <w:p>
            <w:r/>
            <w:r>
              <w:rPr>
                <w:rFonts w:ascii="Aptos" w:hAnsi="Aptos"/>
                <w:b w:val="0"/>
                <w:color w:val="1B2430"/>
                <w:sz w:val="16"/>
              </w:rPr>
              <w:t>Edge DDoS/WAF/rate limiting, private service connectivity where possible, Zero Trust for internal access.</w:t>
            </w:r>
          </w:p>
        </w:tc>
      </w:tr>
      <w:tr>
        <w:tc>
          <w:tcPr>
            <w:tcW w:type="dxa" w:w="4968"/>
            <w:vAlign w:val="center"/>
            <w:shd w:fill="F7F9FC"/>
          </w:tcPr>
          <w:p>
            <w:r/>
            <w:r>
              <w:rPr>
                <w:rFonts w:ascii="Aptos" w:hAnsi="Aptos"/>
                <w:b w:val="0"/>
                <w:color w:val="1B2430"/>
                <w:sz w:val="16"/>
              </w:rPr>
              <w:t>Secrets &amp; Keys</w:t>
            </w:r>
          </w:p>
        </w:tc>
        <w:tc>
          <w:tcPr>
            <w:tcW w:type="dxa" w:w="4968"/>
            <w:vAlign w:val="center"/>
            <w:shd w:fill="F7F9FC"/>
          </w:tcPr>
          <w:p>
            <w:r/>
            <w:r>
              <w:rPr>
                <w:rFonts w:ascii="Aptos" w:hAnsi="Aptos"/>
                <w:b w:val="0"/>
                <w:color w:val="1B2430"/>
                <w:sz w:val="16"/>
              </w:rPr>
              <w:t>Central secrets management, key rotation, no credentials in prompts/logs/config repositories.</w:t>
            </w:r>
          </w:p>
        </w:tc>
      </w:tr>
      <w:tr>
        <w:tc>
          <w:tcPr>
            <w:tcW w:type="dxa" w:w="4968"/>
            <w:vAlign w:val="center"/>
          </w:tcPr>
          <w:p>
            <w:r/>
            <w:r>
              <w:rPr>
                <w:rFonts w:ascii="Aptos" w:hAnsi="Aptos"/>
                <w:b w:val="0"/>
                <w:color w:val="1B2430"/>
                <w:sz w:val="16"/>
              </w:rPr>
              <w:t>Encryption</w:t>
            </w:r>
          </w:p>
        </w:tc>
        <w:tc>
          <w:tcPr>
            <w:tcW w:type="dxa" w:w="4968"/>
            <w:vAlign w:val="center"/>
          </w:tcPr>
          <w:p>
            <w:r/>
            <w:r>
              <w:rPr>
                <w:rFonts w:ascii="Aptos" w:hAnsi="Aptos"/>
                <w:b w:val="0"/>
                <w:color w:val="1B2430"/>
                <w:sz w:val="16"/>
              </w:rPr>
              <w:t>TLS in transit; platform-managed encryption at rest for DB, object store, cache where supported; field/tokenization for highly sensitive data as needed.</w:t>
            </w:r>
          </w:p>
        </w:tc>
      </w:tr>
      <w:tr>
        <w:tc>
          <w:tcPr>
            <w:tcW w:type="dxa" w:w="4968"/>
            <w:vAlign w:val="center"/>
            <w:shd w:fill="F7F9FC"/>
          </w:tcPr>
          <w:p>
            <w:r/>
            <w:r>
              <w:rPr>
                <w:rFonts w:ascii="Aptos" w:hAnsi="Aptos"/>
                <w:b w:val="0"/>
                <w:color w:val="1B2430"/>
                <w:sz w:val="16"/>
              </w:rPr>
              <w:t>PII Minimization</w:t>
            </w:r>
          </w:p>
        </w:tc>
        <w:tc>
          <w:tcPr>
            <w:tcW w:type="dxa" w:w="4968"/>
            <w:vAlign w:val="center"/>
            <w:shd w:fill="F7F9FC"/>
          </w:tcPr>
          <w:p>
            <w:r/>
            <w:r>
              <w:rPr>
                <w:rFonts w:ascii="Aptos" w:hAnsi="Aptos"/>
                <w:b w:val="0"/>
                <w:color w:val="1B2430"/>
                <w:sz w:val="16"/>
              </w:rPr>
              <w:t>Only data required for the active workflow node is exposed; prompt payloads are data-classified and minimized.</w:t>
            </w:r>
          </w:p>
        </w:tc>
      </w:tr>
      <w:tr>
        <w:tc>
          <w:tcPr>
            <w:tcW w:type="dxa" w:w="4968"/>
            <w:vAlign w:val="center"/>
          </w:tcPr>
          <w:p>
            <w:r/>
            <w:r>
              <w:rPr>
                <w:rFonts w:ascii="Aptos" w:hAnsi="Aptos"/>
                <w:b w:val="0"/>
                <w:color w:val="1B2430"/>
                <w:sz w:val="16"/>
              </w:rPr>
              <w:t>Masking</w:t>
            </w:r>
          </w:p>
        </w:tc>
        <w:tc>
          <w:tcPr>
            <w:tcW w:type="dxa" w:w="4968"/>
            <w:vAlign w:val="center"/>
          </w:tcPr>
          <w:p>
            <w:r/>
            <w:r>
              <w:rPr>
                <w:rFonts w:ascii="Aptos" w:hAnsi="Aptos"/>
                <w:b w:val="0"/>
                <w:color w:val="1B2430"/>
                <w:sz w:val="16"/>
              </w:rPr>
              <w:t>Sensitive values masked in UIs, logs, traces, evaluation tools and non-production environments.</w:t>
            </w:r>
          </w:p>
        </w:tc>
      </w:tr>
      <w:tr>
        <w:tc>
          <w:tcPr>
            <w:tcW w:type="dxa" w:w="4968"/>
            <w:vAlign w:val="center"/>
            <w:shd w:fill="F7F9FC"/>
          </w:tcPr>
          <w:p>
            <w:r/>
            <w:r>
              <w:rPr>
                <w:rFonts w:ascii="Aptos" w:hAnsi="Aptos"/>
                <w:b w:val="0"/>
                <w:color w:val="1B2430"/>
                <w:sz w:val="16"/>
              </w:rPr>
              <w:t>Authorization</w:t>
            </w:r>
          </w:p>
        </w:tc>
        <w:tc>
          <w:tcPr>
            <w:tcW w:type="dxa" w:w="4968"/>
            <w:vAlign w:val="center"/>
            <w:shd w:fill="F7F9FC"/>
          </w:tcPr>
          <w:p>
            <w:r/>
            <w:r>
              <w:rPr>
                <w:rFonts w:ascii="Aptos" w:hAnsi="Aptos"/>
                <w:b w:val="0"/>
                <w:color w:val="1B2430"/>
                <w:sz w:val="16"/>
              </w:rPr>
              <w:t>Service-to-service and user authorization enforced at resource/action level, not only at gateway.</w:t>
            </w:r>
          </w:p>
        </w:tc>
      </w:tr>
      <w:tr>
        <w:tc>
          <w:tcPr>
            <w:tcW w:type="dxa" w:w="4968"/>
            <w:vAlign w:val="center"/>
          </w:tcPr>
          <w:p>
            <w:r/>
            <w:r>
              <w:rPr>
                <w:rFonts w:ascii="Aptos" w:hAnsi="Aptos"/>
                <w:b w:val="0"/>
                <w:color w:val="1B2430"/>
                <w:sz w:val="16"/>
              </w:rPr>
              <w:t>Audit</w:t>
            </w:r>
          </w:p>
        </w:tc>
        <w:tc>
          <w:tcPr>
            <w:tcW w:type="dxa" w:w="4968"/>
            <w:vAlign w:val="center"/>
          </w:tcPr>
          <w:p>
            <w:r/>
            <w:r>
              <w:rPr>
                <w:rFonts w:ascii="Aptos" w:hAnsi="Aptos"/>
                <w:b w:val="0"/>
                <w:color w:val="1B2430"/>
                <w:sz w:val="16"/>
              </w:rPr>
              <w:t>Append-only business/control events with actor, source, rule/model/prompt version and correlation IDs.</w:t>
            </w:r>
          </w:p>
        </w:tc>
      </w:tr>
      <w:tr>
        <w:tc>
          <w:tcPr>
            <w:tcW w:type="dxa" w:w="4968"/>
            <w:vAlign w:val="center"/>
            <w:shd w:fill="F7F9FC"/>
          </w:tcPr>
          <w:p>
            <w:r/>
            <w:r>
              <w:rPr>
                <w:rFonts w:ascii="Aptos" w:hAnsi="Aptos"/>
                <w:b w:val="0"/>
                <w:color w:val="1B2430"/>
                <w:sz w:val="16"/>
              </w:rPr>
              <w:t>Compliance</w:t>
            </w:r>
          </w:p>
        </w:tc>
        <w:tc>
          <w:tcPr>
            <w:tcW w:type="dxa" w:w="4968"/>
            <w:vAlign w:val="center"/>
            <w:shd w:fill="F7F9FC"/>
          </w:tcPr>
          <w:p>
            <w:r/>
            <w:r>
              <w:rPr>
                <w:rFonts w:ascii="Aptos" w:hAnsi="Aptos"/>
                <w:b w:val="0"/>
                <w:color w:val="1B2430"/>
                <w:sz w:val="16"/>
              </w:rPr>
              <w:t>Policy versioning, retention, legal hold, regulatory evidence export and separation of duties designed as configurable controls.</w:t>
            </w:r>
          </w:p>
        </w:tc>
      </w:tr>
      <w:tr>
        <w:tc>
          <w:tcPr>
            <w:tcW w:type="dxa" w:w="4968"/>
            <w:vAlign w:val="center"/>
          </w:tcPr>
          <w:p>
            <w:r/>
            <w:r>
              <w:rPr>
                <w:rFonts w:ascii="Aptos" w:hAnsi="Aptos"/>
                <w:b w:val="0"/>
                <w:color w:val="1B2430"/>
                <w:sz w:val="16"/>
              </w:rPr>
              <w:t>Model Risk</w:t>
            </w:r>
          </w:p>
        </w:tc>
        <w:tc>
          <w:tcPr>
            <w:tcW w:type="dxa" w:w="4968"/>
            <w:vAlign w:val="center"/>
          </w:tcPr>
          <w:p>
            <w:r/>
            <w:r>
              <w:rPr>
                <w:rFonts w:ascii="Aptos" w:hAnsi="Aptos"/>
                <w:b w:val="0"/>
                <w:color w:val="1B2430"/>
                <w:sz w:val="16"/>
              </w:rPr>
              <w:t>Approved provider/model allowlist, prompt registry, kill switch, guardrails, response validation, offline/online evaluation, drift/quality monitoring.</w:t>
            </w:r>
          </w:p>
        </w:tc>
      </w:tr>
    </w:tbl>
    <w:p>
      <w:pPr>
        <w:spacing w:after="20"/>
      </w:pPr>
    </w:p>
    <w:p>
      <w:pPr>
        <w:pStyle w:val="Heading2"/>
      </w:pPr>
      <w:r>
        <w:t>8.1 Prompt and Data Egress Policy</w:t>
      </w:r>
    </w:p>
    <w:p>
      <w:pPr>
        <w:pStyle w:val="ListBullet"/>
      </w:pPr>
      <w:r>
        <w:t>The Model Gateway evaluates data classification before provider routing.</w:t>
      </w:r>
    </w:p>
    <w:p>
      <w:pPr>
        <w:pStyle w:val="ListBullet"/>
      </w:pPr>
      <w:r>
        <w:t>Provider selection must consider data residency, contractual controls, model retention/training settings, and approved use cases.</w:t>
      </w:r>
    </w:p>
    <w:p>
      <w:pPr>
        <w:pStyle w:val="ListBullet"/>
      </w:pPr>
      <w:r>
        <w:t>Raw documents should be reduced to relevant excerpts/structured facts where feasible before model submission.</w:t>
      </w:r>
    </w:p>
    <w:p>
      <w:pPr>
        <w:pStyle w:val="ListBullet"/>
      </w:pPr>
      <w:r>
        <w:t>Sensitive traces sent to LangSmith/LangWatch must follow enterprise masking/redaction policy; production payload capture should be configurable.</w:t>
      </w:r>
    </w:p>
    <w:p>
      <w:bookmarkStart w:id="308" w:name="H_9__AI_Platform_Governance"/>
      <w:pPr>
        <w:pStyle w:val="Heading1"/>
      </w:pPr>
      <w:r>
        <w:t>9. AI Platform Governance</w:t>
      </w:r>
      <w:bookmarkEnd w:id="308"/>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0B1F5B"/>
          </w:tcPr>
          <w:p>
            <w:r/>
            <w:r>
              <w:rPr>
                <w:rFonts w:ascii="Aptos" w:hAnsi="Aptos"/>
                <w:b/>
                <w:color w:val="FFFFFF"/>
                <w:sz w:val="17"/>
              </w:rPr>
              <w:t>Capability</w:t>
            </w:r>
          </w:p>
        </w:tc>
        <w:tc>
          <w:tcPr>
            <w:tcW w:type="dxa" w:w="3312"/>
            <w:vAlign w:val="center"/>
            <w:shd w:fill="0B1F5B"/>
          </w:tcPr>
          <w:p>
            <w:r/>
            <w:r>
              <w:rPr>
                <w:rFonts w:ascii="Aptos" w:hAnsi="Aptos"/>
                <w:b/>
                <w:color w:val="FFFFFF"/>
                <w:sz w:val="17"/>
              </w:rPr>
              <w:t>Purpose</w:t>
            </w:r>
          </w:p>
        </w:tc>
        <w:tc>
          <w:tcPr>
            <w:tcW w:type="dxa" w:w="3312"/>
            <w:vAlign w:val="center"/>
            <w:shd w:fill="0B1F5B"/>
          </w:tcPr>
          <w:p>
            <w:r/>
            <w:r>
              <w:rPr>
                <w:rFonts w:ascii="Aptos" w:hAnsi="Aptos"/>
                <w:b/>
                <w:color w:val="FFFFFF"/>
                <w:sz w:val="17"/>
              </w:rPr>
              <w:t>Minimum Metadata</w:t>
            </w:r>
          </w:p>
        </w:tc>
      </w:tr>
      <w:tr>
        <w:tc>
          <w:tcPr>
            <w:tcW w:type="dxa" w:w="3312"/>
            <w:vAlign w:val="center"/>
            <w:shd w:fill="F7F9FC"/>
          </w:tcPr>
          <w:p>
            <w:r/>
            <w:r>
              <w:rPr>
                <w:rFonts w:ascii="Aptos" w:hAnsi="Aptos"/>
                <w:b w:val="0"/>
                <w:color w:val="1B2430"/>
                <w:sz w:val="16"/>
              </w:rPr>
              <w:t>AI Configuration Registry</w:t>
            </w:r>
          </w:p>
        </w:tc>
        <w:tc>
          <w:tcPr>
            <w:tcW w:type="dxa" w:w="3312"/>
            <w:vAlign w:val="center"/>
            <w:shd w:fill="F7F9FC"/>
          </w:tcPr>
          <w:p>
            <w:r/>
            <w:r>
              <w:rPr>
                <w:rFonts w:ascii="Aptos" w:hAnsi="Aptos"/>
                <w:b w:val="0"/>
                <w:color w:val="1B2430"/>
                <w:sz w:val="16"/>
              </w:rPr>
              <w:t>Approved models, providers, RAG settings, thresholds.</w:t>
            </w:r>
          </w:p>
        </w:tc>
        <w:tc>
          <w:tcPr>
            <w:tcW w:type="dxa" w:w="3312"/>
            <w:vAlign w:val="center"/>
            <w:shd w:fill="F7F9FC"/>
          </w:tcPr>
          <w:p>
            <w:r/>
            <w:r>
              <w:rPr>
                <w:rFonts w:ascii="Aptos" w:hAnsi="Aptos"/>
                <w:b w:val="0"/>
                <w:color w:val="1B2430"/>
                <w:sz w:val="16"/>
              </w:rPr>
              <w:t>model_id, provider, version, use_case, status, region, context limit, cost class.</w:t>
            </w:r>
          </w:p>
        </w:tc>
      </w:tr>
      <w:tr>
        <w:tc>
          <w:tcPr>
            <w:tcW w:type="dxa" w:w="3312"/>
            <w:vAlign w:val="center"/>
          </w:tcPr>
          <w:p>
            <w:r/>
            <w:r>
              <w:rPr>
                <w:rFonts w:ascii="Aptos" w:hAnsi="Aptos"/>
                <w:b w:val="0"/>
                <w:color w:val="1B2430"/>
                <w:sz w:val="16"/>
              </w:rPr>
              <w:t>Prompt Manager</w:t>
            </w:r>
          </w:p>
        </w:tc>
        <w:tc>
          <w:tcPr>
            <w:tcW w:type="dxa" w:w="3312"/>
            <w:vAlign w:val="center"/>
          </w:tcPr>
          <w:p>
            <w:r/>
            <w:r>
              <w:rPr>
                <w:rFonts w:ascii="Aptos" w:hAnsi="Aptos"/>
                <w:b w:val="0"/>
                <w:color w:val="1B2430"/>
                <w:sz w:val="16"/>
              </w:rPr>
              <w:t>Version and approve prompts/system instructions.</w:t>
            </w:r>
          </w:p>
        </w:tc>
        <w:tc>
          <w:tcPr>
            <w:tcW w:type="dxa" w:w="3312"/>
            <w:vAlign w:val="center"/>
          </w:tcPr>
          <w:p>
            <w:r/>
            <w:r>
              <w:rPr>
                <w:rFonts w:ascii="Aptos" w:hAnsi="Aptos"/>
                <w:b w:val="0"/>
                <w:color w:val="1B2430"/>
                <w:sz w:val="16"/>
              </w:rPr>
              <w:t>prompt_id, version, owner, approval, effective date, model compatibility.</w:t>
            </w:r>
          </w:p>
        </w:tc>
      </w:tr>
      <w:tr>
        <w:tc>
          <w:tcPr>
            <w:tcW w:type="dxa" w:w="3312"/>
            <w:vAlign w:val="center"/>
            <w:shd w:fill="F7F9FC"/>
          </w:tcPr>
          <w:p>
            <w:r/>
            <w:r>
              <w:rPr>
                <w:rFonts w:ascii="Aptos" w:hAnsi="Aptos"/>
                <w:b w:val="0"/>
                <w:color w:val="1B2430"/>
                <w:sz w:val="16"/>
              </w:rPr>
              <w:t>Feature Flags / AI Kill Switch</w:t>
            </w:r>
          </w:p>
        </w:tc>
        <w:tc>
          <w:tcPr>
            <w:tcW w:type="dxa" w:w="3312"/>
            <w:vAlign w:val="center"/>
            <w:shd w:fill="F7F9FC"/>
          </w:tcPr>
          <w:p>
            <w:r/>
            <w:r>
              <w:rPr>
                <w:rFonts w:ascii="Aptos" w:hAnsi="Aptos"/>
                <w:b w:val="0"/>
                <w:color w:val="1B2430"/>
                <w:sz w:val="16"/>
              </w:rPr>
              <w:t>Disable or degrade AI capabilities safely.</w:t>
            </w:r>
          </w:p>
        </w:tc>
        <w:tc>
          <w:tcPr>
            <w:tcW w:type="dxa" w:w="3312"/>
            <w:vAlign w:val="center"/>
            <w:shd w:fill="F7F9FC"/>
          </w:tcPr>
          <w:p>
            <w:r/>
            <w:r>
              <w:rPr>
                <w:rFonts w:ascii="Aptos" w:hAnsi="Aptos"/>
                <w:b w:val="0"/>
                <w:color w:val="1B2430"/>
                <w:sz w:val="16"/>
              </w:rPr>
              <w:t>feature, environment, scope, owner, reason, activation audit.</w:t>
            </w:r>
          </w:p>
        </w:tc>
      </w:tr>
      <w:tr>
        <w:tc>
          <w:tcPr>
            <w:tcW w:type="dxa" w:w="3312"/>
            <w:vAlign w:val="center"/>
          </w:tcPr>
          <w:p>
            <w:r/>
            <w:r>
              <w:rPr>
                <w:rFonts w:ascii="Aptos" w:hAnsi="Aptos"/>
                <w:b w:val="0"/>
                <w:color w:val="1B2430"/>
                <w:sz w:val="16"/>
              </w:rPr>
              <w:t>Data &amp; Model Usage Policy</w:t>
            </w:r>
          </w:p>
        </w:tc>
        <w:tc>
          <w:tcPr>
            <w:tcW w:type="dxa" w:w="3312"/>
            <w:vAlign w:val="center"/>
          </w:tcPr>
          <w:p>
            <w:r/>
            <w:r>
              <w:rPr>
                <w:rFonts w:ascii="Aptos" w:hAnsi="Aptos"/>
                <w:b w:val="0"/>
                <w:color w:val="1B2430"/>
                <w:sz w:val="16"/>
              </w:rPr>
              <w:t>Control which data classes may be used with which models/providers.</w:t>
            </w:r>
          </w:p>
        </w:tc>
        <w:tc>
          <w:tcPr>
            <w:tcW w:type="dxa" w:w="3312"/>
            <w:vAlign w:val="center"/>
          </w:tcPr>
          <w:p>
            <w:r/>
            <w:r>
              <w:rPr>
                <w:rFonts w:ascii="Aptos" w:hAnsi="Aptos"/>
                <w:b w:val="0"/>
                <w:color w:val="1B2430"/>
                <w:sz w:val="16"/>
              </w:rPr>
              <w:t>data class, use case, provider/model allowlist, retention rules.</w:t>
            </w:r>
          </w:p>
        </w:tc>
      </w:tr>
      <w:tr>
        <w:tc>
          <w:tcPr>
            <w:tcW w:type="dxa" w:w="3312"/>
            <w:vAlign w:val="center"/>
            <w:shd w:fill="F7F9FC"/>
          </w:tcPr>
          <w:p>
            <w:r/>
            <w:r>
              <w:rPr>
                <w:rFonts w:ascii="Aptos" w:hAnsi="Aptos"/>
                <w:b w:val="0"/>
                <w:color w:val="1B2430"/>
                <w:sz w:val="16"/>
              </w:rPr>
              <w:t>Evaluation Registry (recommended)</w:t>
            </w:r>
          </w:p>
        </w:tc>
        <w:tc>
          <w:tcPr>
            <w:tcW w:type="dxa" w:w="3312"/>
            <w:vAlign w:val="center"/>
            <w:shd w:fill="F7F9FC"/>
          </w:tcPr>
          <w:p>
            <w:r/>
            <w:r>
              <w:rPr>
                <w:rFonts w:ascii="Aptos" w:hAnsi="Aptos"/>
                <w:b w:val="0"/>
                <w:color w:val="1B2430"/>
                <w:sz w:val="16"/>
              </w:rPr>
              <w:t>Track offline/online quality baselines and release gates.</w:t>
            </w:r>
          </w:p>
        </w:tc>
        <w:tc>
          <w:tcPr>
            <w:tcW w:type="dxa" w:w="3312"/>
            <w:vAlign w:val="center"/>
            <w:shd w:fill="F7F9FC"/>
          </w:tcPr>
          <w:p>
            <w:r/>
            <w:r>
              <w:rPr>
                <w:rFonts w:ascii="Aptos" w:hAnsi="Aptos"/>
                <w:b w:val="0"/>
                <w:color w:val="1B2430"/>
                <w:sz w:val="16"/>
              </w:rPr>
              <w:t>dataset version, metrics, thresholds, evaluator version, release decision.</w:t>
            </w:r>
          </w:p>
        </w:tc>
      </w:tr>
    </w:tbl>
    <w:p>
      <w:pPr>
        <w:spacing w:after="20"/>
      </w:pPr>
    </w:p>
    <w:p>
      <w:bookmarkStart w:id="309" w:name="H_10__Observability__AI_Quality_and_Op"/>
      <w:pPr>
        <w:pStyle w:val="Heading1"/>
      </w:pPr>
      <w:r>
        <w:t>10. Observability, AI Quality and Operational Monitoring</w:t>
      </w:r>
      <w:bookmarkEnd w:id="309"/>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0B1F5B"/>
          </w:tcPr>
          <w:p>
            <w:r/>
            <w:r>
              <w:rPr>
                <w:rFonts w:ascii="Aptos" w:hAnsi="Aptos"/>
                <w:b/>
                <w:color w:val="FFFFFF"/>
                <w:sz w:val="17"/>
              </w:rPr>
              <w:t>Layer</w:t>
            </w:r>
          </w:p>
        </w:tc>
        <w:tc>
          <w:tcPr>
            <w:tcW w:type="dxa" w:w="4968"/>
            <w:vAlign w:val="center"/>
            <w:shd w:fill="0B1F5B"/>
          </w:tcPr>
          <w:p>
            <w:r/>
            <w:r>
              <w:rPr>
                <w:rFonts w:ascii="Aptos" w:hAnsi="Aptos"/>
                <w:b/>
                <w:color w:val="FFFFFF"/>
                <w:sz w:val="17"/>
              </w:rPr>
              <w:t>Telemetry</w:t>
            </w:r>
          </w:p>
        </w:tc>
      </w:tr>
      <w:tr>
        <w:tc>
          <w:tcPr>
            <w:tcW w:type="dxa" w:w="4968"/>
            <w:vAlign w:val="center"/>
            <w:shd w:fill="F7F9FC"/>
          </w:tcPr>
          <w:p>
            <w:r/>
            <w:r>
              <w:rPr>
                <w:rFonts w:ascii="Aptos" w:hAnsi="Aptos"/>
                <w:b w:val="0"/>
                <w:color w:val="1B2430"/>
                <w:sz w:val="16"/>
              </w:rPr>
              <w:t>Application/API</w:t>
            </w:r>
          </w:p>
        </w:tc>
        <w:tc>
          <w:tcPr>
            <w:tcW w:type="dxa" w:w="4968"/>
            <w:vAlign w:val="center"/>
            <w:shd w:fill="F7F9FC"/>
          </w:tcPr>
          <w:p>
            <w:r/>
            <w:r>
              <w:rPr>
                <w:rFonts w:ascii="Aptos" w:hAnsi="Aptos"/>
                <w:b w:val="0"/>
                <w:color w:val="1B2430"/>
                <w:sz w:val="16"/>
              </w:rPr>
              <w:t>Request rate, latency, status codes, auth failures, validation failures, idempotency hits, dependency latency.</w:t>
            </w:r>
          </w:p>
        </w:tc>
      </w:tr>
      <w:tr>
        <w:tc>
          <w:tcPr>
            <w:tcW w:type="dxa" w:w="4968"/>
            <w:vAlign w:val="center"/>
          </w:tcPr>
          <w:p>
            <w:r/>
            <w:r>
              <w:rPr>
                <w:rFonts w:ascii="Aptos" w:hAnsi="Aptos"/>
                <w:b w:val="0"/>
                <w:color w:val="1B2430"/>
                <w:sz w:val="16"/>
              </w:rPr>
              <w:t>Workflow</w:t>
            </w:r>
          </w:p>
        </w:tc>
        <w:tc>
          <w:tcPr>
            <w:tcW w:type="dxa" w:w="4968"/>
            <w:vAlign w:val="center"/>
          </w:tcPr>
          <w:p>
            <w:r/>
            <w:r>
              <w:rPr>
                <w:rFonts w:ascii="Aptos" w:hAnsi="Aptos"/>
                <w:b w:val="0"/>
                <w:color w:val="1B2430"/>
                <w:sz w:val="16"/>
              </w:rPr>
              <w:t>Case/node duration, checkpoint count, interrupt frequency, retries, stuck workflows, completion rate, SLA age.</w:t>
            </w:r>
          </w:p>
        </w:tc>
      </w:tr>
      <w:tr>
        <w:tc>
          <w:tcPr>
            <w:tcW w:type="dxa" w:w="4968"/>
            <w:vAlign w:val="center"/>
            <w:shd w:fill="F7F9FC"/>
          </w:tcPr>
          <w:p>
            <w:r/>
            <w:r>
              <w:rPr>
                <w:rFonts w:ascii="Aptos" w:hAnsi="Aptos"/>
                <w:b w:val="0"/>
                <w:color w:val="1B2430"/>
                <w:sz w:val="16"/>
              </w:rPr>
              <w:t>Providers/Adapters</w:t>
            </w:r>
          </w:p>
        </w:tc>
        <w:tc>
          <w:tcPr>
            <w:tcW w:type="dxa" w:w="4968"/>
            <w:vAlign w:val="center"/>
            <w:shd w:fill="F7F9FC"/>
          </w:tcPr>
          <w:p>
            <w:r/>
            <w:r>
              <w:rPr>
                <w:rFonts w:ascii="Aptos" w:hAnsi="Aptos"/>
                <w:b w:val="0"/>
                <w:color w:val="1B2430"/>
                <w:sz w:val="16"/>
              </w:rPr>
              <w:t>Dependency latency, error rate, circuit-breaker state, data freshness, fallback rate.</w:t>
            </w:r>
          </w:p>
        </w:tc>
      </w:tr>
      <w:tr>
        <w:tc>
          <w:tcPr>
            <w:tcW w:type="dxa" w:w="4968"/>
            <w:vAlign w:val="center"/>
          </w:tcPr>
          <w:p>
            <w:r/>
            <w:r>
              <w:rPr>
                <w:rFonts w:ascii="Aptos" w:hAnsi="Aptos"/>
                <w:b w:val="0"/>
                <w:color w:val="1B2430"/>
                <w:sz w:val="16"/>
              </w:rPr>
              <w:t>Rules</w:t>
            </w:r>
          </w:p>
        </w:tc>
        <w:tc>
          <w:tcPr>
            <w:tcW w:type="dxa" w:w="4968"/>
            <w:vAlign w:val="center"/>
          </w:tcPr>
          <w:p>
            <w:r/>
            <w:r>
              <w:rPr>
                <w:rFonts w:ascii="Aptos" w:hAnsi="Aptos"/>
                <w:b w:val="0"/>
                <w:color w:val="1B2430"/>
                <w:sz w:val="16"/>
              </w:rPr>
              <w:t>Rule execution counts, exceptions, version distribution, decision reason codes.</w:t>
            </w:r>
          </w:p>
        </w:tc>
      </w:tr>
      <w:tr>
        <w:tc>
          <w:tcPr>
            <w:tcW w:type="dxa" w:w="4968"/>
            <w:vAlign w:val="center"/>
            <w:shd w:fill="F7F9FC"/>
          </w:tcPr>
          <w:p>
            <w:r/>
            <w:r>
              <w:rPr>
                <w:rFonts w:ascii="Aptos" w:hAnsi="Aptos"/>
                <w:b w:val="0"/>
                <w:color w:val="1B2430"/>
                <w:sz w:val="16"/>
              </w:rPr>
              <w:t>AI</w:t>
            </w:r>
          </w:p>
        </w:tc>
        <w:tc>
          <w:tcPr>
            <w:tcW w:type="dxa" w:w="4968"/>
            <w:vAlign w:val="center"/>
            <w:shd w:fill="F7F9FC"/>
          </w:tcPr>
          <w:p>
            <w:r/>
            <w:r>
              <w:rPr>
                <w:rFonts w:ascii="Aptos" w:hAnsi="Aptos"/>
                <w:b w:val="0"/>
                <w:color w:val="1B2430"/>
                <w:sz w:val="16"/>
              </w:rPr>
              <w:t>Model latency, token usage, cost, provider fallback, refusal/validation rate, classification confidence, recommendation acceptance/override rate.</w:t>
            </w:r>
          </w:p>
        </w:tc>
      </w:tr>
      <w:tr>
        <w:tc>
          <w:tcPr>
            <w:tcW w:type="dxa" w:w="4968"/>
            <w:vAlign w:val="center"/>
          </w:tcPr>
          <w:p>
            <w:r/>
            <w:r>
              <w:rPr>
                <w:rFonts w:ascii="Aptos" w:hAnsi="Aptos"/>
                <w:b w:val="0"/>
                <w:color w:val="1B2430"/>
                <w:sz w:val="16"/>
              </w:rPr>
              <w:t>RAG</w:t>
            </w:r>
          </w:p>
        </w:tc>
        <w:tc>
          <w:tcPr>
            <w:tcW w:type="dxa" w:w="4968"/>
            <w:vAlign w:val="center"/>
          </w:tcPr>
          <w:p>
            <w:r/>
            <w:r>
              <w:rPr>
                <w:rFonts w:ascii="Aptos" w:hAnsi="Aptos"/>
                <w:b w:val="0"/>
                <w:color w:val="1B2430"/>
                <w:sz w:val="16"/>
              </w:rPr>
              <w:t>Retrieval latency, hit count, reranker scores, low-confidence rate, policy-review rate, citation coverage.</w:t>
            </w:r>
          </w:p>
        </w:tc>
      </w:tr>
      <w:tr>
        <w:tc>
          <w:tcPr>
            <w:tcW w:type="dxa" w:w="4968"/>
            <w:vAlign w:val="center"/>
            <w:shd w:fill="F7F9FC"/>
          </w:tcPr>
          <w:p>
            <w:r/>
            <w:r>
              <w:rPr>
                <w:rFonts w:ascii="Aptos" w:hAnsi="Aptos"/>
                <w:b w:val="0"/>
                <w:color w:val="1B2430"/>
                <w:sz w:val="16"/>
              </w:rPr>
              <w:t>HITL</w:t>
            </w:r>
          </w:p>
        </w:tc>
        <w:tc>
          <w:tcPr>
            <w:tcW w:type="dxa" w:w="4968"/>
            <w:vAlign w:val="center"/>
            <w:shd w:fill="F7F9FC"/>
          </w:tcPr>
          <w:p>
            <w:r/>
            <w:r>
              <w:rPr>
                <w:rFonts w:ascii="Aptos" w:hAnsi="Aptos"/>
                <w:b w:val="0"/>
                <w:color w:val="1B2430"/>
                <w:sz w:val="16"/>
              </w:rPr>
              <w:t>Queue size, wait time, reviewer turnaround, override rate, supervisor escalation rate.</w:t>
            </w:r>
          </w:p>
        </w:tc>
      </w:tr>
      <w:tr>
        <w:tc>
          <w:tcPr>
            <w:tcW w:type="dxa" w:w="4968"/>
            <w:vAlign w:val="center"/>
          </w:tcPr>
          <w:p>
            <w:r/>
            <w:r>
              <w:rPr>
                <w:rFonts w:ascii="Aptos" w:hAnsi="Aptos"/>
                <w:b w:val="0"/>
                <w:color w:val="1B2430"/>
                <w:sz w:val="16"/>
              </w:rPr>
              <w:t>Business</w:t>
            </w:r>
          </w:p>
        </w:tc>
        <w:tc>
          <w:tcPr>
            <w:tcW w:type="dxa" w:w="4968"/>
            <w:vAlign w:val="center"/>
          </w:tcPr>
          <w:p>
            <w:r/>
            <w:r>
              <w:rPr>
                <w:rFonts w:ascii="Aptos" w:hAnsi="Aptos"/>
                <w:b w:val="0"/>
                <w:color w:val="1B2430"/>
                <w:sz w:val="16"/>
              </w:rPr>
              <w:t>Dispute volume, outcome distribution, time-to-resolution, evidence-request rate, communication delivery rate.</w:t>
            </w:r>
          </w:p>
        </w:tc>
      </w:tr>
      <w:tr>
        <w:tc>
          <w:tcPr>
            <w:tcW w:type="dxa" w:w="4968"/>
            <w:vAlign w:val="center"/>
            <w:shd w:fill="F7F9FC"/>
          </w:tcPr>
          <w:p>
            <w:r/>
            <w:r>
              <w:rPr>
                <w:rFonts w:ascii="Aptos" w:hAnsi="Aptos"/>
                <w:b w:val="0"/>
                <w:color w:val="1B2430"/>
                <w:sz w:val="16"/>
              </w:rPr>
              <w:t>Infrastructure</w:t>
            </w:r>
          </w:p>
        </w:tc>
        <w:tc>
          <w:tcPr>
            <w:tcW w:type="dxa" w:w="4968"/>
            <w:vAlign w:val="center"/>
            <w:shd w:fill="F7F9FC"/>
          </w:tcPr>
          <w:p>
            <w:r/>
            <w:r>
              <w:rPr>
                <w:rFonts w:ascii="Aptos" w:hAnsi="Aptos"/>
                <w:b w:val="0"/>
                <w:color w:val="1B2430"/>
                <w:sz w:val="16"/>
              </w:rPr>
              <w:t>CPU/memory, DB connections/locks, Redis saturation, object-store errors, queue lag, autoscaling events.</w:t>
            </w:r>
          </w:p>
        </w:tc>
      </w:tr>
    </w:tbl>
    <w:p>
      <w:pPr>
        <w:spacing w:after="20"/>
      </w:pPr>
    </w:p>
    <w:tbl>
      <w:tblPr>
        <w:tblW w:type="auto" w:w="0"/>
        <w:jc w:val="center"/>
        <w:tblLook w:firstColumn="1" w:firstRow="1" w:lastColumn="0" w:lastRow="0" w:noHBand="0" w:noVBand="1" w:val="04A0"/>
      </w:tblPr>
      <w:tblGrid>
        <w:gridCol w:w="9936"/>
      </w:tblGrid>
      <w:tr>
        <w:tc>
          <w:tcPr>
            <w:tcW w:type="dxa" w:w="9936"/>
            <w:shd w:fill="F0FBFC"/>
            <w:tcBorders>
              <w:top w:val="single" w:sz="8" w:color="087F8C"/>
              <w:left w:val="single" w:sz="8" w:color="087F8C"/>
              <w:bottom w:val="single" w:sz="8" w:color="087F8C"/>
              <w:right w:val="single" w:sz="8" w:color="087F8C"/>
            </w:tcBorders>
          </w:tcPr>
          <w:p>
            <w:r>
              <w:rPr>
                <w:b/>
                <w:color w:val="087F8C"/>
                <w:sz w:val="19"/>
              </w:rPr>
              <w:t xml:space="preserve">Telemetry design  </w:t>
            </w:r>
            <w:r>
              <w:rPr>
                <w:sz w:val="18"/>
              </w:rPr>
              <w:t>OpenTelemetry provides distributed traces, metrics and logs. LangSmith is positioned for development/evaluation trace analysis; LangWatch for production AI monitoring. Enterprise privacy controls should determine which payload fields are captured in each environment.</w:t>
            </w:r>
          </w:p>
        </w:tc>
      </w:tr>
    </w:tbl>
    <w:p>
      <w:pPr>
        <w:spacing w:after="20"/>
      </w:pPr>
    </w:p>
    <w:p>
      <w:bookmarkStart w:id="310" w:name="H_11__Reliability__Resilience_and_Fail"/>
      <w:pPr>
        <w:pStyle w:val="Heading1"/>
      </w:pPr>
      <w:r>
        <w:t>11. Reliability, Resilience and Failure Handling</w:t>
      </w:r>
      <w:bookmarkEnd w:id="310"/>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0B1F5B"/>
          </w:tcPr>
          <w:p>
            <w:r/>
            <w:r>
              <w:rPr>
                <w:rFonts w:ascii="Aptos" w:hAnsi="Aptos"/>
                <w:b/>
                <w:color w:val="FFFFFF"/>
                <w:sz w:val="17"/>
              </w:rPr>
              <w:t>Failure Scenario</w:t>
            </w:r>
          </w:p>
        </w:tc>
        <w:tc>
          <w:tcPr>
            <w:tcW w:type="dxa" w:w="4968"/>
            <w:vAlign w:val="center"/>
            <w:shd w:fill="0B1F5B"/>
          </w:tcPr>
          <w:p>
            <w:r/>
            <w:r>
              <w:rPr>
                <w:rFonts w:ascii="Aptos" w:hAnsi="Aptos"/>
                <w:b/>
                <w:color w:val="FFFFFF"/>
                <w:sz w:val="17"/>
              </w:rPr>
              <w:t>Expected Behavior</w:t>
            </w:r>
          </w:p>
        </w:tc>
      </w:tr>
      <w:tr>
        <w:tc>
          <w:tcPr>
            <w:tcW w:type="dxa" w:w="4968"/>
            <w:vAlign w:val="center"/>
            <w:shd w:fill="F7F9FC"/>
          </w:tcPr>
          <w:p>
            <w:r/>
            <w:r>
              <w:rPr>
                <w:rFonts w:ascii="Aptos" w:hAnsi="Aptos"/>
                <w:b w:val="0"/>
                <w:color w:val="1B2430"/>
                <w:sz w:val="16"/>
              </w:rPr>
              <w:t>Duplicate client request</w:t>
            </w:r>
          </w:p>
        </w:tc>
        <w:tc>
          <w:tcPr>
            <w:tcW w:type="dxa" w:w="4968"/>
            <w:vAlign w:val="center"/>
            <w:shd w:fill="F7F9FC"/>
          </w:tcPr>
          <w:p>
            <w:r/>
            <w:r>
              <w:rPr>
                <w:rFonts w:ascii="Aptos" w:hAnsi="Aptos"/>
                <w:b w:val="0"/>
                <w:color w:val="1B2430"/>
                <w:sz w:val="16"/>
              </w:rPr>
              <w:t>Idempotency layer returns prior outcome or safely continues the existing command.</w:t>
            </w:r>
          </w:p>
        </w:tc>
      </w:tr>
      <w:tr>
        <w:tc>
          <w:tcPr>
            <w:tcW w:type="dxa" w:w="4968"/>
            <w:vAlign w:val="center"/>
          </w:tcPr>
          <w:p>
            <w:r/>
            <w:r>
              <w:rPr>
                <w:rFonts w:ascii="Aptos" w:hAnsi="Aptos"/>
                <w:b w:val="0"/>
                <w:color w:val="1B2430"/>
                <w:sz w:val="16"/>
              </w:rPr>
              <w:t>Transient provider failure</w:t>
            </w:r>
          </w:p>
        </w:tc>
        <w:tc>
          <w:tcPr>
            <w:tcW w:type="dxa" w:w="4968"/>
            <w:vAlign w:val="center"/>
          </w:tcPr>
          <w:p>
            <w:r/>
            <w:r>
              <w:rPr>
                <w:rFonts w:ascii="Aptos" w:hAnsi="Aptos"/>
                <w:b w:val="0"/>
                <w:color w:val="1B2430"/>
                <w:sz w:val="16"/>
              </w:rPr>
              <w:t>Bounded retry with backoff/jitter; circuit breaker; fallback only when semantically valid.</w:t>
            </w:r>
          </w:p>
        </w:tc>
      </w:tr>
      <w:tr>
        <w:tc>
          <w:tcPr>
            <w:tcW w:type="dxa" w:w="4968"/>
            <w:vAlign w:val="center"/>
            <w:shd w:fill="F7F9FC"/>
          </w:tcPr>
          <w:p>
            <w:r/>
            <w:r>
              <w:rPr>
                <w:rFonts w:ascii="Aptos" w:hAnsi="Aptos"/>
                <w:b w:val="0"/>
                <w:color w:val="1B2430"/>
                <w:sz w:val="16"/>
              </w:rPr>
              <w:t>Model timeout/failure</w:t>
            </w:r>
          </w:p>
        </w:tc>
        <w:tc>
          <w:tcPr>
            <w:tcW w:type="dxa" w:w="4968"/>
            <w:vAlign w:val="center"/>
            <w:shd w:fill="F7F9FC"/>
          </w:tcPr>
          <w:p>
            <w:r/>
            <w:r>
              <w:rPr>
                <w:rFonts w:ascii="Aptos" w:hAnsi="Aptos"/>
                <w:b w:val="0"/>
                <w:color w:val="1B2430"/>
                <w:sz w:val="16"/>
              </w:rPr>
              <w:t>Gateway tries configured fallback or routes to manual path; deterministic workflow remains recoverable.</w:t>
            </w:r>
          </w:p>
        </w:tc>
      </w:tr>
      <w:tr>
        <w:tc>
          <w:tcPr>
            <w:tcW w:type="dxa" w:w="4968"/>
            <w:vAlign w:val="center"/>
          </w:tcPr>
          <w:p>
            <w:r/>
            <w:r>
              <w:rPr>
                <w:rFonts w:ascii="Aptos" w:hAnsi="Aptos"/>
                <w:b w:val="0"/>
                <w:color w:val="1B2430"/>
                <w:sz w:val="16"/>
              </w:rPr>
              <w:t>Policy retrieval confidence too low</w:t>
            </w:r>
          </w:p>
        </w:tc>
        <w:tc>
          <w:tcPr>
            <w:tcW w:type="dxa" w:w="4968"/>
            <w:vAlign w:val="center"/>
          </w:tcPr>
          <w:p>
            <w:r/>
            <w:r>
              <w:rPr>
                <w:rFonts w:ascii="Aptos" w:hAnsi="Aptos"/>
                <w:b w:val="0"/>
                <w:color w:val="1B2430"/>
                <w:sz w:val="16"/>
              </w:rPr>
              <w:t>Interrupt to policy review; no autonomous final decision.</w:t>
            </w:r>
          </w:p>
        </w:tc>
      </w:tr>
      <w:tr>
        <w:tc>
          <w:tcPr>
            <w:tcW w:type="dxa" w:w="4968"/>
            <w:vAlign w:val="center"/>
            <w:shd w:fill="F7F9FC"/>
          </w:tcPr>
          <w:p>
            <w:r/>
            <w:r>
              <w:rPr>
                <w:rFonts w:ascii="Aptos" w:hAnsi="Aptos"/>
                <w:b w:val="0"/>
                <w:color w:val="1B2430"/>
                <w:sz w:val="16"/>
              </w:rPr>
              <w:t>Rules engine exception</w:t>
            </w:r>
          </w:p>
        </w:tc>
        <w:tc>
          <w:tcPr>
            <w:tcW w:type="dxa" w:w="4968"/>
            <w:vAlign w:val="center"/>
            <w:shd w:fill="F7F9FC"/>
          </w:tcPr>
          <w:p>
            <w:r/>
            <w:r>
              <w:rPr>
                <w:rFonts w:ascii="Aptos" w:hAnsi="Aptos"/>
                <w:b w:val="0"/>
                <w:color w:val="1B2430"/>
                <w:sz w:val="16"/>
              </w:rPr>
              <w:t>Manual review; preserve inputs/rule version/error evidence.</w:t>
            </w:r>
          </w:p>
        </w:tc>
      </w:tr>
      <w:tr>
        <w:tc>
          <w:tcPr>
            <w:tcW w:type="dxa" w:w="4968"/>
            <w:vAlign w:val="center"/>
          </w:tcPr>
          <w:p>
            <w:r/>
            <w:r>
              <w:rPr>
                <w:rFonts w:ascii="Aptos" w:hAnsi="Aptos"/>
                <w:b w:val="0"/>
                <w:color w:val="1B2430"/>
                <w:sz w:val="16"/>
              </w:rPr>
              <w:t>Workflow worker crash</w:t>
            </w:r>
          </w:p>
        </w:tc>
        <w:tc>
          <w:tcPr>
            <w:tcW w:type="dxa" w:w="4968"/>
            <w:vAlign w:val="center"/>
          </w:tcPr>
          <w:p>
            <w:r/>
            <w:r>
              <w:rPr>
                <w:rFonts w:ascii="Aptos" w:hAnsi="Aptos"/>
                <w:b w:val="0"/>
                <w:color w:val="1B2430"/>
                <w:sz w:val="16"/>
              </w:rPr>
              <w:t>Resume from persisted LangGraph checkpoint; side effects protected by idempotency.</w:t>
            </w:r>
          </w:p>
        </w:tc>
      </w:tr>
      <w:tr>
        <w:tc>
          <w:tcPr>
            <w:tcW w:type="dxa" w:w="4968"/>
            <w:vAlign w:val="center"/>
            <w:shd w:fill="F7F9FC"/>
          </w:tcPr>
          <w:p>
            <w:r/>
            <w:r>
              <w:rPr>
                <w:rFonts w:ascii="Aptos" w:hAnsi="Aptos"/>
                <w:b w:val="0"/>
                <w:color w:val="1B2430"/>
                <w:sz w:val="16"/>
              </w:rPr>
              <w:t>Database outage</w:t>
            </w:r>
          </w:p>
        </w:tc>
        <w:tc>
          <w:tcPr>
            <w:tcW w:type="dxa" w:w="4968"/>
            <w:vAlign w:val="center"/>
            <w:shd w:fill="F7F9FC"/>
          </w:tcPr>
          <w:p>
            <w:r/>
            <w:r>
              <w:rPr>
                <w:rFonts w:ascii="Aptos" w:hAnsi="Aptos"/>
                <w:b w:val="0"/>
                <w:color w:val="1B2430"/>
                <w:sz w:val="16"/>
              </w:rPr>
              <w:t>Fail closed for mutations/finalization; use connection retry and operational recovery; no untracked decision.</w:t>
            </w:r>
          </w:p>
        </w:tc>
      </w:tr>
      <w:tr>
        <w:tc>
          <w:tcPr>
            <w:tcW w:type="dxa" w:w="4968"/>
            <w:vAlign w:val="center"/>
          </w:tcPr>
          <w:p>
            <w:r/>
            <w:r>
              <w:rPr>
                <w:rFonts w:ascii="Aptos" w:hAnsi="Aptos"/>
                <w:b w:val="0"/>
                <w:color w:val="1B2430"/>
                <w:sz w:val="16"/>
              </w:rPr>
              <w:t>Notification failure</w:t>
            </w:r>
          </w:p>
        </w:tc>
        <w:tc>
          <w:tcPr>
            <w:tcW w:type="dxa" w:w="4968"/>
            <w:vAlign w:val="center"/>
          </w:tcPr>
          <w:p>
            <w:r/>
            <w:r>
              <w:rPr>
                <w:rFonts w:ascii="Aptos" w:hAnsi="Aptos"/>
                <w:b w:val="0"/>
                <w:color w:val="1B2430"/>
                <w:sz w:val="16"/>
              </w:rPr>
              <w:t>Case decision remains persisted; notification retries asynchronously with delivery status and alerting.</w:t>
            </w:r>
          </w:p>
        </w:tc>
      </w:tr>
      <w:tr>
        <w:tc>
          <w:tcPr>
            <w:tcW w:type="dxa" w:w="4968"/>
            <w:vAlign w:val="center"/>
            <w:shd w:fill="F7F9FC"/>
          </w:tcPr>
          <w:p>
            <w:r/>
            <w:r>
              <w:rPr>
                <w:rFonts w:ascii="Aptos" w:hAnsi="Aptos"/>
                <w:b w:val="0"/>
                <w:color w:val="1B2430"/>
                <w:sz w:val="16"/>
              </w:rPr>
              <w:t>Audit store failure</w:t>
            </w:r>
          </w:p>
        </w:tc>
        <w:tc>
          <w:tcPr>
            <w:tcW w:type="dxa" w:w="4968"/>
            <w:vAlign w:val="center"/>
            <w:shd w:fill="F7F9FC"/>
          </w:tcPr>
          <w:p>
            <w:r/>
            <w:r>
              <w:rPr>
                <w:rFonts w:ascii="Aptos" w:hAnsi="Aptos"/>
                <w:b w:val="0"/>
                <w:color w:val="1B2430"/>
                <w:sz w:val="16"/>
              </w:rPr>
              <w:t>Do not silently finalize if required audit evidence cannot be persisted; use outbox/recovery policy.</w:t>
            </w:r>
          </w:p>
        </w:tc>
      </w:tr>
      <w:tr>
        <w:tc>
          <w:tcPr>
            <w:tcW w:type="dxa" w:w="4968"/>
            <w:vAlign w:val="center"/>
          </w:tcPr>
          <w:p>
            <w:r/>
            <w:r>
              <w:rPr>
                <w:rFonts w:ascii="Aptos" w:hAnsi="Aptos"/>
                <w:b w:val="0"/>
                <w:color w:val="1B2430"/>
                <w:sz w:val="16"/>
              </w:rPr>
              <w:t>AI quality degradation</w:t>
            </w:r>
          </w:p>
        </w:tc>
        <w:tc>
          <w:tcPr>
            <w:tcW w:type="dxa" w:w="4968"/>
            <w:vAlign w:val="center"/>
          </w:tcPr>
          <w:p>
            <w:r/>
            <w:r>
              <w:rPr>
                <w:rFonts w:ascii="Aptos" w:hAnsi="Aptos"/>
                <w:b w:val="0"/>
                <w:color w:val="1B2430"/>
                <w:sz w:val="16"/>
              </w:rPr>
              <w:t>Feature flag/kill switch can disable affected model capability and fall back to deterministic/HITL path.</w:t>
            </w:r>
          </w:p>
        </w:tc>
      </w:tr>
    </w:tbl>
    <w:p>
      <w:pPr>
        <w:spacing w:after="20"/>
      </w:pPr>
    </w:p>
    <w:p>
      <w:pPr>
        <w:pStyle w:val="Heading2"/>
      </w:pPr>
      <w:r>
        <w:t>11.1 Recommended Transaction/Side-Effect Pattern</w:t>
      </w:r>
    </w:p>
    <w:p>
      <w:pPr>
        <w:pStyle w:val="ListNumber"/>
      </w:pPr>
      <w:r>
        <w:t>Persist business decision and an outbox event in one database transaction.</w:t>
      </w:r>
    </w:p>
    <w:p>
      <w:pPr>
        <w:pStyle w:val="ListNumber"/>
      </w:pPr>
      <w:r>
        <w:t>Commit workflow checkpoint after a side effect is durably recorded.</w:t>
      </w:r>
    </w:p>
    <w:p>
      <w:pPr>
        <w:pStyle w:val="ListNumber"/>
      </w:pPr>
      <w:r>
        <w:t>Dispatch notifications/audit/export events asynchronously from the outbox where latency permits.</w:t>
      </w:r>
    </w:p>
    <w:p>
      <w:pPr>
        <w:pStyle w:val="ListNumber"/>
      </w:pPr>
      <w:r>
        <w:t>Use idempotency keys at every external side-effect boundary.</w:t>
      </w:r>
    </w:p>
    <w:p>
      <w:pPr>
        <w:pStyle w:val="ListNumber"/>
      </w:pPr>
      <w:r>
        <w:t>Never rely on “exactly once” delivery assumptions across distributed systems; design for at-least-once + idempotent handling.</w:t>
      </w:r>
    </w:p>
    <w:p>
      <w:bookmarkStart w:id="311" w:name="H_12__Scalability_and_Performance_Desi"/>
      <w:pPr>
        <w:pStyle w:val="Heading1"/>
      </w:pPr>
      <w:r>
        <w:t>12. Scalability and Performance Design</w:t>
      </w:r>
      <w:bookmarkEnd w:id="311"/>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0B1F5B"/>
          </w:tcPr>
          <w:p>
            <w:r/>
            <w:r>
              <w:rPr>
                <w:rFonts w:ascii="Aptos" w:hAnsi="Aptos"/>
                <w:b/>
                <w:color w:val="FFFFFF"/>
                <w:sz w:val="17"/>
              </w:rPr>
              <w:t>Area</w:t>
            </w:r>
          </w:p>
        </w:tc>
        <w:tc>
          <w:tcPr>
            <w:tcW w:type="dxa" w:w="4968"/>
            <w:vAlign w:val="center"/>
            <w:shd w:fill="0B1F5B"/>
          </w:tcPr>
          <w:p>
            <w:r/>
            <w:r>
              <w:rPr>
                <w:rFonts w:ascii="Aptos" w:hAnsi="Aptos"/>
                <w:b/>
                <w:color w:val="FFFFFF"/>
                <w:sz w:val="17"/>
              </w:rPr>
              <w:t>Scaling Strategy</w:t>
            </w:r>
          </w:p>
        </w:tc>
      </w:tr>
      <w:tr>
        <w:tc>
          <w:tcPr>
            <w:tcW w:type="dxa" w:w="4968"/>
            <w:vAlign w:val="center"/>
            <w:shd w:fill="F7F9FC"/>
          </w:tcPr>
          <w:p>
            <w:r/>
            <w:r>
              <w:rPr>
                <w:rFonts w:ascii="Aptos" w:hAnsi="Aptos"/>
                <w:b w:val="0"/>
                <w:color w:val="1B2430"/>
                <w:sz w:val="16"/>
              </w:rPr>
              <w:t>API/Application</w:t>
            </w:r>
          </w:p>
        </w:tc>
        <w:tc>
          <w:tcPr>
            <w:tcW w:type="dxa" w:w="4968"/>
            <w:vAlign w:val="center"/>
            <w:shd w:fill="F7F9FC"/>
          </w:tcPr>
          <w:p>
            <w:r/>
            <w:r>
              <w:rPr>
                <w:rFonts w:ascii="Aptos" w:hAnsi="Aptos"/>
                <w:b w:val="0"/>
                <w:color w:val="1B2430"/>
                <w:sz w:val="16"/>
              </w:rPr>
              <w:t>Stateless FastAPI instances behind load balancer; horizontal autoscaling by CPU/RPS/latency.</w:t>
            </w:r>
          </w:p>
        </w:tc>
      </w:tr>
      <w:tr>
        <w:tc>
          <w:tcPr>
            <w:tcW w:type="dxa" w:w="4968"/>
            <w:vAlign w:val="center"/>
          </w:tcPr>
          <w:p>
            <w:r/>
            <w:r>
              <w:rPr>
                <w:rFonts w:ascii="Aptos" w:hAnsi="Aptos"/>
                <w:b w:val="0"/>
                <w:color w:val="1B2430"/>
                <w:sz w:val="16"/>
              </w:rPr>
              <w:t>LangGraph Workers</w:t>
            </w:r>
          </w:p>
        </w:tc>
        <w:tc>
          <w:tcPr>
            <w:tcW w:type="dxa" w:w="4968"/>
            <w:vAlign w:val="center"/>
          </w:tcPr>
          <w:p>
            <w:r/>
            <w:r>
              <w:rPr>
                <w:rFonts w:ascii="Aptos" w:hAnsi="Aptos"/>
                <w:b w:val="0"/>
                <w:color w:val="1B2430"/>
                <w:sz w:val="16"/>
              </w:rPr>
              <w:t>Partition/scale workers independently by workflow volume and node type; checkpoint store centralizes recoverable state.</w:t>
            </w:r>
          </w:p>
        </w:tc>
      </w:tr>
      <w:tr>
        <w:tc>
          <w:tcPr>
            <w:tcW w:type="dxa" w:w="4968"/>
            <w:vAlign w:val="center"/>
            <w:shd w:fill="F7F9FC"/>
          </w:tcPr>
          <w:p>
            <w:r/>
            <w:r>
              <w:rPr>
                <w:rFonts w:ascii="Aptos" w:hAnsi="Aptos"/>
                <w:b w:val="0"/>
                <w:color w:val="1B2430"/>
                <w:sz w:val="16"/>
              </w:rPr>
              <w:t>AI Services</w:t>
            </w:r>
          </w:p>
        </w:tc>
        <w:tc>
          <w:tcPr>
            <w:tcW w:type="dxa" w:w="4968"/>
            <w:vAlign w:val="center"/>
            <w:shd w:fill="F7F9FC"/>
          </w:tcPr>
          <w:p>
            <w:r/>
            <w:r>
              <w:rPr>
                <w:rFonts w:ascii="Aptos" w:hAnsi="Aptos"/>
                <w:b w:val="0"/>
                <w:color w:val="1B2430"/>
                <w:sz w:val="16"/>
              </w:rPr>
              <w:t>Separate concurrency budgets/queues for classification, evidence analysis, recommendation and communication.</w:t>
            </w:r>
          </w:p>
        </w:tc>
      </w:tr>
      <w:tr>
        <w:tc>
          <w:tcPr>
            <w:tcW w:type="dxa" w:w="4968"/>
            <w:vAlign w:val="center"/>
          </w:tcPr>
          <w:p>
            <w:r/>
            <w:r>
              <w:rPr>
                <w:rFonts w:ascii="Aptos" w:hAnsi="Aptos"/>
                <w:b w:val="0"/>
                <w:color w:val="1B2430"/>
                <w:sz w:val="16"/>
              </w:rPr>
              <w:t>PostgreSQL</w:t>
            </w:r>
          </w:p>
        </w:tc>
        <w:tc>
          <w:tcPr>
            <w:tcW w:type="dxa" w:w="4968"/>
            <w:vAlign w:val="center"/>
          </w:tcPr>
          <w:p>
            <w:r/>
            <w:r>
              <w:rPr>
                <w:rFonts w:ascii="Aptos" w:hAnsi="Aptos"/>
                <w:b w:val="0"/>
                <w:color w:val="1B2430"/>
                <w:sz w:val="16"/>
              </w:rPr>
              <w:t>Connection pooling, indexes, read replicas for reporting/search where safe, partitioning/archival for large event tables.</w:t>
            </w:r>
          </w:p>
        </w:tc>
      </w:tr>
      <w:tr>
        <w:tc>
          <w:tcPr>
            <w:tcW w:type="dxa" w:w="4968"/>
            <w:vAlign w:val="center"/>
            <w:shd w:fill="F7F9FC"/>
          </w:tcPr>
          <w:p>
            <w:r/>
            <w:r>
              <w:rPr>
                <w:rFonts w:ascii="Aptos" w:hAnsi="Aptos"/>
                <w:b w:val="0"/>
                <w:color w:val="1B2430"/>
                <w:sz w:val="16"/>
              </w:rPr>
              <w:t>pgvector</w:t>
            </w:r>
          </w:p>
        </w:tc>
        <w:tc>
          <w:tcPr>
            <w:tcW w:type="dxa" w:w="4968"/>
            <w:vAlign w:val="center"/>
            <w:shd w:fill="F7F9FC"/>
          </w:tcPr>
          <w:p>
            <w:r/>
            <w:r>
              <w:rPr>
                <w:rFonts w:ascii="Aptos" w:hAnsi="Aptos"/>
                <w:b w:val="0"/>
                <w:color w:val="1B2430"/>
                <w:sz w:val="16"/>
              </w:rPr>
              <w:t>Metadata pre-filtering, suitable vector indexes, embedding dimension governance, retrieval benchmarking.</w:t>
            </w:r>
          </w:p>
        </w:tc>
      </w:tr>
      <w:tr>
        <w:tc>
          <w:tcPr>
            <w:tcW w:type="dxa" w:w="4968"/>
            <w:vAlign w:val="center"/>
          </w:tcPr>
          <w:p>
            <w:r/>
            <w:r>
              <w:rPr>
                <w:rFonts w:ascii="Aptos" w:hAnsi="Aptos"/>
                <w:b w:val="0"/>
                <w:color w:val="1B2430"/>
                <w:sz w:val="16"/>
              </w:rPr>
              <w:t>Redis</w:t>
            </w:r>
          </w:p>
        </w:tc>
        <w:tc>
          <w:tcPr>
            <w:tcW w:type="dxa" w:w="4968"/>
            <w:vAlign w:val="center"/>
          </w:tcPr>
          <w:p>
            <w:r/>
            <w:r>
              <w:rPr>
                <w:rFonts w:ascii="Aptos" w:hAnsi="Aptos"/>
                <w:b w:val="0"/>
                <w:color w:val="1B2430"/>
                <w:sz w:val="16"/>
              </w:rPr>
              <w:t>Cluster/HA as required; bounded TTL; separate critical locks/queues from opportunistic cache if needed.</w:t>
            </w:r>
          </w:p>
        </w:tc>
      </w:tr>
      <w:tr>
        <w:tc>
          <w:tcPr>
            <w:tcW w:type="dxa" w:w="4968"/>
            <w:vAlign w:val="center"/>
            <w:shd w:fill="F7F9FC"/>
          </w:tcPr>
          <w:p>
            <w:r/>
            <w:r>
              <w:rPr>
                <w:rFonts w:ascii="Aptos" w:hAnsi="Aptos"/>
                <w:b w:val="0"/>
                <w:color w:val="1B2430"/>
                <w:sz w:val="16"/>
              </w:rPr>
              <w:t>Object Storage</w:t>
            </w:r>
          </w:p>
        </w:tc>
        <w:tc>
          <w:tcPr>
            <w:tcW w:type="dxa" w:w="4968"/>
            <w:vAlign w:val="center"/>
            <w:shd w:fill="F7F9FC"/>
          </w:tcPr>
          <w:p>
            <w:r/>
            <w:r>
              <w:rPr>
                <w:rFonts w:ascii="Aptos" w:hAnsi="Aptos"/>
                <w:b w:val="0"/>
                <w:color w:val="1B2430"/>
                <w:sz w:val="16"/>
              </w:rPr>
              <w:t>Native horizontal scale; signed URLs and CDN only where policy permits.</w:t>
            </w:r>
          </w:p>
        </w:tc>
      </w:tr>
      <w:tr>
        <w:tc>
          <w:tcPr>
            <w:tcW w:type="dxa" w:w="4968"/>
            <w:vAlign w:val="center"/>
          </w:tcPr>
          <w:p>
            <w:r/>
            <w:r>
              <w:rPr>
                <w:rFonts w:ascii="Aptos" w:hAnsi="Aptos"/>
                <w:b w:val="0"/>
                <w:color w:val="1B2430"/>
                <w:sz w:val="16"/>
              </w:rPr>
              <w:t>External Providers</w:t>
            </w:r>
          </w:p>
        </w:tc>
        <w:tc>
          <w:tcPr>
            <w:tcW w:type="dxa" w:w="4968"/>
            <w:vAlign w:val="center"/>
          </w:tcPr>
          <w:p>
            <w:r/>
            <w:r>
              <w:rPr>
                <w:rFonts w:ascii="Aptos" w:hAnsi="Aptos"/>
                <w:b w:val="0"/>
                <w:color w:val="1B2430"/>
                <w:sz w:val="16"/>
              </w:rPr>
              <w:t>Per-provider rate limiters, bulkheads and circuit breakers to avoid cascading failure.</w:t>
            </w:r>
          </w:p>
        </w:tc>
      </w:tr>
    </w:tbl>
    <w:p>
      <w:pPr>
        <w:spacing w:after="20"/>
      </w:pPr>
    </w:p>
    <w:p>
      <w:pPr>
        <w:pStyle w:val="Heading2"/>
      </w:pPr>
      <w:r>
        <w:t>12.1 Initial Performance Targets (Proposed - Validate with Product/SRE)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0B1F5B"/>
          </w:tcPr>
          <w:p>
            <w:r/>
            <w:r>
              <w:rPr>
                <w:rFonts w:ascii="Aptos" w:hAnsi="Aptos"/>
                <w:b/>
                <w:color w:val="FFFFFF"/>
                <w:sz w:val="17"/>
              </w:rPr>
              <w:t>Metric</w:t>
            </w:r>
          </w:p>
        </w:tc>
        <w:tc>
          <w:tcPr>
            <w:tcW w:type="dxa" w:w="4968"/>
            <w:vAlign w:val="center"/>
            <w:shd w:fill="0B1F5B"/>
          </w:tcPr>
          <w:p>
            <w:r/>
            <w:r>
              <w:rPr>
                <w:rFonts w:ascii="Aptos" w:hAnsi="Aptos"/>
                <w:b/>
                <w:color w:val="FFFFFF"/>
                <w:sz w:val="17"/>
              </w:rPr>
              <w:t>Proposed Target / Principle</w:t>
            </w:r>
          </w:p>
        </w:tc>
      </w:tr>
      <w:tr>
        <w:tc>
          <w:tcPr>
            <w:tcW w:type="dxa" w:w="4968"/>
            <w:vAlign w:val="center"/>
            <w:shd w:fill="F7F9FC"/>
          </w:tcPr>
          <w:p>
            <w:r/>
            <w:r>
              <w:rPr>
                <w:rFonts w:ascii="Aptos" w:hAnsi="Aptos"/>
                <w:b w:val="0"/>
                <w:color w:val="1B2430"/>
                <w:sz w:val="16"/>
              </w:rPr>
              <w:t>API synchronous validation</w:t>
            </w:r>
          </w:p>
        </w:tc>
        <w:tc>
          <w:tcPr>
            <w:tcW w:type="dxa" w:w="4968"/>
            <w:vAlign w:val="center"/>
            <w:shd w:fill="F7F9FC"/>
          </w:tcPr>
          <w:p>
            <w:r/>
            <w:r>
              <w:rPr>
                <w:rFonts w:ascii="Aptos" w:hAnsi="Aptos"/>
                <w:b w:val="0"/>
                <w:color w:val="1B2430"/>
                <w:sz w:val="16"/>
              </w:rPr>
              <w:t>P95 &lt; 500 ms excluding external provider calls.</w:t>
            </w:r>
          </w:p>
        </w:tc>
      </w:tr>
      <w:tr>
        <w:tc>
          <w:tcPr>
            <w:tcW w:type="dxa" w:w="4968"/>
            <w:vAlign w:val="center"/>
          </w:tcPr>
          <w:p>
            <w:r/>
            <w:r>
              <w:rPr>
                <w:rFonts w:ascii="Aptos" w:hAnsi="Aptos"/>
                <w:b w:val="0"/>
                <w:color w:val="1B2430"/>
                <w:sz w:val="16"/>
              </w:rPr>
              <w:t>Workflow durability</w:t>
            </w:r>
          </w:p>
        </w:tc>
        <w:tc>
          <w:tcPr>
            <w:tcW w:type="dxa" w:w="4968"/>
            <w:vAlign w:val="center"/>
          </w:tcPr>
          <w:p>
            <w:r/>
            <w:r>
              <w:rPr>
                <w:rFonts w:ascii="Aptos" w:hAnsi="Aptos"/>
                <w:b w:val="0"/>
                <w:color w:val="1B2430"/>
                <w:sz w:val="16"/>
              </w:rPr>
              <w:t>Checkpoint at every material state transition and before/after controlled side effects.</w:t>
            </w:r>
          </w:p>
        </w:tc>
      </w:tr>
      <w:tr>
        <w:tc>
          <w:tcPr>
            <w:tcW w:type="dxa" w:w="4968"/>
            <w:vAlign w:val="center"/>
            <w:shd w:fill="F7F9FC"/>
          </w:tcPr>
          <w:p>
            <w:r/>
            <w:r>
              <w:rPr>
                <w:rFonts w:ascii="Aptos" w:hAnsi="Aptos"/>
                <w:b w:val="0"/>
                <w:color w:val="1B2430"/>
                <w:sz w:val="16"/>
              </w:rPr>
              <w:t>Classification call</w:t>
            </w:r>
          </w:p>
        </w:tc>
        <w:tc>
          <w:tcPr>
            <w:tcW w:type="dxa" w:w="4968"/>
            <w:vAlign w:val="center"/>
            <w:shd w:fill="F7F9FC"/>
          </w:tcPr>
          <w:p>
            <w:r/>
            <w:r>
              <w:rPr>
                <w:rFonts w:ascii="Aptos" w:hAnsi="Aptos"/>
                <w:b w:val="0"/>
                <w:color w:val="1B2430"/>
                <w:sz w:val="16"/>
              </w:rPr>
              <w:t>P95 target &lt; 3 s under normal provider conditions.</w:t>
            </w:r>
          </w:p>
        </w:tc>
      </w:tr>
      <w:tr>
        <w:tc>
          <w:tcPr>
            <w:tcW w:type="dxa" w:w="4968"/>
            <w:vAlign w:val="center"/>
          </w:tcPr>
          <w:p>
            <w:r/>
            <w:r>
              <w:rPr>
                <w:rFonts w:ascii="Aptos" w:hAnsi="Aptos"/>
                <w:b w:val="0"/>
                <w:color w:val="1B2430"/>
                <w:sz w:val="16"/>
              </w:rPr>
              <w:t>Policy retrieval</w:t>
            </w:r>
          </w:p>
        </w:tc>
        <w:tc>
          <w:tcPr>
            <w:tcW w:type="dxa" w:w="4968"/>
            <w:vAlign w:val="center"/>
          </w:tcPr>
          <w:p>
            <w:r/>
            <w:r>
              <w:rPr>
                <w:rFonts w:ascii="Aptos" w:hAnsi="Aptos"/>
                <w:b w:val="0"/>
                <w:color w:val="1B2430"/>
                <w:sz w:val="16"/>
              </w:rPr>
              <w:t>P95 target &lt; 2 s excluding provider-side embedding if precomputed.</w:t>
            </w:r>
          </w:p>
        </w:tc>
      </w:tr>
      <w:tr>
        <w:tc>
          <w:tcPr>
            <w:tcW w:type="dxa" w:w="4968"/>
            <w:vAlign w:val="center"/>
            <w:shd w:fill="F7F9FC"/>
          </w:tcPr>
          <w:p>
            <w:r/>
            <w:r>
              <w:rPr>
                <w:rFonts w:ascii="Aptos" w:hAnsi="Aptos"/>
                <w:b w:val="0"/>
                <w:color w:val="1B2430"/>
                <w:sz w:val="16"/>
              </w:rPr>
              <w:t>Recommendation generation</w:t>
            </w:r>
          </w:p>
        </w:tc>
        <w:tc>
          <w:tcPr>
            <w:tcW w:type="dxa" w:w="4968"/>
            <w:vAlign w:val="center"/>
            <w:shd w:fill="F7F9FC"/>
          </w:tcPr>
          <w:p>
            <w:r/>
            <w:r>
              <w:rPr>
                <w:rFonts w:ascii="Aptos" w:hAnsi="Aptos"/>
                <w:b w:val="0"/>
                <w:color w:val="1B2430"/>
                <w:sz w:val="16"/>
              </w:rPr>
              <w:t>P95 target &lt; 8 s, with configurable timeout/fallback.</w:t>
            </w:r>
          </w:p>
        </w:tc>
      </w:tr>
      <w:tr>
        <w:tc>
          <w:tcPr>
            <w:tcW w:type="dxa" w:w="4968"/>
            <w:vAlign w:val="center"/>
          </w:tcPr>
          <w:p>
            <w:r/>
            <w:r>
              <w:rPr>
                <w:rFonts w:ascii="Aptos" w:hAnsi="Aptos"/>
                <w:b w:val="0"/>
                <w:color w:val="1B2430"/>
                <w:sz w:val="16"/>
              </w:rPr>
              <w:t>Availability</w:t>
            </w:r>
          </w:p>
        </w:tc>
        <w:tc>
          <w:tcPr>
            <w:tcW w:type="dxa" w:w="4968"/>
            <w:vAlign w:val="center"/>
          </w:tcPr>
          <w:p>
            <w:r/>
            <w:r>
              <w:rPr>
                <w:rFonts w:ascii="Aptos" w:hAnsi="Aptos"/>
                <w:b w:val="0"/>
                <w:color w:val="1B2430"/>
                <w:sz w:val="16"/>
              </w:rPr>
              <w:t>Target should be set by business criticality; design supports multi-instance HA and degraded/manual operation.</w:t>
            </w:r>
          </w:p>
        </w:tc>
      </w:tr>
      <w:tr>
        <w:tc>
          <w:tcPr>
            <w:tcW w:type="dxa" w:w="4968"/>
            <w:vAlign w:val="center"/>
            <w:shd w:fill="F7F9FC"/>
          </w:tcPr>
          <w:p>
            <w:r/>
            <w:r>
              <w:rPr>
                <w:rFonts w:ascii="Aptos" w:hAnsi="Aptos"/>
                <w:b w:val="0"/>
                <w:color w:val="1B2430"/>
                <w:sz w:val="16"/>
              </w:rPr>
              <w:t>RTO/RPO</w:t>
            </w:r>
          </w:p>
        </w:tc>
        <w:tc>
          <w:tcPr>
            <w:tcW w:type="dxa" w:w="4968"/>
            <w:vAlign w:val="center"/>
            <w:shd w:fill="F7F9FC"/>
          </w:tcPr>
          <w:p>
            <w:r/>
            <w:r>
              <w:rPr>
                <w:rFonts w:ascii="Aptos" w:hAnsi="Aptos"/>
                <w:b w:val="0"/>
                <w:color w:val="1B2430"/>
                <w:sz w:val="16"/>
              </w:rPr>
              <w:t>Must be formally agreed; backups/DR/restore testing shown as mandatory cross-cutting concern.</w:t>
            </w:r>
          </w:p>
        </w:tc>
      </w:tr>
    </w:tbl>
    <w:p>
      <w:pPr>
        <w:spacing w:after="20"/>
      </w:pPr>
    </w:p>
    <w:tbl>
      <w:tblPr>
        <w:tblW w:type="auto" w:w="0"/>
        <w:jc w:val="center"/>
        <w:tblLook w:firstColumn="1" w:firstRow="1" w:lastColumn="0" w:lastRow="0" w:noHBand="0" w:noVBand="1" w:val="04A0"/>
      </w:tblPr>
      <w:tblGrid>
        <w:gridCol w:w="9936"/>
      </w:tblGrid>
      <w:tr>
        <w:tc>
          <w:tcPr>
            <w:tcW w:type="dxa" w:w="9936"/>
            <w:shd w:fill="FFF8E8"/>
            <w:tcBorders>
              <w:top w:val="single" w:sz="8" w:color="D96C00"/>
              <w:left w:val="single" w:sz="8" w:color="D96C00"/>
              <w:bottom w:val="single" w:sz="8" w:color="D96C00"/>
              <w:right w:val="single" w:sz="8" w:color="D96C00"/>
            </w:tcBorders>
          </w:tcPr>
          <w:p>
            <w:r>
              <w:rPr>
                <w:b/>
                <w:color w:val="D96C00"/>
                <w:sz w:val="19"/>
              </w:rPr>
              <w:t xml:space="preserve">Assumption  </w:t>
            </w:r>
            <w:r>
              <w:rPr>
                <w:sz w:val="18"/>
              </w:rPr>
              <w:t>The numeric targets above are design placeholders, not requirements from the supplied diagram. They should be replaced with approved NFRs.</w:t>
            </w:r>
          </w:p>
        </w:tc>
      </w:tr>
    </w:tbl>
    <w:p>
      <w:pPr>
        <w:spacing w:after="20"/>
      </w:pPr>
    </w:p>
    <w:p>
      <w:bookmarkStart w:id="312" w:name="H_13__Integration_Architecture"/>
      <w:pPr>
        <w:pStyle w:val="Heading1"/>
      </w:pPr>
      <w:r>
        <w:t>13. Integration Architecture</w:t>
      </w:r>
      <w:bookmarkEnd w:id="312"/>
    </w:p>
    <w:p>
      <w:pPr>
        <w:pStyle w:val="Heading2"/>
      </w:pPr>
      <w:r>
        <w:t>13.1 Banking System Adapters</w:t>
      </w:r>
    </w:p>
    <w:p>
      <w:r>
        <w:t>Customer, Account, Transaction, Merchant, Settlement, Refund and Dispute/Case services are accessed via controlled adapters/API interfaces. Adapter contracts should normalize disparate upstream schemas into stable platform DTOs and retain source-specific identifiers for traceability.</w:t>
      </w:r>
    </w:p>
    <w:p>
      <w:pPr>
        <w:pStyle w:val="Heading2"/>
      </w:pPr>
      <w:r>
        <w:t>13.2 External Integrations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0B1F5B"/>
          </w:tcPr>
          <w:p>
            <w:r/>
            <w:r>
              <w:rPr>
                <w:rFonts w:ascii="Aptos" w:hAnsi="Aptos"/>
                <w:b/>
                <w:color w:val="FFFFFF"/>
                <w:sz w:val="17"/>
              </w:rPr>
              <w:t>Integration</w:t>
            </w:r>
          </w:p>
        </w:tc>
        <w:tc>
          <w:tcPr>
            <w:tcW w:type="dxa" w:w="3312"/>
            <w:vAlign w:val="center"/>
            <w:shd w:fill="0B1F5B"/>
          </w:tcPr>
          <w:p>
            <w:r/>
            <w:r>
              <w:rPr>
                <w:rFonts w:ascii="Aptos" w:hAnsi="Aptos"/>
                <w:b/>
                <w:color w:val="FFFFFF"/>
                <w:sz w:val="17"/>
              </w:rPr>
              <w:t>Purpose</w:t>
            </w:r>
          </w:p>
        </w:tc>
        <w:tc>
          <w:tcPr>
            <w:tcW w:type="dxa" w:w="3312"/>
            <w:vAlign w:val="center"/>
            <w:shd w:fill="0B1F5B"/>
          </w:tcPr>
          <w:p>
            <w:r/>
            <w:r>
              <w:rPr>
                <w:rFonts w:ascii="Aptos" w:hAnsi="Aptos"/>
                <w:b/>
                <w:color w:val="FFFFFF"/>
                <w:sz w:val="17"/>
              </w:rPr>
              <w:t>Design Controls</w:t>
            </w:r>
          </w:p>
        </w:tc>
      </w:tr>
      <w:tr>
        <w:tc>
          <w:tcPr>
            <w:tcW w:type="dxa" w:w="3312"/>
            <w:vAlign w:val="center"/>
            <w:shd w:fill="F7F9FC"/>
          </w:tcPr>
          <w:p>
            <w:r/>
            <w:r>
              <w:rPr>
                <w:rFonts w:ascii="Aptos" w:hAnsi="Aptos"/>
                <w:b w:val="0"/>
                <w:color w:val="1B2430"/>
                <w:sz w:val="16"/>
              </w:rPr>
              <w:t>Email/SMS Gateway</w:t>
            </w:r>
          </w:p>
        </w:tc>
        <w:tc>
          <w:tcPr>
            <w:tcW w:type="dxa" w:w="3312"/>
            <w:vAlign w:val="center"/>
            <w:shd w:fill="F7F9FC"/>
          </w:tcPr>
          <w:p>
            <w:r/>
            <w:r>
              <w:rPr>
                <w:rFonts w:ascii="Aptos" w:hAnsi="Aptos"/>
                <w:b w:val="0"/>
                <w:color w:val="1B2430"/>
                <w:sz w:val="16"/>
              </w:rPr>
              <w:t>Customer communications and replies.</w:t>
            </w:r>
          </w:p>
        </w:tc>
        <w:tc>
          <w:tcPr>
            <w:tcW w:type="dxa" w:w="3312"/>
            <w:vAlign w:val="center"/>
            <w:shd w:fill="F7F9FC"/>
          </w:tcPr>
          <w:p>
            <w:r/>
            <w:r>
              <w:rPr>
                <w:rFonts w:ascii="Aptos" w:hAnsi="Aptos"/>
                <w:b w:val="0"/>
                <w:color w:val="1B2430"/>
                <w:sz w:val="16"/>
              </w:rPr>
              <w:t>Template approval, delivery status, retry, opt-out/regulatory rules.</w:t>
            </w:r>
          </w:p>
        </w:tc>
      </w:tr>
      <w:tr>
        <w:tc>
          <w:tcPr>
            <w:tcW w:type="dxa" w:w="3312"/>
            <w:vAlign w:val="center"/>
          </w:tcPr>
          <w:p>
            <w:r/>
            <w:r>
              <w:rPr>
                <w:rFonts w:ascii="Aptos" w:hAnsi="Aptos"/>
                <w:b w:val="0"/>
                <w:color w:val="1B2430"/>
                <w:sz w:val="16"/>
              </w:rPr>
              <w:t>KYC/Identity Service</w:t>
            </w:r>
          </w:p>
        </w:tc>
        <w:tc>
          <w:tcPr>
            <w:tcW w:type="dxa" w:w="3312"/>
            <w:vAlign w:val="center"/>
          </w:tcPr>
          <w:p>
            <w:r/>
            <w:r>
              <w:rPr>
                <w:rFonts w:ascii="Aptos" w:hAnsi="Aptos"/>
                <w:b w:val="0"/>
                <w:color w:val="1B2430"/>
                <w:sz w:val="16"/>
              </w:rPr>
              <w:t>Identity and customer verification context.</w:t>
            </w:r>
          </w:p>
        </w:tc>
        <w:tc>
          <w:tcPr>
            <w:tcW w:type="dxa" w:w="3312"/>
            <w:vAlign w:val="center"/>
          </w:tcPr>
          <w:p>
            <w:r/>
            <w:r>
              <w:rPr>
                <w:rFonts w:ascii="Aptos" w:hAnsi="Aptos"/>
                <w:b w:val="0"/>
                <w:color w:val="1B2430"/>
                <w:sz w:val="16"/>
              </w:rPr>
              <w:t>Least privilege, purpose limitation, freshness timestamp.</w:t>
            </w:r>
          </w:p>
        </w:tc>
      </w:tr>
      <w:tr>
        <w:tc>
          <w:tcPr>
            <w:tcW w:type="dxa" w:w="3312"/>
            <w:vAlign w:val="center"/>
            <w:shd w:fill="F7F9FC"/>
          </w:tcPr>
          <w:p>
            <w:r/>
            <w:r>
              <w:rPr>
                <w:rFonts w:ascii="Aptos" w:hAnsi="Aptos"/>
                <w:b w:val="0"/>
                <w:color w:val="1B2430"/>
                <w:sz w:val="16"/>
              </w:rPr>
              <w:t>Fraud System</w:t>
            </w:r>
          </w:p>
        </w:tc>
        <w:tc>
          <w:tcPr>
            <w:tcW w:type="dxa" w:w="3312"/>
            <w:vAlign w:val="center"/>
            <w:shd w:fill="F7F9FC"/>
          </w:tcPr>
          <w:p>
            <w:r/>
            <w:r>
              <w:rPr>
                <w:rFonts w:ascii="Aptos" w:hAnsi="Aptos"/>
                <w:b w:val="0"/>
                <w:color w:val="1B2430"/>
                <w:sz w:val="16"/>
              </w:rPr>
              <w:t>Fraud indicators/context.</w:t>
            </w:r>
          </w:p>
        </w:tc>
        <w:tc>
          <w:tcPr>
            <w:tcW w:type="dxa" w:w="3312"/>
            <w:vAlign w:val="center"/>
            <w:shd w:fill="F7F9FC"/>
          </w:tcPr>
          <w:p>
            <w:r/>
            <w:r>
              <w:rPr>
                <w:rFonts w:ascii="Aptos" w:hAnsi="Aptos"/>
                <w:b w:val="0"/>
                <w:color w:val="1B2430"/>
                <w:sz w:val="16"/>
              </w:rPr>
              <w:t>Treat as authoritative signal with source/version/time metadata.</w:t>
            </w:r>
          </w:p>
        </w:tc>
      </w:tr>
      <w:tr>
        <w:tc>
          <w:tcPr>
            <w:tcW w:type="dxa" w:w="3312"/>
            <w:vAlign w:val="center"/>
          </w:tcPr>
          <w:p>
            <w:r/>
            <w:r>
              <w:rPr>
                <w:rFonts w:ascii="Aptos" w:hAnsi="Aptos"/>
                <w:b w:val="0"/>
                <w:color w:val="1B2430"/>
                <w:sz w:val="16"/>
              </w:rPr>
              <w:t>Payment Network</w:t>
            </w:r>
          </w:p>
        </w:tc>
        <w:tc>
          <w:tcPr>
            <w:tcW w:type="dxa" w:w="3312"/>
            <w:vAlign w:val="center"/>
          </w:tcPr>
          <w:p>
            <w:r/>
            <w:r>
              <w:rPr>
                <w:rFonts w:ascii="Aptos" w:hAnsi="Aptos"/>
                <w:b w:val="0"/>
                <w:color w:val="1B2430"/>
                <w:sz w:val="16"/>
              </w:rPr>
              <w:t>Network transaction/dispute information.</w:t>
            </w:r>
          </w:p>
        </w:tc>
        <w:tc>
          <w:tcPr>
            <w:tcW w:type="dxa" w:w="3312"/>
            <w:vAlign w:val="center"/>
          </w:tcPr>
          <w:p>
            <w:r/>
            <w:r>
              <w:rPr>
                <w:rFonts w:ascii="Aptos" w:hAnsi="Aptos"/>
                <w:b w:val="0"/>
                <w:color w:val="1B2430"/>
                <w:sz w:val="16"/>
              </w:rPr>
              <w:t>Timeouts, rate limits, source lineage.</w:t>
            </w:r>
          </w:p>
        </w:tc>
      </w:tr>
      <w:tr>
        <w:tc>
          <w:tcPr>
            <w:tcW w:type="dxa" w:w="3312"/>
            <w:vAlign w:val="center"/>
            <w:shd w:fill="F7F9FC"/>
          </w:tcPr>
          <w:p>
            <w:r/>
            <w:r>
              <w:rPr>
                <w:rFonts w:ascii="Aptos" w:hAnsi="Aptos"/>
                <w:b w:val="0"/>
                <w:color w:val="1B2430"/>
                <w:sz w:val="16"/>
              </w:rPr>
              <w:t>Regulatory System</w:t>
            </w:r>
          </w:p>
        </w:tc>
        <w:tc>
          <w:tcPr>
            <w:tcW w:type="dxa" w:w="3312"/>
            <w:vAlign w:val="center"/>
            <w:shd w:fill="F7F9FC"/>
          </w:tcPr>
          <w:p>
            <w:r/>
            <w:r>
              <w:rPr>
                <w:rFonts w:ascii="Aptos" w:hAnsi="Aptos"/>
                <w:b w:val="0"/>
                <w:color w:val="1B2430"/>
                <w:sz w:val="16"/>
              </w:rPr>
              <w:t>Regulatory reporting or reference data.</w:t>
            </w:r>
          </w:p>
        </w:tc>
        <w:tc>
          <w:tcPr>
            <w:tcW w:type="dxa" w:w="3312"/>
            <w:vAlign w:val="center"/>
            <w:shd w:fill="F7F9FC"/>
          </w:tcPr>
          <w:p>
            <w:r/>
            <w:r>
              <w:rPr>
                <w:rFonts w:ascii="Aptos" w:hAnsi="Aptos"/>
                <w:b w:val="0"/>
                <w:color w:val="1B2430"/>
                <w:sz w:val="16"/>
              </w:rPr>
              <w:t>Strict authorization, audit, data retention.</w:t>
            </w:r>
          </w:p>
        </w:tc>
      </w:tr>
      <w:tr>
        <w:tc>
          <w:tcPr>
            <w:tcW w:type="dxa" w:w="3312"/>
            <w:vAlign w:val="center"/>
          </w:tcPr>
          <w:p>
            <w:r/>
            <w:r>
              <w:rPr>
                <w:rFonts w:ascii="Aptos" w:hAnsi="Aptos"/>
                <w:b w:val="0"/>
                <w:color w:val="1B2430"/>
                <w:sz w:val="16"/>
              </w:rPr>
              <w:t>Routing &amp; Fallback</w:t>
            </w:r>
          </w:p>
        </w:tc>
        <w:tc>
          <w:tcPr>
            <w:tcW w:type="dxa" w:w="3312"/>
            <w:vAlign w:val="center"/>
          </w:tcPr>
          <w:p>
            <w:r/>
            <w:r>
              <w:rPr>
                <w:rFonts w:ascii="Aptos" w:hAnsi="Aptos"/>
                <w:b w:val="0"/>
                <w:color w:val="1B2430"/>
                <w:sz w:val="16"/>
              </w:rPr>
              <w:t>Integration routing policy.</w:t>
            </w:r>
          </w:p>
        </w:tc>
        <w:tc>
          <w:tcPr>
            <w:tcW w:type="dxa" w:w="3312"/>
            <w:vAlign w:val="center"/>
          </w:tcPr>
          <w:p>
            <w:r/>
            <w:r>
              <w:rPr>
                <w:rFonts w:ascii="Aptos" w:hAnsi="Aptos"/>
                <w:b w:val="0"/>
                <w:color w:val="1B2430"/>
                <w:sz w:val="16"/>
              </w:rPr>
              <w:t>Explicit semantic equivalence before fallback.</w:t>
            </w:r>
          </w:p>
        </w:tc>
      </w:tr>
      <w:tr>
        <w:tc>
          <w:tcPr>
            <w:tcW w:type="dxa" w:w="3312"/>
            <w:vAlign w:val="center"/>
            <w:shd w:fill="F7F9FC"/>
          </w:tcPr>
          <w:p>
            <w:r/>
            <w:r>
              <w:rPr>
                <w:rFonts w:ascii="Aptos" w:hAnsi="Aptos"/>
                <w:b w:val="0"/>
                <w:color w:val="1B2430"/>
                <w:sz w:val="16"/>
              </w:rPr>
              <w:t>Token Policy &amp; Guardrails</w:t>
            </w:r>
          </w:p>
        </w:tc>
        <w:tc>
          <w:tcPr>
            <w:tcW w:type="dxa" w:w="3312"/>
            <w:vAlign w:val="center"/>
            <w:shd w:fill="F7F9FC"/>
          </w:tcPr>
          <w:p>
            <w:r/>
            <w:r>
              <w:rPr>
                <w:rFonts w:ascii="Aptos" w:hAnsi="Aptos"/>
                <w:b w:val="0"/>
                <w:color w:val="1B2430"/>
                <w:sz w:val="16"/>
              </w:rPr>
              <w:t>AI request validation/control.</w:t>
            </w:r>
          </w:p>
        </w:tc>
        <w:tc>
          <w:tcPr>
            <w:tcW w:type="dxa" w:w="3312"/>
            <w:vAlign w:val="center"/>
            <w:shd w:fill="F7F9FC"/>
          </w:tcPr>
          <w:p>
            <w:r/>
            <w:r>
              <w:rPr>
                <w:rFonts w:ascii="Aptos" w:hAnsi="Aptos"/>
                <w:b w:val="0"/>
                <w:color w:val="1B2430"/>
                <w:sz w:val="16"/>
              </w:rPr>
              <w:t>Centralized gateway enforcement.</w:t>
            </w:r>
          </w:p>
        </w:tc>
      </w:tr>
      <w:tr>
        <w:tc>
          <w:tcPr>
            <w:tcW w:type="dxa" w:w="3312"/>
            <w:vAlign w:val="center"/>
          </w:tcPr>
          <w:p>
            <w:r/>
            <w:r>
              <w:rPr>
                <w:rFonts w:ascii="Aptos" w:hAnsi="Aptos"/>
                <w:b w:val="0"/>
                <w:color w:val="1B2430"/>
                <w:sz w:val="16"/>
              </w:rPr>
              <w:t>Data Policy &amp; Guardrails</w:t>
            </w:r>
          </w:p>
        </w:tc>
        <w:tc>
          <w:tcPr>
            <w:tcW w:type="dxa" w:w="3312"/>
            <w:vAlign w:val="center"/>
          </w:tcPr>
          <w:p>
            <w:r/>
            <w:r>
              <w:rPr>
                <w:rFonts w:ascii="Aptos" w:hAnsi="Aptos"/>
                <w:b w:val="0"/>
                <w:color w:val="1B2430"/>
                <w:sz w:val="16"/>
              </w:rPr>
              <w:t>Data classification/usage checks.</w:t>
            </w:r>
          </w:p>
        </w:tc>
        <w:tc>
          <w:tcPr>
            <w:tcW w:type="dxa" w:w="3312"/>
            <w:vAlign w:val="center"/>
          </w:tcPr>
          <w:p>
            <w:r/>
            <w:r>
              <w:rPr>
                <w:rFonts w:ascii="Aptos" w:hAnsi="Aptos"/>
                <w:b w:val="0"/>
                <w:color w:val="1B2430"/>
                <w:sz w:val="16"/>
              </w:rPr>
              <w:t>Block disallowed egress; redact/mask where required.</w:t>
            </w:r>
          </w:p>
        </w:tc>
      </w:tr>
      <w:tr>
        <w:tc>
          <w:tcPr>
            <w:tcW w:type="dxa" w:w="3312"/>
            <w:vAlign w:val="center"/>
            <w:shd w:fill="F7F9FC"/>
          </w:tcPr>
          <w:p>
            <w:r/>
            <w:r>
              <w:rPr>
                <w:rFonts w:ascii="Aptos" w:hAnsi="Aptos"/>
                <w:b w:val="0"/>
                <w:color w:val="1B2430"/>
                <w:sz w:val="16"/>
              </w:rPr>
              <w:t>Response Validation</w:t>
            </w:r>
          </w:p>
        </w:tc>
        <w:tc>
          <w:tcPr>
            <w:tcW w:type="dxa" w:w="3312"/>
            <w:vAlign w:val="center"/>
            <w:shd w:fill="F7F9FC"/>
          </w:tcPr>
          <w:p>
            <w:r/>
            <w:r>
              <w:rPr>
                <w:rFonts w:ascii="Aptos" w:hAnsi="Aptos"/>
                <w:b w:val="0"/>
                <w:color w:val="1B2430"/>
                <w:sz w:val="16"/>
              </w:rPr>
              <w:t>Validate model/tool outputs before workflow use.</w:t>
            </w:r>
          </w:p>
        </w:tc>
        <w:tc>
          <w:tcPr>
            <w:tcW w:type="dxa" w:w="3312"/>
            <w:vAlign w:val="center"/>
            <w:shd w:fill="F7F9FC"/>
          </w:tcPr>
          <w:p>
            <w:r/>
            <w:r>
              <w:rPr>
                <w:rFonts w:ascii="Aptos" w:hAnsi="Aptos"/>
                <w:b w:val="0"/>
                <w:color w:val="1B2430"/>
                <w:sz w:val="16"/>
              </w:rPr>
              <w:t>Schema, policy, confidence and safety checks.</w:t>
            </w:r>
          </w:p>
        </w:tc>
      </w:tr>
    </w:tbl>
    <w:p>
      <w:pPr>
        <w:spacing w:after="20"/>
      </w:pPr>
    </w:p>
    <w:p>
      <w:bookmarkStart w:id="313" w:name="H_14__Deployment_and_Environment_Archi"/>
      <w:pPr>
        <w:pStyle w:val="Heading1"/>
      </w:pPr>
      <w:r>
        <w:t>14. Deployment and Environment Architecture</w:t>
      </w:r>
      <w:bookmarkEnd w:id="313"/>
    </w:p>
    <w:p>
      <w:r>
        <w:t>The diagram identifies OpenSpec-to-code, GitHub repository, GitHub Actions CI/CD, automated testing, AI evaluation, quality gates, staging, production and monitoring/feedback. The HLD therefore assumes immutable build artifacts and promotion across controlled environments.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0B1F5B"/>
          </w:tcPr>
          <w:p>
            <w:r/>
            <w:r>
              <w:rPr>
                <w:rFonts w:ascii="Aptos" w:hAnsi="Aptos"/>
                <w:b/>
                <w:color w:val="FFFFFF"/>
                <w:sz w:val="17"/>
              </w:rPr>
              <w:t>Stage</w:t>
            </w:r>
          </w:p>
        </w:tc>
        <w:tc>
          <w:tcPr>
            <w:tcW w:type="dxa" w:w="4968"/>
            <w:vAlign w:val="center"/>
            <w:shd w:fill="0B1F5B"/>
          </w:tcPr>
          <w:p>
            <w:r/>
            <w:r>
              <w:rPr>
                <w:rFonts w:ascii="Aptos" w:hAnsi="Aptos"/>
                <w:b/>
                <w:color w:val="FFFFFF"/>
                <w:sz w:val="17"/>
              </w:rPr>
              <w:t>Expected Controls</w:t>
            </w:r>
          </w:p>
        </w:tc>
      </w:tr>
      <w:tr>
        <w:tc>
          <w:tcPr>
            <w:tcW w:type="dxa" w:w="4968"/>
            <w:vAlign w:val="center"/>
            <w:shd w:fill="F7F9FC"/>
          </w:tcPr>
          <w:p>
            <w:r/>
            <w:r>
              <w:rPr>
                <w:rFonts w:ascii="Aptos" w:hAnsi="Aptos"/>
                <w:b w:val="0"/>
                <w:color w:val="1B2430"/>
                <w:sz w:val="16"/>
              </w:rPr>
              <w:t>Specification / Design</w:t>
            </w:r>
          </w:p>
        </w:tc>
        <w:tc>
          <w:tcPr>
            <w:tcW w:type="dxa" w:w="4968"/>
            <w:vAlign w:val="center"/>
            <w:shd w:fill="F7F9FC"/>
          </w:tcPr>
          <w:p>
            <w:r/>
            <w:r>
              <w:rPr>
                <w:rFonts w:ascii="Aptos" w:hAnsi="Aptos"/>
                <w:b w:val="0"/>
                <w:color w:val="1B2430"/>
                <w:sz w:val="16"/>
              </w:rPr>
              <w:t>OpenSpec or equivalent approved specification artifacts; architecture and policy/rule change review.</w:t>
            </w:r>
          </w:p>
        </w:tc>
      </w:tr>
      <w:tr>
        <w:tc>
          <w:tcPr>
            <w:tcW w:type="dxa" w:w="4968"/>
            <w:vAlign w:val="center"/>
          </w:tcPr>
          <w:p>
            <w:r/>
            <w:r>
              <w:rPr>
                <w:rFonts w:ascii="Aptos" w:hAnsi="Aptos"/>
                <w:b w:val="0"/>
                <w:color w:val="1B2430"/>
                <w:sz w:val="16"/>
              </w:rPr>
              <w:t>Source Control</w:t>
            </w:r>
          </w:p>
        </w:tc>
        <w:tc>
          <w:tcPr>
            <w:tcW w:type="dxa" w:w="4968"/>
            <w:vAlign w:val="center"/>
          </w:tcPr>
          <w:p>
            <w:r/>
            <w:r>
              <w:rPr>
                <w:rFonts w:ascii="Aptos" w:hAnsi="Aptos"/>
                <w:b w:val="0"/>
                <w:color w:val="1B2430"/>
                <w:sz w:val="16"/>
              </w:rPr>
              <w:t>GitHub branch protection, CODEOWNERS, signed/reviewed changes, dependency scanning.</w:t>
            </w:r>
          </w:p>
        </w:tc>
      </w:tr>
      <w:tr>
        <w:tc>
          <w:tcPr>
            <w:tcW w:type="dxa" w:w="4968"/>
            <w:vAlign w:val="center"/>
            <w:shd w:fill="F7F9FC"/>
          </w:tcPr>
          <w:p>
            <w:r/>
            <w:r>
              <w:rPr>
                <w:rFonts w:ascii="Aptos" w:hAnsi="Aptos"/>
                <w:b w:val="0"/>
                <w:color w:val="1B2430"/>
                <w:sz w:val="16"/>
              </w:rPr>
              <w:t>CI</w:t>
            </w:r>
          </w:p>
        </w:tc>
        <w:tc>
          <w:tcPr>
            <w:tcW w:type="dxa" w:w="4968"/>
            <w:vAlign w:val="center"/>
            <w:shd w:fill="F7F9FC"/>
          </w:tcPr>
          <w:p>
            <w:r/>
            <w:r>
              <w:rPr>
                <w:rFonts w:ascii="Aptos" w:hAnsi="Aptos"/>
                <w:b w:val="0"/>
                <w:color w:val="1B2430"/>
                <w:sz w:val="16"/>
              </w:rPr>
              <w:t>Build, unit/integration tests, static analysis, secret scanning, SBOM/dependency checks.</w:t>
            </w:r>
          </w:p>
        </w:tc>
      </w:tr>
      <w:tr>
        <w:tc>
          <w:tcPr>
            <w:tcW w:type="dxa" w:w="4968"/>
            <w:vAlign w:val="center"/>
          </w:tcPr>
          <w:p>
            <w:r/>
            <w:r>
              <w:rPr>
                <w:rFonts w:ascii="Aptos" w:hAnsi="Aptos"/>
                <w:b w:val="0"/>
                <w:color w:val="1B2430"/>
                <w:sz w:val="16"/>
              </w:rPr>
              <w:t>AI Evaluation</w:t>
            </w:r>
          </w:p>
        </w:tc>
        <w:tc>
          <w:tcPr>
            <w:tcW w:type="dxa" w:w="4968"/>
            <w:vAlign w:val="center"/>
          </w:tcPr>
          <w:p>
            <w:r/>
            <w:r>
              <w:rPr>
                <w:rFonts w:ascii="Aptos" w:hAnsi="Aptos"/>
                <w:b w:val="0"/>
                <w:color w:val="1B2430"/>
                <w:sz w:val="16"/>
              </w:rPr>
              <w:t>Recall/precision/grounding/safety evaluation against versioned datasets and thresholds.</w:t>
            </w:r>
          </w:p>
        </w:tc>
      </w:tr>
      <w:tr>
        <w:tc>
          <w:tcPr>
            <w:tcW w:type="dxa" w:w="4968"/>
            <w:vAlign w:val="center"/>
            <w:shd w:fill="F7F9FC"/>
          </w:tcPr>
          <w:p>
            <w:r/>
            <w:r>
              <w:rPr>
                <w:rFonts w:ascii="Aptos" w:hAnsi="Aptos"/>
                <w:b w:val="0"/>
                <w:color w:val="1B2430"/>
                <w:sz w:val="16"/>
              </w:rPr>
              <w:t>Quality Gate</w:t>
            </w:r>
          </w:p>
        </w:tc>
        <w:tc>
          <w:tcPr>
            <w:tcW w:type="dxa" w:w="4968"/>
            <w:vAlign w:val="center"/>
            <w:shd w:fill="F7F9FC"/>
          </w:tcPr>
          <w:p>
            <w:r/>
            <w:r>
              <w:rPr>
                <w:rFonts w:ascii="Aptos" w:hAnsi="Aptos"/>
                <w:b w:val="0"/>
                <w:color w:val="1B2430"/>
                <w:sz w:val="16"/>
              </w:rPr>
              <w:t>Blocks promotion on failed engineering, security, policy or AI quality checks.</w:t>
            </w:r>
          </w:p>
        </w:tc>
      </w:tr>
      <w:tr>
        <w:tc>
          <w:tcPr>
            <w:tcW w:type="dxa" w:w="4968"/>
            <w:vAlign w:val="center"/>
          </w:tcPr>
          <w:p>
            <w:r/>
            <w:r>
              <w:rPr>
                <w:rFonts w:ascii="Aptos" w:hAnsi="Aptos"/>
                <w:b w:val="0"/>
                <w:color w:val="1B2430"/>
                <w:sz w:val="16"/>
              </w:rPr>
              <w:t>Staging</w:t>
            </w:r>
          </w:p>
        </w:tc>
        <w:tc>
          <w:tcPr>
            <w:tcW w:type="dxa" w:w="4968"/>
            <w:vAlign w:val="center"/>
          </w:tcPr>
          <w:p>
            <w:r/>
            <w:r>
              <w:rPr>
                <w:rFonts w:ascii="Aptos" w:hAnsi="Aptos"/>
                <w:b w:val="0"/>
                <w:color w:val="1B2430"/>
                <w:sz w:val="16"/>
              </w:rPr>
              <w:t>Production-like integration and model/provider configuration with safe test data.</w:t>
            </w:r>
          </w:p>
        </w:tc>
      </w:tr>
      <w:tr>
        <w:tc>
          <w:tcPr>
            <w:tcW w:type="dxa" w:w="4968"/>
            <w:vAlign w:val="center"/>
            <w:shd w:fill="F7F9FC"/>
          </w:tcPr>
          <w:p>
            <w:r/>
            <w:r>
              <w:rPr>
                <w:rFonts w:ascii="Aptos" w:hAnsi="Aptos"/>
                <w:b w:val="0"/>
                <w:color w:val="1B2430"/>
                <w:sz w:val="16"/>
              </w:rPr>
              <w:t>Production</w:t>
            </w:r>
          </w:p>
        </w:tc>
        <w:tc>
          <w:tcPr>
            <w:tcW w:type="dxa" w:w="4968"/>
            <w:vAlign w:val="center"/>
            <w:shd w:fill="F7F9FC"/>
          </w:tcPr>
          <w:p>
            <w:r/>
            <w:r>
              <w:rPr>
                <w:rFonts w:ascii="Aptos" w:hAnsi="Aptos"/>
                <w:b w:val="0"/>
                <w:color w:val="1B2430"/>
                <w:sz w:val="16"/>
              </w:rPr>
              <w:t>Controlled deployment, feature flags, canary/blue-green where appropriate, rollback.</w:t>
            </w:r>
          </w:p>
        </w:tc>
      </w:tr>
      <w:tr>
        <w:tc>
          <w:tcPr>
            <w:tcW w:type="dxa" w:w="4968"/>
            <w:vAlign w:val="center"/>
          </w:tcPr>
          <w:p>
            <w:r/>
            <w:r>
              <w:rPr>
                <w:rFonts w:ascii="Aptos" w:hAnsi="Aptos"/>
                <w:b w:val="0"/>
                <w:color w:val="1B2430"/>
                <w:sz w:val="16"/>
              </w:rPr>
              <w:t>Feedback Loop</w:t>
            </w:r>
          </w:p>
        </w:tc>
        <w:tc>
          <w:tcPr>
            <w:tcW w:type="dxa" w:w="4968"/>
            <w:vAlign w:val="center"/>
          </w:tcPr>
          <w:p>
            <w:r/>
            <w:r>
              <w:rPr>
                <w:rFonts w:ascii="Aptos" w:hAnsi="Aptos"/>
                <w:b w:val="0"/>
                <w:color w:val="1B2430"/>
                <w:sz w:val="16"/>
              </w:rPr>
              <w:t>Operational and AI quality telemetry feed backlog/model/prompt/rule improvement.</w:t>
            </w:r>
          </w:p>
        </w:tc>
      </w:tr>
    </w:tbl>
    <w:p>
      <w:pPr>
        <w:spacing w:after="20"/>
      </w:pPr>
    </w:p>
    <w:p>
      <w:bookmarkStart w:id="314" w:name="H_15__Non_Functional_Requirements___HL"/>
      <w:pPr>
        <w:pStyle w:val="Heading1"/>
      </w:pPr>
      <w:r>
        <w:t>15. Non-Functional Requirements - HLD Baseline</w:t>
      </w:r>
      <w:bookmarkEnd w:id="314"/>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0B1F5B"/>
          </w:tcPr>
          <w:p>
            <w:r/>
            <w:r>
              <w:rPr>
                <w:rFonts w:ascii="Aptos" w:hAnsi="Aptos"/>
                <w:b/>
                <w:color w:val="FFFFFF"/>
                <w:sz w:val="17"/>
              </w:rPr>
              <w:t>NFR</w:t>
            </w:r>
          </w:p>
        </w:tc>
        <w:tc>
          <w:tcPr>
            <w:tcW w:type="dxa" w:w="4968"/>
            <w:vAlign w:val="center"/>
            <w:shd w:fill="0B1F5B"/>
          </w:tcPr>
          <w:p>
            <w:r/>
            <w:r>
              <w:rPr>
                <w:rFonts w:ascii="Aptos" w:hAnsi="Aptos"/>
                <w:b/>
                <w:color w:val="FFFFFF"/>
                <w:sz w:val="17"/>
              </w:rPr>
              <w:t>High-Level Requirement</w:t>
            </w:r>
          </w:p>
        </w:tc>
      </w:tr>
      <w:tr>
        <w:tc>
          <w:tcPr>
            <w:tcW w:type="dxa" w:w="4968"/>
            <w:vAlign w:val="center"/>
            <w:shd w:fill="F7F9FC"/>
          </w:tcPr>
          <w:p>
            <w:r/>
            <w:r>
              <w:rPr>
                <w:rFonts w:ascii="Aptos" w:hAnsi="Aptos"/>
                <w:b w:val="0"/>
                <w:color w:val="1B2430"/>
                <w:sz w:val="16"/>
              </w:rPr>
              <w:t>Security</w:t>
            </w:r>
          </w:p>
        </w:tc>
        <w:tc>
          <w:tcPr>
            <w:tcW w:type="dxa" w:w="4968"/>
            <w:vAlign w:val="center"/>
            <w:shd w:fill="F7F9FC"/>
          </w:tcPr>
          <w:p>
            <w:r/>
            <w:r>
              <w:rPr>
                <w:rFonts w:ascii="Aptos" w:hAnsi="Aptos"/>
                <w:b w:val="0"/>
                <w:color w:val="1B2430"/>
                <w:sz w:val="16"/>
              </w:rPr>
              <w:t>Zero Trust, least privilege, encryption, secrets management, secure SDLC and continuous vulnerability management.</w:t>
            </w:r>
          </w:p>
        </w:tc>
      </w:tr>
      <w:tr>
        <w:tc>
          <w:tcPr>
            <w:tcW w:type="dxa" w:w="4968"/>
            <w:vAlign w:val="center"/>
          </w:tcPr>
          <w:p>
            <w:r/>
            <w:r>
              <w:rPr>
                <w:rFonts w:ascii="Aptos" w:hAnsi="Aptos"/>
                <w:b w:val="0"/>
                <w:color w:val="1B2430"/>
                <w:sz w:val="16"/>
              </w:rPr>
              <w:t>Privacy</w:t>
            </w:r>
          </w:p>
        </w:tc>
        <w:tc>
          <w:tcPr>
            <w:tcW w:type="dxa" w:w="4968"/>
            <w:vAlign w:val="center"/>
          </w:tcPr>
          <w:p>
            <w:r/>
            <w:r>
              <w:rPr>
                <w:rFonts w:ascii="Aptos" w:hAnsi="Aptos"/>
                <w:b w:val="0"/>
                <w:color w:val="1B2430"/>
                <w:sz w:val="16"/>
              </w:rPr>
              <w:t>PII minimization, masking/redaction, purpose limitation, controlled model egress, retention enforcement.</w:t>
            </w:r>
          </w:p>
        </w:tc>
      </w:tr>
      <w:tr>
        <w:tc>
          <w:tcPr>
            <w:tcW w:type="dxa" w:w="4968"/>
            <w:vAlign w:val="center"/>
            <w:shd w:fill="F7F9FC"/>
          </w:tcPr>
          <w:p>
            <w:r/>
            <w:r>
              <w:rPr>
                <w:rFonts w:ascii="Aptos" w:hAnsi="Aptos"/>
                <w:b w:val="0"/>
                <w:color w:val="1B2430"/>
                <w:sz w:val="16"/>
              </w:rPr>
              <w:t>Compliance</w:t>
            </w:r>
          </w:p>
        </w:tc>
        <w:tc>
          <w:tcPr>
            <w:tcW w:type="dxa" w:w="4968"/>
            <w:vAlign w:val="center"/>
            <w:shd w:fill="F7F9FC"/>
          </w:tcPr>
          <w:p>
            <w:r/>
            <w:r>
              <w:rPr>
                <w:rFonts w:ascii="Aptos" w:hAnsi="Aptos"/>
                <w:b w:val="0"/>
                <w:color w:val="1B2430"/>
                <w:sz w:val="16"/>
              </w:rPr>
              <w:t>Complete traceability of policy/rule/model/human decisions; exportable evidence; configurable jurisdiction controls.</w:t>
            </w:r>
          </w:p>
        </w:tc>
      </w:tr>
      <w:tr>
        <w:tc>
          <w:tcPr>
            <w:tcW w:type="dxa" w:w="4968"/>
            <w:vAlign w:val="center"/>
          </w:tcPr>
          <w:p>
            <w:r/>
            <w:r>
              <w:rPr>
                <w:rFonts w:ascii="Aptos" w:hAnsi="Aptos"/>
                <w:b w:val="0"/>
                <w:color w:val="1B2430"/>
                <w:sz w:val="16"/>
              </w:rPr>
              <w:t>Reliability</w:t>
            </w:r>
          </w:p>
        </w:tc>
        <w:tc>
          <w:tcPr>
            <w:tcW w:type="dxa" w:w="4968"/>
            <w:vAlign w:val="center"/>
          </w:tcPr>
          <w:p>
            <w:r/>
            <w:r>
              <w:rPr>
                <w:rFonts w:ascii="Aptos" w:hAnsi="Aptos"/>
                <w:b w:val="0"/>
                <w:color w:val="1B2430"/>
                <w:sz w:val="16"/>
              </w:rPr>
              <w:t>Idempotent distributed operations, checkpoint/restart, retries/circuit breakers, asynchronous recovery, DR.</w:t>
            </w:r>
          </w:p>
        </w:tc>
      </w:tr>
      <w:tr>
        <w:tc>
          <w:tcPr>
            <w:tcW w:type="dxa" w:w="4968"/>
            <w:vAlign w:val="center"/>
            <w:shd w:fill="F7F9FC"/>
          </w:tcPr>
          <w:p>
            <w:r/>
            <w:r>
              <w:rPr>
                <w:rFonts w:ascii="Aptos" w:hAnsi="Aptos"/>
                <w:b w:val="0"/>
                <w:color w:val="1B2430"/>
                <w:sz w:val="16"/>
              </w:rPr>
              <w:t>Scalability</w:t>
            </w:r>
          </w:p>
        </w:tc>
        <w:tc>
          <w:tcPr>
            <w:tcW w:type="dxa" w:w="4968"/>
            <w:vAlign w:val="center"/>
            <w:shd w:fill="F7F9FC"/>
          </w:tcPr>
          <w:p>
            <w:r/>
            <w:r>
              <w:rPr>
                <w:rFonts w:ascii="Aptos" w:hAnsi="Aptos"/>
                <w:b w:val="0"/>
                <w:color w:val="1B2430"/>
                <w:sz w:val="16"/>
              </w:rPr>
              <w:t>Independent horizontal scaling of API, workflow, AI and integration workloads.</w:t>
            </w:r>
          </w:p>
        </w:tc>
      </w:tr>
      <w:tr>
        <w:tc>
          <w:tcPr>
            <w:tcW w:type="dxa" w:w="4968"/>
            <w:vAlign w:val="center"/>
          </w:tcPr>
          <w:p>
            <w:r/>
            <w:r>
              <w:rPr>
                <w:rFonts w:ascii="Aptos" w:hAnsi="Aptos"/>
                <w:b w:val="0"/>
                <w:color w:val="1B2430"/>
                <w:sz w:val="16"/>
              </w:rPr>
              <w:t>Performance</w:t>
            </w:r>
          </w:p>
        </w:tc>
        <w:tc>
          <w:tcPr>
            <w:tcW w:type="dxa" w:w="4968"/>
            <w:vAlign w:val="center"/>
          </w:tcPr>
          <w:p>
            <w:r/>
            <w:r>
              <w:rPr>
                <w:rFonts w:ascii="Aptos" w:hAnsi="Aptos"/>
                <w:b w:val="0"/>
                <w:color w:val="1B2430"/>
                <w:sz w:val="16"/>
              </w:rPr>
              <w:t>Latency budgets defined per workflow node; timeouts prevent unbounded dependency waiting.</w:t>
            </w:r>
          </w:p>
        </w:tc>
      </w:tr>
      <w:tr>
        <w:tc>
          <w:tcPr>
            <w:tcW w:type="dxa" w:w="4968"/>
            <w:vAlign w:val="center"/>
            <w:shd w:fill="F7F9FC"/>
          </w:tcPr>
          <w:p>
            <w:r/>
            <w:r>
              <w:rPr>
                <w:rFonts w:ascii="Aptos" w:hAnsi="Aptos"/>
                <w:b w:val="0"/>
                <w:color w:val="1B2430"/>
                <w:sz w:val="16"/>
              </w:rPr>
              <w:t>Observability</w:t>
            </w:r>
          </w:p>
        </w:tc>
        <w:tc>
          <w:tcPr>
            <w:tcW w:type="dxa" w:w="4968"/>
            <w:vAlign w:val="center"/>
            <w:shd w:fill="F7F9FC"/>
          </w:tcPr>
          <w:p>
            <w:r/>
            <w:r>
              <w:rPr>
                <w:rFonts w:ascii="Aptos" w:hAnsi="Aptos"/>
                <w:b w:val="0"/>
                <w:color w:val="1B2430"/>
                <w:sz w:val="16"/>
              </w:rPr>
              <w:t>End-to-end correlation across API, workflow, tools, models, rules and notifications.</w:t>
            </w:r>
          </w:p>
        </w:tc>
      </w:tr>
      <w:tr>
        <w:tc>
          <w:tcPr>
            <w:tcW w:type="dxa" w:w="4968"/>
            <w:vAlign w:val="center"/>
          </w:tcPr>
          <w:p>
            <w:r/>
            <w:r>
              <w:rPr>
                <w:rFonts w:ascii="Aptos" w:hAnsi="Aptos"/>
                <w:b w:val="0"/>
                <w:color w:val="1B2430"/>
                <w:sz w:val="16"/>
              </w:rPr>
              <w:t>Maintainability</w:t>
            </w:r>
          </w:p>
        </w:tc>
        <w:tc>
          <w:tcPr>
            <w:tcW w:type="dxa" w:w="4968"/>
            <w:vAlign w:val="center"/>
          </w:tcPr>
          <w:p>
            <w:r/>
            <w:r>
              <w:rPr>
                <w:rFonts w:ascii="Aptos" w:hAnsi="Aptos"/>
                <w:b w:val="0"/>
                <w:color w:val="1B2430"/>
                <w:sz w:val="16"/>
              </w:rPr>
              <w:t>Versioned rules/prompts/models/policies; provider abstraction; bounded service responsibilities.</w:t>
            </w:r>
          </w:p>
        </w:tc>
      </w:tr>
      <w:tr>
        <w:tc>
          <w:tcPr>
            <w:tcW w:type="dxa" w:w="4968"/>
            <w:vAlign w:val="center"/>
            <w:shd w:fill="F7F9FC"/>
          </w:tcPr>
          <w:p>
            <w:r/>
            <w:r>
              <w:rPr>
                <w:rFonts w:ascii="Aptos" w:hAnsi="Aptos"/>
                <w:b w:val="0"/>
                <w:color w:val="1B2430"/>
                <w:sz w:val="16"/>
              </w:rPr>
              <w:t>Explainability</w:t>
            </w:r>
          </w:p>
        </w:tc>
        <w:tc>
          <w:tcPr>
            <w:tcW w:type="dxa" w:w="4968"/>
            <w:vAlign w:val="center"/>
            <w:shd w:fill="F7F9FC"/>
          </w:tcPr>
          <w:p>
            <w:r/>
            <w:r>
              <w:rPr>
                <w:rFonts w:ascii="Aptos" w:hAnsi="Aptos"/>
                <w:b w:val="0"/>
                <w:color w:val="1B2430"/>
                <w:sz w:val="16"/>
              </w:rPr>
              <w:t>Every final recommendation/decision can be reconstructed from facts, policy citations, rule outcomes and human actions.</w:t>
            </w:r>
          </w:p>
        </w:tc>
      </w:tr>
      <w:tr>
        <w:tc>
          <w:tcPr>
            <w:tcW w:type="dxa" w:w="4968"/>
            <w:vAlign w:val="center"/>
          </w:tcPr>
          <w:p>
            <w:r/>
            <w:r>
              <w:rPr>
                <w:rFonts w:ascii="Aptos" w:hAnsi="Aptos"/>
                <w:b w:val="0"/>
                <w:color w:val="1B2430"/>
                <w:sz w:val="16"/>
              </w:rPr>
              <w:t>Cost</w:t>
            </w:r>
          </w:p>
        </w:tc>
        <w:tc>
          <w:tcPr>
            <w:tcW w:type="dxa" w:w="4968"/>
            <w:vAlign w:val="center"/>
          </w:tcPr>
          <w:p>
            <w:r/>
            <w:r>
              <w:rPr>
                <w:rFonts w:ascii="Aptos" w:hAnsi="Aptos"/>
                <w:b w:val="0"/>
                <w:color w:val="1B2430"/>
                <w:sz w:val="16"/>
              </w:rPr>
              <w:t>Model routing, token limits, cache, FinOps metrics, cost attribution by capability/case/team.</w:t>
            </w:r>
          </w:p>
        </w:tc>
      </w:tr>
      <w:tr>
        <w:tc>
          <w:tcPr>
            <w:tcW w:type="dxa" w:w="4968"/>
            <w:vAlign w:val="center"/>
            <w:shd w:fill="F7F9FC"/>
          </w:tcPr>
          <w:p>
            <w:r/>
            <w:r>
              <w:rPr>
                <w:rFonts w:ascii="Aptos" w:hAnsi="Aptos"/>
                <w:b w:val="0"/>
                <w:color w:val="1B2430"/>
                <w:sz w:val="16"/>
              </w:rPr>
              <w:t>Accessibility</w:t>
            </w:r>
          </w:p>
        </w:tc>
        <w:tc>
          <w:tcPr>
            <w:tcW w:type="dxa" w:w="4968"/>
            <w:vAlign w:val="center"/>
            <w:shd w:fill="F7F9FC"/>
          </w:tcPr>
          <w:p>
            <w:r/>
            <w:r>
              <w:rPr>
                <w:rFonts w:ascii="Aptos" w:hAnsi="Aptos"/>
                <w:b w:val="0"/>
                <w:color w:val="1B2430"/>
                <w:sz w:val="16"/>
              </w:rPr>
              <w:t>Customer/analyst interfaces and communications should meet applicable accessibility standards.</w:t>
            </w:r>
          </w:p>
        </w:tc>
      </w:tr>
    </w:tbl>
    <w:p>
      <w:pPr>
        <w:spacing w:after="20"/>
      </w:pPr>
    </w:p>
    <w:p>
      <w:bookmarkStart w:id="315" w:name="H_16__Key_Architecture_Decisions"/>
      <w:pPr>
        <w:pStyle w:val="Heading1"/>
      </w:pPr>
      <w:r>
        <w:t>16. Key Architecture Decisions</w:t>
      </w:r>
      <w:bookmarkEnd w:id="315"/>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0B1F5B"/>
          </w:tcPr>
          <w:p>
            <w:r/>
            <w:r>
              <w:rPr>
                <w:rFonts w:ascii="Aptos" w:hAnsi="Aptos"/>
                <w:b/>
                <w:color w:val="FFFFFF"/>
                <w:sz w:val="17"/>
              </w:rPr>
              <w:t>Decision</w:t>
            </w:r>
          </w:p>
        </w:tc>
        <w:tc>
          <w:tcPr>
            <w:tcW w:type="dxa" w:w="3312"/>
            <w:vAlign w:val="center"/>
            <w:shd w:fill="0B1F5B"/>
          </w:tcPr>
          <w:p>
            <w:r/>
            <w:r>
              <w:rPr>
                <w:rFonts w:ascii="Aptos" w:hAnsi="Aptos"/>
                <w:b/>
                <w:color w:val="FFFFFF"/>
                <w:sz w:val="17"/>
              </w:rPr>
              <w:t>Rationale</w:t>
            </w:r>
          </w:p>
        </w:tc>
        <w:tc>
          <w:tcPr>
            <w:tcW w:type="dxa" w:w="3312"/>
            <w:vAlign w:val="center"/>
            <w:shd w:fill="0B1F5B"/>
          </w:tcPr>
          <w:p>
            <w:r/>
            <w:r>
              <w:rPr>
                <w:rFonts w:ascii="Aptos" w:hAnsi="Aptos"/>
                <w:b/>
                <w:color w:val="FFFFFF"/>
                <w:sz w:val="17"/>
              </w:rPr>
              <w:t>Trade-off</w:t>
            </w:r>
          </w:p>
        </w:tc>
      </w:tr>
      <w:tr>
        <w:tc>
          <w:tcPr>
            <w:tcW w:type="dxa" w:w="3312"/>
            <w:vAlign w:val="center"/>
            <w:shd w:fill="F7F9FC"/>
          </w:tcPr>
          <w:p>
            <w:r/>
            <w:r>
              <w:rPr>
                <w:rFonts w:ascii="Aptos" w:hAnsi="Aptos"/>
                <w:b w:val="0"/>
                <w:color w:val="1B2430"/>
                <w:sz w:val="16"/>
              </w:rPr>
              <w:t>Use LangGraph as stateful orchestration engine</w:t>
            </w:r>
          </w:p>
        </w:tc>
        <w:tc>
          <w:tcPr>
            <w:tcW w:type="dxa" w:w="3312"/>
            <w:vAlign w:val="center"/>
            <w:shd w:fill="F7F9FC"/>
          </w:tcPr>
          <w:p>
            <w:r/>
            <w:r>
              <w:rPr>
                <w:rFonts w:ascii="Aptos" w:hAnsi="Aptos"/>
                <w:b w:val="0"/>
                <w:color w:val="1B2430"/>
                <w:sz w:val="16"/>
              </w:rPr>
              <w:t>Supports checkpoints, interrupts, resumability and explicit workflow graphs.</w:t>
            </w:r>
          </w:p>
        </w:tc>
        <w:tc>
          <w:tcPr>
            <w:tcW w:type="dxa" w:w="3312"/>
            <w:vAlign w:val="center"/>
            <w:shd w:fill="F7F9FC"/>
          </w:tcPr>
          <w:p>
            <w:r/>
            <w:r>
              <w:rPr>
                <w:rFonts w:ascii="Aptos" w:hAnsi="Aptos"/>
                <w:b w:val="0"/>
                <w:color w:val="1B2430"/>
                <w:sz w:val="16"/>
              </w:rPr>
              <w:t>Adds orchestration framework operational complexity and version migration concerns.</w:t>
            </w:r>
          </w:p>
        </w:tc>
      </w:tr>
      <w:tr>
        <w:tc>
          <w:tcPr>
            <w:tcW w:type="dxa" w:w="3312"/>
            <w:vAlign w:val="center"/>
          </w:tcPr>
          <w:p>
            <w:r/>
            <w:r>
              <w:rPr>
                <w:rFonts w:ascii="Aptos" w:hAnsi="Aptos"/>
                <w:b w:val="0"/>
                <w:color w:val="1B2430"/>
                <w:sz w:val="16"/>
              </w:rPr>
              <w:t>Keep rule checks deterministic</w:t>
            </w:r>
          </w:p>
        </w:tc>
        <w:tc>
          <w:tcPr>
            <w:tcW w:type="dxa" w:w="3312"/>
            <w:vAlign w:val="center"/>
          </w:tcPr>
          <w:p>
            <w:r/>
            <w:r>
              <w:rPr>
                <w:rFonts w:ascii="Aptos" w:hAnsi="Aptos"/>
                <w:b w:val="0"/>
                <w:color w:val="1B2430"/>
                <w:sz w:val="16"/>
              </w:rPr>
              <w:t>Regulated decision logic must be repeatable, testable and versioned.</w:t>
            </w:r>
          </w:p>
        </w:tc>
        <w:tc>
          <w:tcPr>
            <w:tcW w:type="dxa" w:w="3312"/>
            <w:vAlign w:val="center"/>
          </w:tcPr>
          <w:p>
            <w:r/>
            <w:r>
              <w:rPr>
                <w:rFonts w:ascii="Aptos" w:hAnsi="Aptos"/>
                <w:b w:val="0"/>
                <w:color w:val="1B2430"/>
                <w:sz w:val="16"/>
              </w:rPr>
              <w:t>Rules require explicit maintenance and may evolve slower than prompt-only approaches.</w:t>
            </w:r>
          </w:p>
        </w:tc>
      </w:tr>
      <w:tr>
        <w:tc>
          <w:tcPr>
            <w:tcW w:type="dxa" w:w="3312"/>
            <w:vAlign w:val="center"/>
            <w:shd w:fill="F7F9FC"/>
          </w:tcPr>
          <w:p>
            <w:r/>
            <w:r>
              <w:rPr>
                <w:rFonts w:ascii="Aptos" w:hAnsi="Aptos"/>
                <w:b w:val="0"/>
                <w:color w:val="1B2430"/>
                <w:sz w:val="16"/>
              </w:rPr>
              <w:t>Use controlled RAG for policy context</w:t>
            </w:r>
          </w:p>
        </w:tc>
        <w:tc>
          <w:tcPr>
            <w:tcW w:type="dxa" w:w="3312"/>
            <w:vAlign w:val="center"/>
            <w:shd w:fill="F7F9FC"/>
          </w:tcPr>
          <w:p>
            <w:r/>
            <w:r>
              <w:rPr>
                <w:rFonts w:ascii="Aptos" w:hAnsi="Aptos"/>
                <w:b w:val="0"/>
                <w:color w:val="1B2430"/>
                <w:sz w:val="16"/>
              </w:rPr>
              <w:t>Grounds recommendations in governed policy knowledge with citations.</w:t>
            </w:r>
          </w:p>
        </w:tc>
        <w:tc>
          <w:tcPr>
            <w:tcW w:type="dxa" w:w="3312"/>
            <w:vAlign w:val="center"/>
            <w:shd w:fill="F7F9FC"/>
          </w:tcPr>
          <w:p>
            <w:r/>
            <w:r>
              <w:rPr>
                <w:rFonts w:ascii="Aptos" w:hAnsi="Aptos"/>
                <w:b w:val="0"/>
                <w:color w:val="1B2430"/>
                <w:sz w:val="16"/>
              </w:rPr>
              <w:t>Index freshness, retrieval quality and version control become critical.</w:t>
            </w:r>
          </w:p>
        </w:tc>
      </w:tr>
      <w:tr>
        <w:tc>
          <w:tcPr>
            <w:tcW w:type="dxa" w:w="3312"/>
            <w:vAlign w:val="center"/>
          </w:tcPr>
          <w:p>
            <w:r/>
            <w:r>
              <w:rPr>
                <w:rFonts w:ascii="Aptos" w:hAnsi="Aptos"/>
                <w:b w:val="0"/>
                <w:color w:val="1B2430"/>
                <w:sz w:val="16"/>
              </w:rPr>
              <w:t>Put all model calls behind a Model Gateway</w:t>
            </w:r>
          </w:p>
        </w:tc>
        <w:tc>
          <w:tcPr>
            <w:tcW w:type="dxa" w:w="3312"/>
            <w:vAlign w:val="center"/>
          </w:tcPr>
          <w:p>
            <w:r/>
            <w:r>
              <w:rPr>
                <w:rFonts w:ascii="Aptos" w:hAnsi="Aptos"/>
                <w:b w:val="0"/>
                <w:color w:val="1B2430"/>
                <w:sz w:val="16"/>
              </w:rPr>
              <w:t>Centralizes provider routing, policy, guardrails, telemetry and cost controls.</w:t>
            </w:r>
          </w:p>
        </w:tc>
        <w:tc>
          <w:tcPr>
            <w:tcW w:type="dxa" w:w="3312"/>
            <w:vAlign w:val="center"/>
          </w:tcPr>
          <w:p>
            <w:r/>
            <w:r>
              <w:rPr>
                <w:rFonts w:ascii="Aptos" w:hAnsi="Aptos"/>
                <w:b w:val="0"/>
                <w:color w:val="1B2430"/>
                <w:sz w:val="16"/>
              </w:rPr>
              <w:t>Gateway becomes a critical dependency and must scale/HA accordingly.</w:t>
            </w:r>
          </w:p>
        </w:tc>
      </w:tr>
      <w:tr>
        <w:tc>
          <w:tcPr>
            <w:tcW w:type="dxa" w:w="3312"/>
            <w:vAlign w:val="center"/>
            <w:shd w:fill="F7F9FC"/>
          </w:tcPr>
          <w:p>
            <w:r/>
            <w:r>
              <w:rPr>
                <w:rFonts w:ascii="Aptos" w:hAnsi="Aptos"/>
                <w:b w:val="0"/>
                <w:color w:val="1B2430"/>
                <w:sz w:val="16"/>
              </w:rPr>
              <w:t>Separate business state from workflow state</w:t>
            </w:r>
          </w:p>
        </w:tc>
        <w:tc>
          <w:tcPr>
            <w:tcW w:type="dxa" w:w="3312"/>
            <w:vAlign w:val="center"/>
            <w:shd w:fill="F7F9FC"/>
          </w:tcPr>
          <w:p>
            <w:r/>
            <w:r>
              <w:rPr>
                <w:rFonts w:ascii="Aptos" w:hAnsi="Aptos"/>
                <w:b w:val="0"/>
                <w:color w:val="1B2430"/>
                <w:sz w:val="16"/>
              </w:rPr>
              <w:t>Avoids coupling operational records to orchestration implementation.</w:t>
            </w:r>
          </w:p>
        </w:tc>
        <w:tc>
          <w:tcPr>
            <w:tcW w:type="dxa" w:w="3312"/>
            <w:vAlign w:val="center"/>
            <w:shd w:fill="F7F9FC"/>
          </w:tcPr>
          <w:p>
            <w:r/>
            <w:r>
              <w:rPr>
                <w:rFonts w:ascii="Aptos" w:hAnsi="Aptos"/>
                <w:b w:val="0"/>
                <w:color w:val="1B2430"/>
                <w:sz w:val="16"/>
              </w:rPr>
              <w:t>Requires synchronization/idempotency patterns between two state authorities.</w:t>
            </w:r>
          </w:p>
        </w:tc>
      </w:tr>
      <w:tr>
        <w:tc>
          <w:tcPr>
            <w:tcW w:type="dxa" w:w="3312"/>
            <w:vAlign w:val="center"/>
          </w:tcPr>
          <w:p>
            <w:r/>
            <w:r>
              <w:rPr>
                <w:rFonts w:ascii="Aptos" w:hAnsi="Aptos"/>
                <w:b w:val="0"/>
                <w:color w:val="1B2430"/>
                <w:sz w:val="16"/>
              </w:rPr>
              <w:t>Use HITL as a first-class workflow construct</w:t>
            </w:r>
          </w:p>
        </w:tc>
        <w:tc>
          <w:tcPr>
            <w:tcW w:type="dxa" w:w="3312"/>
            <w:vAlign w:val="center"/>
          </w:tcPr>
          <w:p>
            <w:r/>
            <w:r>
              <w:rPr>
                <w:rFonts w:ascii="Aptos" w:hAnsi="Aptos"/>
                <w:b w:val="0"/>
                <w:color w:val="1B2430"/>
                <w:sz w:val="16"/>
              </w:rPr>
              <w:t>Enables safe escalation when uncertainty or policy exceptions exist.</w:t>
            </w:r>
          </w:p>
        </w:tc>
        <w:tc>
          <w:tcPr>
            <w:tcW w:type="dxa" w:w="3312"/>
            <w:vAlign w:val="center"/>
          </w:tcPr>
          <w:p>
            <w:r/>
            <w:r>
              <w:rPr>
                <w:rFonts w:ascii="Aptos" w:hAnsi="Aptos"/>
                <w:b w:val="0"/>
                <w:color w:val="1B2430"/>
                <w:sz w:val="16"/>
              </w:rPr>
              <w:t>Human queues introduce latency and capacity planning requirements.</w:t>
            </w:r>
          </w:p>
        </w:tc>
      </w:tr>
      <w:tr>
        <w:tc>
          <w:tcPr>
            <w:tcW w:type="dxa" w:w="3312"/>
            <w:vAlign w:val="center"/>
            <w:shd w:fill="F7F9FC"/>
          </w:tcPr>
          <w:p>
            <w:r/>
            <w:r>
              <w:rPr>
                <w:rFonts w:ascii="Aptos" w:hAnsi="Aptos"/>
                <w:b w:val="0"/>
                <w:color w:val="1B2430"/>
                <w:sz w:val="16"/>
              </w:rPr>
              <w:t>Use immutable audit storage</w:t>
            </w:r>
          </w:p>
        </w:tc>
        <w:tc>
          <w:tcPr>
            <w:tcW w:type="dxa" w:w="3312"/>
            <w:vAlign w:val="center"/>
            <w:shd w:fill="F7F9FC"/>
          </w:tcPr>
          <w:p>
            <w:r/>
            <w:r>
              <w:rPr>
                <w:rFonts w:ascii="Aptos" w:hAnsi="Aptos"/>
                <w:b w:val="0"/>
                <w:color w:val="1B2430"/>
                <w:sz w:val="16"/>
              </w:rPr>
              <w:t>Supports compliance, reconstruction and control evidence.</w:t>
            </w:r>
          </w:p>
        </w:tc>
        <w:tc>
          <w:tcPr>
            <w:tcW w:type="dxa" w:w="3312"/>
            <w:vAlign w:val="center"/>
            <w:shd w:fill="F7F9FC"/>
          </w:tcPr>
          <w:p>
            <w:r/>
            <w:r>
              <w:rPr>
                <w:rFonts w:ascii="Aptos" w:hAnsi="Aptos"/>
                <w:b w:val="0"/>
                <w:color w:val="1B2430"/>
                <w:sz w:val="16"/>
              </w:rPr>
              <w:t>Higher storage/retention cost and stricter data lifecycle design.</w:t>
            </w:r>
          </w:p>
        </w:tc>
      </w:tr>
    </w:tbl>
    <w:p>
      <w:pPr>
        <w:spacing w:after="20"/>
      </w:pPr>
    </w:p>
    <w:p>
      <w:bookmarkStart w:id="316" w:name="H_17__Risks_and_Mitigations"/>
      <w:pPr>
        <w:pStyle w:val="Heading1"/>
      </w:pPr>
      <w:r>
        <w:t>17. Risks and Mitigations</w:t>
      </w:r>
      <w:bookmarkEnd w:id="316"/>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0B1F5B"/>
          </w:tcPr>
          <w:p>
            <w:r/>
            <w:r>
              <w:rPr>
                <w:rFonts w:ascii="Aptos" w:hAnsi="Aptos"/>
                <w:b/>
                <w:color w:val="FFFFFF"/>
                <w:sz w:val="17"/>
              </w:rPr>
              <w:t>Risk</w:t>
            </w:r>
          </w:p>
        </w:tc>
        <w:tc>
          <w:tcPr>
            <w:tcW w:type="dxa" w:w="3312"/>
            <w:vAlign w:val="center"/>
            <w:shd w:fill="0B1F5B"/>
          </w:tcPr>
          <w:p>
            <w:r/>
            <w:r>
              <w:rPr>
                <w:rFonts w:ascii="Aptos" w:hAnsi="Aptos"/>
                <w:b/>
                <w:color w:val="FFFFFF"/>
                <w:sz w:val="17"/>
              </w:rPr>
              <w:t>Impact</w:t>
            </w:r>
          </w:p>
        </w:tc>
        <w:tc>
          <w:tcPr>
            <w:tcW w:type="dxa" w:w="3312"/>
            <w:vAlign w:val="center"/>
            <w:shd w:fill="0B1F5B"/>
          </w:tcPr>
          <w:p>
            <w:r/>
            <w:r>
              <w:rPr>
                <w:rFonts w:ascii="Aptos" w:hAnsi="Aptos"/>
                <w:b/>
                <w:color w:val="FFFFFF"/>
                <w:sz w:val="17"/>
              </w:rPr>
              <w:t>Mitigation</w:t>
            </w:r>
          </w:p>
        </w:tc>
      </w:tr>
      <w:tr>
        <w:tc>
          <w:tcPr>
            <w:tcW w:type="dxa" w:w="3312"/>
            <w:vAlign w:val="center"/>
            <w:shd w:fill="F7F9FC"/>
          </w:tcPr>
          <w:p>
            <w:r/>
            <w:r>
              <w:rPr>
                <w:rFonts w:ascii="Aptos" w:hAnsi="Aptos"/>
                <w:b w:val="0"/>
                <w:color w:val="1B2430"/>
                <w:sz w:val="16"/>
              </w:rPr>
              <w:t>AI hallucination or unsupported rationale</w:t>
            </w:r>
          </w:p>
        </w:tc>
        <w:tc>
          <w:tcPr>
            <w:tcW w:type="dxa" w:w="3312"/>
            <w:vAlign w:val="center"/>
            <w:shd w:fill="F7F9FC"/>
          </w:tcPr>
          <w:p>
            <w:r/>
            <w:r>
              <w:rPr>
                <w:rFonts w:ascii="Aptos" w:hAnsi="Aptos"/>
                <w:b w:val="0"/>
                <w:color w:val="1B2430"/>
                <w:sz w:val="16"/>
              </w:rPr>
              <w:t>Incorrect recommendation/communication.</w:t>
            </w:r>
          </w:p>
        </w:tc>
        <w:tc>
          <w:tcPr>
            <w:tcW w:type="dxa" w:w="3312"/>
            <w:vAlign w:val="center"/>
            <w:shd w:fill="F7F9FC"/>
          </w:tcPr>
          <w:p>
            <w:r/>
            <w:r>
              <w:rPr>
                <w:rFonts w:ascii="Aptos" w:hAnsi="Aptos"/>
                <w:b w:val="0"/>
                <w:color w:val="1B2430"/>
                <w:sz w:val="16"/>
              </w:rPr>
              <w:t>Grounded inputs, schema validation, citations, deterministic rules, human approval, evaluation.</w:t>
            </w:r>
          </w:p>
        </w:tc>
      </w:tr>
      <w:tr>
        <w:tc>
          <w:tcPr>
            <w:tcW w:type="dxa" w:w="3312"/>
            <w:vAlign w:val="center"/>
          </w:tcPr>
          <w:p>
            <w:r/>
            <w:r>
              <w:rPr>
                <w:rFonts w:ascii="Aptos" w:hAnsi="Aptos"/>
                <w:b w:val="0"/>
                <w:color w:val="1B2430"/>
                <w:sz w:val="16"/>
              </w:rPr>
              <w:t>Policy retrieval returns wrong version</w:t>
            </w:r>
          </w:p>
        </w:tc>
        <w:tc>
          <w:tcPr>
            <w:tcW w:type="dxa" w:w="3312"/>
            <w:vAlign w:val="center"/>
          </w:tcPr>
          <w:p>
            <w:r/>
            <w:r>
              <w:rPr>
                <w:rFonts w:ascii="Aptos" w:hAnsi="Aptos"/>
                <w:b w:val="0"/>
                <w:color w:val="1B2430"/>
                <w:sz w:val="16"/>
              </w:rPr>
              <w:t>Incorrect decision basis.</w:t>
            </w:r>
          </w:p>
        </w:tc>
        <w:tc>
          <w:tcPr>
            <w:tcW w:type="dxa" w:w="3312"/>
            <w:vAlign w:val="center"/>
          </w:tcPr>
          <w:p>
            <w:r/>
            <w:r>
              <w:rPr>
                <w:rFonts w:ascii="Aptos" w:hAnsi="Aptos"/>
                <w:b w:val="0"/>
                <w:color w:val="1B2430"/>
                <w:sz w:val="16"/>
              </w:rPr>
              <w:t>Eligibility filtering, effective-date metadata, policy version governance, low-confidence review.</w:t>
            </w:r>
          </w:p>
        </w:tc>
      </w:tr>
      <w:tr>
        <w:tc>
          <w:tcPr>
            <w:tcW w:type="dxa" w:w="3312"/>
            <w:vAlign w:val="center"/>
            <w:shd w:fill="F7F9FC"/>
          </w:tcPr>
          <w:p>
            <w:r/>
            <w:r>
              <w:rPr>
                <w:rFonts w:ascii="Aptos" w:hAnsi="Aptos"/>
                <w:b w:val="0"/>
                <w:color w:val="1B2430"/>
                <w:sz w:val="16"/>
              </w:rPr>
              <w:t>Data drift across authoritative providers</w:t>
            </w:r>
          </w:p>
        </w:tc>
        <w:tc>
          <w:tcPr>
            <w:tcW w:type="dxa" w:w="3312"/>
            <w:vAlign w:val="center"/>
            <w:shd w:fill="F7F9FC"/>
          </w:tcPr>
          <w:p>
            <w:r/>
            <w:r>
              <w:rPr>
                <w:rFonts w:ascii="Aptos" w:hAnsi="Aptos"/>
                <w:b w:val="0"/>
                <w:color w:val="1B2430"/>
                <w:sz w:val="16"/>
              </w:rPr>
              <w:t>Conflicting investigation facts.</w:t>
            </w:r>
          </w:p>
        </w:tc>
        <w:tc>
          <w:tcPr>
            <w:tcW w:type="dxa" w:w="3312"/>
            <w:vAlign w:val="center"/>
            <w:shd w:fill="F7F9FC"/>
          </w:tcPr>
          <w:p>
            <w:r/>
            <w:r>
              <w:rPr>
                <w:rFonts w:ascii="Aptos" w:hAnsi="Aptos"/>
                <w:b w:val="0"/>
                <w:color w:val="1B2430"/>
                <w:sz w:val="16"/>
              </w:rPr>
              <w:t>Source timestamps, precedence rules, conflict detection, manual review path.</w:t>
            </w:r>
          </w:p>
        </w:tc>
      </w:tr>
      <w:tr>
        <w:tc>
          <w:tcPr>
            <w:tcW w:type="dxa" w:w="3312"/>
            <w:vAlign w:val="center"/>
          </w:tcPr>
          <w:p>
            <w:r/>
            <w:r>
              <w:rPr>
                <w:rFonts w:ascii="Aptos" w:hAnsi="Aptos"/>
                <w:b w:val="0"/>
                <w:color w:val="1B2430"/>
                <w:sz w:val="16"/>
              </w:rPr>
              <w:t>Workflow replay duplicates side effects</w:t>
            </w:r>
          </w:p>
        </w:tc>
        <w:tc>
          <w:tcPr>
            <w:tcW w:type="dxa" w:w="3312"/>
            <w:vAlign w:val="center"/>
          </w:tcPr>
          <w:p>
            <w:r/>
            <w:r>
              <w:rPr>
                <w:rFonts w:ascii="Aptos" w:hAnsi="Aptos"/>
                <w:b w:val="0"/>
                <w:color w:val="1B2430"/>
                <w:sz w:val="16"/>
              </w:rPr>
              <w:t>Duplicate notifications/mutations.</w:t>
            </w:r>
          </w:p>
        </w:tc>
        <w:tc>
          <w:tcPr>
            <w:tcW w:type="dxa" w:w="3312"/>
            <w:vAlign w:val="center"/>
          </w:tcPr>
          <w:p>
            <w:r/>
            <w:r>
              <w:rPr>
                <w:rFonts w:ascii="Aptos" w:hAnsi="Aptos"/>
                <w:b w:val="0"/>
                <w:color w:val="1B2430"/>
                <w:sz w:val="16"/>
              </w:rPr>
              <w:t>Checkpoint boundaries, idempotency keys, outbox/event deduplication.</w:t>
            </w:r>
          </w:p>
        </w:tc>
      </w:tr>
      <w:tr>
        <w:tc>
          <w:tcPr>
            <w:tcW w:type="dxa" w:w="3312"/>
            <w:vAlign w:val="center"/>
            <w:shd w:fill="F7F9FC"/>
          </w:tcPr>
          <w:p>
            <w:r/>
            <w:r>
              <w:rPr>
                <w:rFonts w:ascii="Aptos" w:hAnsi="Aptos"/>
                <w:b w:val="0"/>
                <w:color w:val="1B2430"/>
                <w:sz w:val="16"/>
              </w:rPr>
              <w:t>Sensitive data leakage to model/observability provider</w:t>
            </w:r>
          </w:p>
        </w:tc>
        <w:tc>
          <w:tcPr>
            <w:tcW w:type="dxa" w:w="3312"/>
            <w:vAlign w:val="center"/>
            <w:shd w:fill="F7F9FC"/>
          </w:tcPr>
          <w:p>
            <w:r/>
            <w:r>
              <w:rPr>
                <w:rFonts w:ascii="Aptos" w:hAnsi="Aptos"/>
                <w:b w:val="0"/>
                <w:color w:val="1B2430"/>
                <w:sz w:val="16"/>
              </w:rPr>
              <w:t>Privacy/compliance breach.</w:t>
            </w:r>
          </w:p>
        </w:tc>
        <w:tc>
          <w:tcPr>
            <w:tcW w:type="dxa" w:w="3312"/>
            <w:vAlign w:val="center"/>
            <w:shd w:fill="F7F9FC"/>
          </w:tcPr>
          <w:p>
            <w:r/>
            <w:r>
              <w:rPr>
                <w:rFonts w:ascii="Aptos" w:hAnsi="Aptos"/>
                <w:b w:val="0"/>
                <w:color w:val="1B2430"/>
                <w:sz w:val="16"/>
              </w:rPr>
              <w:t>Data classification, masking, egress policy, allowlists, provider contracts, configurable trace capture.</w:t>
            </w:r>
          </w:p>
        </w:tc>
      </w:tr>
      <w:tr>
        <w:tc>
          <w:tcPr>
            <w:tcW w:type="dxa" w:w="3312"/>
            <w:vAlign w:val="center"/>
          </w:tcPr>
          <w:p>
            <w:r/>
            <w:r>
              <w:rPr>
                <w:rFonts w:ascii="Aptos" w:hAnsi="Aptos"/>
                <w:b w:val="0"/>
                <w:color w:val="1B2430"/>
                <w:sz w:val="16"/>
              </w:rPr>
              <w:t>Human review bottleneck</w:t>
            </w:r>
          </w:p>
        </w:tc>
        <w:tc>
          <w:tcPr>
            <w:tcW w:type="dxa" w:w="3312"/>
            <w:vAlign w:val="center"/>
          </w:tcPr>
          <w:p>
            <w:r/>
            <w:r>
              <w:rPr>
                <w:rFonts w:ascii="Aptos" w:hAnsi="Aptos"/>
                <w:b w:val="0"/>
                <w:color w:val="1B2430"/>
                <w:sz w:val="16"/>
              </w:rPr>
              <w:t>SLA breach.</w:t>
            </w:r>
          </w:p>
        </w:tc>
        <w:tc>
          <w:tcPr>
            <w:tcW w:type="dxa" w:w="3312"/>
            <w:vAlign w:val="center"/>
          </w:tcPr>
          <w:p>
            <w:r/>
            <w:r>
              <w:rPr>
                <w:rFonts w:ascii="Aptos" w:hAnsi="Aptos"/>
                <w:b w:val="0"/>
                <w:color w:val="1B2430"/>
                <w:sz w:val="16"/>
              </w:rPr>
              <w:t>Queue metrics, prioritization, supervisor pools, threshold tuning, capacity planning.</w:t>
            </w:r>
          </w:p>
        </w:tc>
      </w:tr>
      <w:tr>
        <w:tc>
          <w:tcPr>
            <w:tcW w:type="dxa" w:w="3312"/>
            <w:vAlign w:val="center"/>
            <w:shd w:fill="F7F9FC"/>
          </w:tcPr>
          <w:p>
            <w:r/>
            <w:r>
              <w:rPr>
                <w:rFonts w:ascii="Aptos" w:hAnsi="Aptos"/>
                <w:b w:val="0"/>
                <w:color w:val="1B2430"/>
                <w:sz w:val="16"/>
              </w:rPr>
              <w:t>Rules/prompt/model changes alter outcomes</w:t>
            </w:r>
          </w:p>
        </w:tc>
        <w:tc>
          <w:tcPr>
            <w:tcW w:type="dxa" w:w="3312"/>
            <w:vAlign w:val="center"/>
            <w:shd w:fill="F7F9FC"/>
          </w:tcPr>
          <w:p>
            <w:r/>
            <w:r>
              <w:rPr>
                <w:rFonts w:ascii="Aptos" w:hAnsi="Aptos"/>
                <w:b w:val="0"/>
                <w:color w:val="1B2430"/>
                <w:sz w:val="16"/>
              </w:rPr>
              <w:t>Uncontrolled behavioral change.</w:t>
            </w:r>
          </w:p>
        </w:tc>
        <w:tc>
          <w:tcPr>
            <w:tcW w:type="dxa" w:w="3312"/>
            <w:vAlign w:val="center"/>
            <w:shd w:fill="F7F9FC"/>
          </w:tcPr>
          <w:p>
            <w:r/>
            <w:r>
              <w:rPr>
                <w:rFonts w:ascii="Aptos" w:hAnsi="Aptos"/>
                <w:b w:val="0"/>
                <w:color w:val="1B2430"/>
                <w:sz w:val="16"/>
              </w:rPr>
              <w:t>Versioning, approval, evaluation gates, canary release, audit metadata.</w:t>
            </w:r>
          </w:p>
        </w:tc>
      </w:tr>
      <w:tr>
        <w:tc>
          <w:tcPr>
            <w:tcW w:type="dxa" w:w="3312"/>
            <w:vAlign w:val="center"/>
          </w:tcPr>
          <w:p>
            <w:r/>
            <w:r>
              <w:rPr>
                <w:rFonts w:ascii="Aptos" w:hAnsi="Aptos"/>
                <w:b w:val="0"/>
                <w:color w:val="1B2430"/>
                <w:sz w:val="16"/>
              </w:rPr>
              <w:t>Vendor/provider outage</w:t>
            </w:r>
          </w:p>
        </w:tc>
        <w:tc>
          <w:tcPr>
            <w:tcW w:type="dxa" w:w="3312"/>
            <w:vAlign w:val="center"/>
          </w:tcPr>
          <w:p>
            <w:r/>
            <w:r>
              <w:rPr>
                <w:rFonts w:ascii="Aptos" w:hAnsi="Aptos"/>
                <w:b w:val="0"/>
                <w:color w:val="1B2430"/>
                <w:sz w:val="16"/>
              </w:rPr>
              <w:t>Reduced AI capability or workflow delay.</w:t>
            </w:r>
          </w:p>
        </w:tc>
        <w:tc>
          <w:tcPr>
            <w:tcW w:type="dxa" w:w="3312"/>
            <w:vAlign w:val="center"/>
          </w:tcPr>
          <w:p>
            <w:r/>
            <w:r>
              <w:rPr>
                <w:rFonts w:ascii="Aptos" w:hAnsi="Aptos"/>
                <w:b w:val="0"/>
                <w:color w:val="1B2430"/>
                <w:sz w:val="16"/>
              </w:rPr>
              <w:t>Provider abstraction, fallback, timeouts, deterministic/HITL degraded mode.</w:t>
            </w:r>
          </w:p>
        </w:tc>
      </w:tr>
      <w:tr>
        <w:tc>
          <w:tcPr>
            <w:tcW w:type="dxa" w:w="3312"/>
            <w:vAlign w:val="center"/>
            <w:shd w:fill="F7F9FC"/>
          </w:tcPr>
          <w:p>
            <w:r/>
            <w:r>
              <w:rPr>
                <w:rFonts w:ascii="Aptos" w:hAnsi="Aptos"/>
                <w:b w:val="0"/>
                <w:color w:val="1B2430"/>
                <w:sz w:val="16"/>
              </w:rPr>
              <w:t>Audit persistence gap</w:t>
            </w:r>
          </w:p>
        </w:tc>
        <w:tc>
          <w:tcPr>
            <w:tcW w:type="dxa" w:w="3312"/>
            <w:vAlign w:val="center"/>
            <w:shd w:fill="F7F9FC"/>
          </w:tcPr>
          <w:p>
            <w:r/>
            <w:r>
              <w:rPr>
                <w:rFonts w:ascii="Aptos" w:hAnsi="Aptos"/>
                <w:b w:val="0"/>
                <w:color w:val="1B2430"/>
                <w:sz w:val="16"/>
              </w:rPr>
              <w:t>Unable to evidence decision.</w:t>
            </w:r>
          </w:p>
        </w:tc>
        <w:tc>
          <w:tcPr>
            <w:tcW w:type="dxa" w:w="3312"/>
            <w:vAlign w:val="center"/>
            <w:shd w:fill="F7F9FC"/>
          </w:tcPr>
          <w:p>
            <w:r/>
            <w:r>
              <w:rPr>
                <w:rFonts w:ascii="Aptos" w:hAnsi="Aptos"/>
                <w:b w:val="0"/>
                <w:color w:val="1B2430"/>
                <w:sz w:val="16"/>
              </w:rPr>
              <w:t>Outbox/append-only design; block finalization or route recovery on critical audit failure.</w:t>
            </w:r>
          </w:p>
        </w:tc>
      </w:tr>
    </w:tbl>
    <w:p>
      <w:pPr>
        <w:spacing w:after="20"/>
      </w:pPr>
    </w:p>
    <w:p>
      <w:bookmarkStart w:id="317" w:name="H_18__Assumptions__Constraints_and_Ope"/>
      <w:pPr>
        <w:pStyle w:val="Heading1"/>
      </w:pPr>
      <w:r>
        <w:t>18. Assumptions, Constraints and Open Decisions</w:t>
      </w:r>
      <w:bookmarkEnd w:id="317"/>
    </w:p>
    <w:p>
      <w:pPr>
        <w:pStyle w:val="Heading2"/>
      </w:pPr>
      <w:r>
        <w:t>18.1 Assumptions Used in This HLD</w:t>
      </w:r>
    </w:p>
    <w:p>
      <w:pPr>
        <w:pStyle w:val="ListBullet"/>
      </w:pPr>
      <w:r>
        <w:t>FastAPI is the intended application/API technology as shown in the diagram.</w:t>
      </w:r>
    </w:p>
    <w:p>
      <w:pPr>
        <w:pStyle w:val="ListBullet"/>
      </w:pPr>
      <w:r>
        <w:t>PostgreSQL is approved for both business state and LangGraph checkpoint state, with logical/physical separation as appropriate.</w:t>
      </w:r>
    </w:p>
    <w:p>
      <w:pPr>
        <w:pStyle w:val="ListBullet"/>
      </w:pPr>
      <w:r>
        <w:t>pgvector is approved for policy embeddings and governed metadata filtering.</w:t>
      </w:r>
    </w:p>
    <w:p>
      <w:pPr>
        <w:pStyle w:val="ListBullet"/>
      </w:pPr>
      <w:r>
        <w:t>Redis is used only for transient cache/queue/lock coordination and is not the source of record.</w:t>
      </w:r>
    </w:p>
    <w:p>
      <w:pPr>
        <w:pStyle w:val="ListBullet"/>
      </w:pPr>
      <w:r>
        <w:t>Final business disposition always has an accountable human approval boundary unless a future policy explicitly authorizes straight-through processing for specific low-risk cases.</w:t>
      </w:r>
    </w:p>
    <w:p>
      <w:pPr>
        <w:pStyle w:val="ListBullet"/>
      </w:pPr>
      <w:r>
        <w:t>Authoritative banking providers expose APIs or controlled adapters that can supply lineage/timestamps.</w:t>
      </w:r>
    </w:p>
    <w:p>
      <w:pPr>
        <w:pStyle w:val="Heading2"/>
      </w:pPr>
      <w:r>
        <w:t>18.2 Open Architecture Decisions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0B1F5B"/>
          </w:tcPr>
          <w:p>
            <w:r/>
            <w:r>
              <w:rPr>
                <w:rFonts w:ascii="Aptos" w:hAnsi="Aptos"/>
                <w:b/>
                <w:color w:val="FFFFFF"/>
                <w:sz w:val="17"/>
              </w:rPr>
              <w:t>Decision Needed</w:t>
            </w:r>
          </w:p>
        </w:tc>
        <w:tc>
          <w:tcPr>
            <w:tcW w:type="dxa" w:w="4968"/>
            <w:vAlign w:val="center"/>
            <w:shd w:fill="0B1F5B"/>
          </w:tcPr>
          <w:p>
            <w:r/>
            <w:r>
              <w:rPr>
                <w:rFonts w:ascii="Aptos" w:hAnsi="Aptos"/>
                <w:b/>
                <w:color w:val="FFFFFF"/>
                <w:sz w:val="17"/>
              </w:rPr>
              <w:t>Why It Matters</w:t>
            </w:r>
          </w:p>
        </w:tc>
      </w:tr>
      <w:tr>
        <w:tc>
          <w:tcPr>
            <w:tcW w:type="dxa" w:w="4968"/>
            <w:vAlign w:val="center"/>
            <w:shd w:fill="F7F9FC"/>
          </w:tcPr>
          <w:p>
            <w:r/>
            <w:r>
              <w:rPr>
                <w:rFonts w:ascii="Aptos" w:hAnsi="Aptos"/>
                <w:b w:val="0"/>
                <w:color w:val="1B2430"/>
                <w:sz w:val="16"/>
              </w:rPr>
              <w:t>Case/workflow cardinality and restart/version migration policy</w:t>
            </w:r>
          </w:p>
        </w:tc>
        <w:tc>
          <w:tcPr>
            <w:tcW w:type="dxa" w:w="4968"/>
            <w:vAlign w:val="center"/>
            <w:shd w:fill="F7F9FC"/>
          </w:tcPr>
          <w:p>
            <w:r/>
            <w:r>
              <w:rPr>
                <w:rFonts w:ascii="Aptos" w:hAnsi="Aptos"/>
                <w:b w:val="0"/>
                <w:color w:val="1B2430"/>
                <w:sz w:val="16"/>
              </w:rPr>
              <w:t>Determines checkpoint schema, support tooling and long-running workflow upgrades.</w:t>
            </w:r>
          </w:p>
        </w:tc>
      </w:tr>
      <w:tr>
        <w:tc>
          <w:tcPr>
            <w:tcW w:type="dxa" w:w="4968"/>
            <w:vAlign w:val="center"/>
          </w:tcPr>
          <w:p>
            <w:r/>
            <w:r>
              <w:rPr>
                <w:rFonts w:ascii="Aptos" w:hAnsi="Aptos"/>
                <w:b w:val="0"/>
                <w:color w:val="1B2430"/>
                <w:sz w:val="16"/>
              </w:rPr>
              <w:t>Exact human approval policy by dispute type/risk tier</w:t>
            </w:r>
          </w:p>
        </w:tc>
        <w:tc>
          <w:tcPr>
            <w:tcW w:type="dxa" w:w="4968"/>
            <w:vAlign w:val="center"/>
          </w:tcPr>
          <w:p>
            <w:r/>
            <w:r>
              <w:rPr>
                <w:rFonts w:ascii="Aptos" w:hAnsi="Aptos"/>
                <w:b w:val="0"/>
                <w:color w:val="1B2430"/>
                <w:sz w:val="16"/>
              </w:rPr>
              <w:t>Determines which flows may complete straight-through vs mandatory review.</w:t>
            </w:r>
          </w:p>
        </w:tc>
      </w:tr>
      <w:tr>
        <w:tc>
          <w:tcPr>
            <w:tcW w:type="dxa" w:w="4968"/>
            <w:vAlign w:val="center"/>
            <w:shd w:fill="F7F9FC"/>
          </w:tcPr>
          <w:p>
            <w:r/>
            <w:r>
              <w:rPr>
                <w:rFonts w:ascii="Aptos" w:hAnsi="Aptos"/>
                <w:b w:val="0"/>
                <w:color w:val="1B2430"/>
                <w:sz w:val="16"/>
              </w:rPr>
              <w:t>Approved model/provider matrix by data classification</w:t>
            </w:r>
          </w:p>
        </w:tc>
        <w:tc>
          <w:tcPr>
            <w:tcW w:type="dxa" w:w="4968"/>
            <w:vAlign w:val="center"/>
            <w:shd w:fill="F7F9FC"/>
          </w:tcPr>
          <w:p>
            <w:r/>
            <w:r>
              <w:rPr>
                <w:rFonts w:ascii="Aptos" w:hAnsi="Aptos"/>
                <w:b w:val="0"/>
                <w:color w:val="1B2430"/>
                <w:sz w:val="16"/>
              </w:rPr>
              <w:t>Determines routing, residency and fallback options.</w:t>
            </w:r>
          </w:p>
        </w:tc>
      </w:tr>
      <w:tr>
        <w:tc>
          <w:tcPr>
            <w:tcW w:type="dxa" w:w="4968"/>
            <w:vAlign w:val="center"/>
          </w:tcPr>
          <w:p>
            <w:r/>
            <w:r>
              <w:rPr>
                <w:rFonts w:ascii="Aptos" w:hAnsi="Aptos"/>
                <w:b w:val="0"/>
                <w:color w:val="1B2430"/>
                <w:sz w:val="16"/>
              </w:rPr>
              <w:t>Policy ingestion/approval lifecycle and refresh SLA</w:t>
            </w:r>
          </w:p>
        </w:tc>
        <w:tc>
          <w:tcPr>
            <w:tcW w:type="dxa" w:w="4968"/>
            <w:vAlign w:val="center"/>
          </w:tcPr>
          <w:p>
            <w:r/>
            <w:r>
              <w:rPr>
                <w:rFonts w:ascii="Aptos" w:hAnsi="Aptos"/>
                <w:b w:val="0"/>
                <w:color w:val="1B2430"/>
                <w:sz w:val="16"/>
              </w:rPr>
              <w:t>Determines RAG correctness and operational responsibilities.</w:t>
            </w:r>
          </w:p>
        </w:tc>
      </w:tr>
      <w:tr>
        <w:tc>
          <w:tcPr>
            <w:tcW w:type="dxa" w:w="4968"/>
            <w:vAlign w:val="center"/>
            <w:shd w:fill="F7F9FC"/>
          </w:tcPr>
          <w:p>
            <w:r/>
            <w:r>
              <w:rPr>
                <w:rFonts w:ascii="Aptos" w:hAnsi="Aptos"/>
                <w:b w:val="0"/>
                <w:color w:val="1B2430"/>
                <w:sz w:val="16"/>
              </w:rPr>
              <w:t>Rules authoring/governance tool and promotion process</w:t>
            </w:r>
          </w:p>
        </w:tc>
        <w:tc>
          <w:tcPr>
            <w:tcW w:type="dxa" w:w="4968"/>
            <w:vAlign w:val="center"/>
            <w:shd w:fill="F7F9FC"/>
          </w:tcPr>
          <w:p>
            <w:r/>
            <w:r>
              <w:rPr>
                <w:rFonts w:ascii="Aptos" w:hAnsi="Aptos"/>
                <w:b w:val="0"/>
                <w:color w:val="1B2430"/>
                <w:sz w:val="16"/>
              </w:rPr>
              <w:t>Determines change control and business ownership.</w:t>
            </w:r>
          </w:p>
        </w:tc>
      </w:tr>
      <w:tr>
        <w:tc>
          <w:tcPr>
            <w:tcW w:type="dxa" w:w="4968"/>
            <w:vAlign w:val="center"/>
          </w:tcPr>
          <w:p>
            <w:r/>
            <w:r>
              <w:rPr>
                <w:rFonts w:ascii="Aptos" w:hAnsi="Aptos"/>
                <w:b w:val="0"/>
                <w:color w:val="1B2430"/>
                <w:sz w:val="16"/>
              </w:rPr>
              <w:t>Immutable audit technology and retention period</w:t>
            </w:r>
          </w:p>
        </w:tc>
        <w:tc>
          <w:tcPr>
            <w:tcW w:type="dxa" w:w="4968"/>
            <w:vAlign w:val="center"/>
          </w:tcPr>
          <w:p>
            <w:r/>
            <w:r>
              <w:rPr>
                <w:rFonts w:ascii="Aptos" w:hAnsi="Aptos"/>
                <w:b w:val="0"/>
                <w:color w:val="1B2430"/>
                <w:sz w:val="16"/>
              </w:rPr>
              <w:t>Determines compliance, cost, recovery and query/export design.</w:t>
            </w:r>
          </w:p>
        </w:tc>
      </w:tr>
      <w:tr>
        <w:tc>
          <w:tcPr>
            <w:tcW w:type="dxa" w:w="4968"/>
            <w:vAlign w:val="center"/>
            <w:shd w:fill="F7F9FC"/>
          </w:tcPr>
          <w:p>
            <w:r/>
            <w:r>
              <w:rPr>
                <w:rFonts w:ascii="Aptos" w:hAnsi="Aptos"/>
                <w:b w:val="0"/>
                <w:color w:val="1B2430"/>
                <w:sz w:val="16"/>
              </w:rPr>
              <w:t>Business NFRs: availability, RTO/RPO, latency, throughput, retention</w:t>
            </w:r>
          </w:p>
        </w:tc>
        <w:tc>
          <w:tcPr>
            <w:tcW w:type="dxa" w:w="4968"/>
            <w:vAlign w:val="center"/>
            <w:shd w:fill="F7F9FC"/>
          </w:tcPr>
          <w:p>
            <w:r/>
            <w:r>
              <w:rPr>
                <w:rFonts w:ascii="Aptos" w:hAnsi="Aptos"/>
                <w:b w:val="0"/>
                <w:color w:val="1B2430"/>
                <w:sz w:val="16"/>
              </w:rPr>
              <w:t>Required for sizing and deployment topology.</w:t>
            </w:r>
          </w:p>
        </w:tc>
      </w:tr>
      <w:tr>
        <w:tc>
          <w:tcPr>
            <w:tcW w:type="dxa" w:w="4968"/>
            <w:vAlign w:val="center"/>
          </w:tcPr>
          <w:p>
            <w:r/>
            <w:r>
              <w:rPr>
                <w:rFonts w:ascii="Aptos" w:hAnsi="Aptos"/>
                <w:b w:val="0"/>
                <w:color w:val="1B2430"/>
                <w:sz w:val="16"/>
              </w:rPr>
              <w:t>Integration write boundaries</w:t>
            </w:r>
          </w:p>
        </w:tc>
        <w:tc>
          <w:tcPr>
            <w:tcW w:type="dxa" w:w="4968"/>
            <w:vAlign w:val="center"/>
          </w:tcPr>
          <w:p>
            <w:r/>
            <w:r>
              <w:rPr>
                <w:rFonts w:ascii="Aptos" w:hAnsi="Aptos"/>
                <w:b w:val="0"/>
                <w:color w:val="1B2430"/>
                <w:sz w:val="16"/>
              </w:rPr>
              <w:t>Diagram states read-only-by-default; any refund/case/payment mutation requires explicit secure design.</w:t>
            </w:r>
          </w:p>
        </w:tc>
      </w:tr>
      <w:tr>
        <w:tc>
          <w:tcPr>
            <w:tcW w:type="dxa" w:w="4968"/>
            <w:vAlign w:val="center"/>
            <w:shd w:fill="F7F9FC"/>
          </w:tcPr>
          <w:p>
            <w:r/>
            <w:r>
              <w:rPr>
                <w:rFonts w:ascii="Aptos" w:hAnsi="Aptos"/>
                <w:b w:val="0"/>
                <w:color w:val="1B2430"/>
                <w:sz w:val="16"/>
              </w:rPr>
              <w:t>Analyst/customer channel technologies</w:t>
            </w:r>
          </w:p>
        </w:tc>
        <w:tc>
          <w:tcPr>
            <w:tcW w:type="dxa" w:w="4968"/>
            <w:vAlign w:val="center"/>
            <w:shd w:fill="F7F9FC"/>
          </w:tcPr>
          <w:p>
            <w:r/>
            <w:r>
              <w:rPr>
                <w:rFonts w:ascii="Aptos" w:hAnsi="Aptos"/>
                <w:b w:val="0"/>
                <w:color w:val="1B2430"/>
                <w:sz w:val="16"/>
              </w:rPr>
              <w:t>Needed for UI/session/security design but not visible in the supplied diagram.</w:t>
            </w:r>
          </w:p>
        </w:tc>
      </w:tr>
    </w:tbl>
    <w:p>
      <w:pPr>
        <w:spacing w:after="20"/>
      </w:pPr>
    </w:p>
    <w:p>
      <w:bookmarkStart w:id="318" w:name="H_19__Architecture_Traceability_Matrix"/>
      <w:pPr>
        <w:pStyle w:val="Heading1"/>
      </w:pPr>
      <w:r>
        <w:t>19. Architecture Traceability Matrix</w:t>
      </w:r>
      <w:bookmarkEnd w:id="318"/>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0B1F5B"/>
          </w:tcPr>
          <w:p>
            <w:r/>
            <w:r>
              <w:rPr>
                <w:rFonts w:ascii="Aptos" w:hAnsi="Aptos"/>
                <w:b/>
                <w:color w:val="FFFFFF"/>
                <w:sz w:val="17"/>
              </w:rPr>
              <w:t>Architecture Requirement / Principle</w:t>
            </w:r>
          </w:p>
        </w:tc>
        <w:tc>
          <w:tcPr>
            <w:tcW w:type="dxa" w:w="4968"/>
            <w:vAlign w:val="center"/>
            <w:shd w:fill="0B1F5B"/>
          </w:tcPr>
          <w:p>
            <w:r/>
            <w:r>
              <w:rPr>
                <w:rFonts w:ascii="Aptos" w:hAnsi="Aptos"/>
                <w:b/>
                <w:color w:val="FFFFFF"/>
                <w:sz w:val="17"/>
              </w:rPr>
              <w:t>Primary Components</w:t>
            </w:r>
          </w:p>
        </w:tc>
      </w:tr>
      <w:tr>
        <w:tc>
          <w:tcPr>
            <w:tcW w:type="dxa" w:w="4968"/>
            <w:vAlign w:val="center"/>
            <w:shd w:fill="F7F9FC"/>
          </w:tcPr>
          <w:p>
            <w:r/>
            <w:r>
              <w:rPr>
                <w:rFonts w:ascii="Aptos" w:hAnsi="Aptos"/>
                <w:b w:val="0"/>
                <w:color w:val="1B2430"/>
                <w:sz w:val="16"/>
              </w:rPr>
              <w:t>Stateful, resumable case workflow</w:t>
            </w:r>
          </w:p>
        </w:tc>
        <w:tc>
          <w:tcPr>
            <w:tcW w:type="dxa" w:w="4968"/>
            <w:vAlign w:val="center"/>
            <w:shd w:fill="F7F9FC"/>
          </w:tcPr>
          <w:p>
            <w:r/>
            <w:r>
              <w:rPr>
                <w:rFonts w:ascii="Aptos" w:hAnsi="Aptos"/>
                <w:b w:val="0"/>
                <w:color w:val="1B2430"/>
                <w:sz w:val="16"/>
              </w:rPr>
              <w:t>LangGraph Orchestration + PostgreSQL checkpoint store + Workflow Service.</w:t>
            </w:r>
          </w:p>
        </w:tc>
      </w:tr>
      <w:tr>
        <w:tc>
          <w:tcPr>
            <w:tcW w:type="dxa" w:w="4968"/>
            <w:vAlign w:val="center"/>
          </w:tcPr>
          <w:p>
            <w:r/>
            <w:r>
              <w:rPr>
                <w:rFonts w:ascii="Aptos" w:hAnsi="Aptos"/>
                <w:b w:val="0"/>
                <w:color w:val="1B2430"/>
                <w:sz w:val="16"/>
              </w:rPr>
              <w:t>Deterministic regulated decisions</w:t>
            </w:r>
          </w:p>
        </w:tc>
        <w:tc>
          <w:tcPr>
            <w:tcW w:type="dxa" w:w="4968"/>
            <w:vAlign w:val="center"/>
          </w:tcPr>
          <w:p>
            <w:r/>
            <w:r>
              <w:rPr>
                <w:rFonts w:ascii="Aptos" w:hAnsi="Aptos"/>
                <w:b w:val="0"/>
                <w:color w:val="1B2430"/>
                <w:sz w:val="16"/>
              </w:rPr>
              <w:t>Rules Engine + Policy Eligibility + Evidence Completeness + Case Confidence services.</w:t>
            </w:r>
          </w:p>
        </w:tc>
      </w:tr>
      <w:tr>
        <w:tc>
          <w:tcPr>
            <w:tcW w:type="dxa" w:w="4968"/>
            <w:vAlign w:val="center"/>
            <w:shd w:fill="F7F9FC"/>
          </w:tcPr>
          <w:p>
            <w:r/>
            <w:r>
              <w:rPr>
                <w:rFonts w:ascii="Aptos" w:hAnsi="Aptos"/>
                <w:b w:val="0"/>
                <w:color w:val="1B2430"/>
                <w:sz w:val="16"/>
              </w:rPr>
              <w:t>Grounded policy usage</w:t>
            </w:r>
          </w:p>
        </w:tc>
        <w:tc>
          <w:tcPr>
            <w:tcW w:type="dxa" w:w="4968"/>
            <w:vAlign w:val="center"/>
            <w:shd w:fill="F7F9FC"/>
          </w:tcPr>
          <w:p>
            <w:r/>
            <w:r>
              <w:rPr>
                <w:rFonts w:ascii="Aptos" w:hAnsi="Aptos"/>
                <w:b w:val="0"/>
                <w:color w:val="1B2430"/>
                <w:sz w:val="16"/>
              </w:rPr>
              <w:t>Policy Knowledge pgvector + controlled retrieval + policy metadata/versioning.</w:t>
            </w:r>
          </w:p>
        </w:tc>
      </w:tr>
      <w:tr>
        <w:tc>
          <w:tcPr>
            <w:tcW w:type="dxa" w:w="4968"/>
            <w:vAlign w:val="center"/>
          </w:tcPr>
          <w:p>
            <w:r/>
            <w:r>
              <w:rPr>
                <w:rFonts w:ascii="Aptos" w:hAnsi="Aptos"/>
                <w:b w:val="0"/>
                <w:color w:val="1B2430"/>
                <w:sz w:val="16"/>
              </w:rPr>
              <w:t>Authoritative evidence</w:t>
            </w:r>
          </w:p>
        </w:tc>
        <w:tc>
          <w:tcPr>
            <w:tcW w:type="dxa" w:w="4968"/>
            <w:vAlign w:val="center"/>
          </w:tcPr>
          <w:p>
            <w:r/>
            <w:r>
              <w:rPr>
                <w:rFonts w:ascii="Aptos" w:hAnsi="Aptos"/>
                <w:b w:val="0"/>
                <w:color w:val="1B2430"/>
                <w:sz w:val="16"/>
              </w:rPr>
              <w:t>Customer/Account/Transaction/Settlement/Merchant/Refund providers + source lineage.</w:t>
            </w:r>
          </w:p>
        </w:tc>
      </w:tr>
      <w:tr>
        <w:tc>
          <w:tcPr>
            <w:tcW w:type="dxa" w:w="4968"/>
            <w:vAlign w:val="center"/>
            <w:shd w:fill="F7F9FC"/>
          </w:tcPr>
          <w:p>
            <w:r/>
            <w:r>
              <w:rPr>
                <w:rFonts w:ascii="Aptos" w:hAnsi="Aptos"/>
                <w:b w:val="0"/>
                <w:color w:val="1B2430"/>
                <w:sz w:val="16"/>
              </w:rPr>
              <w:t>Human oversight</w:t>
            </w:r>
          </w:p>
        </w:tc>
        <w:tc>
          <w:tcPr>
            <w:tcW w:type="dxa" w:w="4968"/>
            <w:vAlign w:val="center"/>
            <w:shd w:fill="F7F9FC"/>
          </w:tcPr>
          <w:p>
            <w:r/>
            <w:r>
              <w:rPr>
                <w:rFonts w:ascii="Aptos" w:hAnsi="Aptos"/>
                <w:b w:val="0"/>
                <w:color w:val="1B2430"/>
                <w:sz w:val="16"/>
              </w:rPr>
              <w:t>Manual classification, evidence request, policy review, manual rules review, supervisor review, human decision node.</w:t>
            </w:r>
          </w:p>
        </w:tc>
      </w:tr>
      <w:tr>
        <w:tc>
          <w:tcPr>
            <w:tcW w:type="dxa" w:w="4968"/>
            <w:vAlign w:val="center"/>
          </w:tcPr>
          <w:p>
            <w:r/>
            <w:r>
              <w:rPr>
                <w:rFonts w:ascii="Aptos" w:hAnsi="Aptos"/>
                <w:b w:val="0"/>
                <w:color w:val="1B2430"/>
                <w:sz w:val="16"/>
              </w:rPr>
              <w:t>AI governance</w:t>
            </w:r>
          </w:p>
        </w:tc>
        <w:tc>
          <w:tcPr>
            <w:tcW w:type="dxa" w:w="4968"/>
            <w:vAlign w:val="center"/>
          </w:tcPr>
          <w:p>
            <w:r/>
            <w:r>
              <w:rPr>
                <w:rFonts w:ascii="Aptos" w:hAnsi="Aptos"/>
                <w:b w:val="0"/>
                <w:color w:val="1B2430"/>
                <w:sz w:val="16"/>
              </w:rPr>
              <w:t>Model Gateway + AI Configuration Registry + Prompt Manager + Feature Flags/Kill Switch + Data/Model Usage Policy.</w:t>
            </w:r>
          </w:p>
        </w:tc>
      </w:tr>
      <w:tr>
        <w:tc>
          <w:tcPr>
            <w:tcW w:type="dxa" w:w="4968"/>
            <w:vAlign w:val="center"/>
            <w:shd w:fill="F7F9FC"/>
          </w:tcPr>
          <w:p>
            <w:r/>
            <w:r>
              <w:rPr>
                <w:rFonts w:ascii="Aptos" w:hAnsi="Aptos"/>
                <w:b w:val="0"/>
                <w:color w:val="1B2430"/>
                <w:sz w:val="16"/>
              </w:rPr>
              <w:t>Auditability</w:t>
            </w:r>
          </w:p>
        </w:tc>
        <w:tc>
          <w:tcPr>
            <w:tcW w:type="dxa" w:w="4968"/>
            <w:vAlign w:val="center"/>
            <w:shd w:fill="F7F9FC"/>
          </w:tcPr>
          <w:p>
            <w:r/>
            <w:r>
              <w:rPr>
                <w:rFonts w:ascii="Aptos" w:hAnsi="Aptos"/>
                <w:b w:val="0"/>
                <w:color w:val="1B2430"/>
                <w:sz w:val="16"/>
              </w:rPr>
              <w:t>Audit Event Service + Immutable Audit Store + workflow checkpoints + model/rule/policy versions.</w:t>
            </w:r>
          </w:p>
        </w:tc>
      </w:tr>
      <w:tr>
        <w:tc>
          <w:tcPr>
            <w:tcW w:type="dxa" w:w="4968"/>
            <w:vAlign w:val="center"/>
          </w:tcPr>
          <w:p>
            <w:r/>
            <w:r>
              <w:rPr>
                <w:rFonts w:ascii="Aptos" w:hAnsi="Aptos"/>
                <w:b w:val="0"/>
                <w:color w:val="1B2430"/>
                <w:sz w:val="16"/>
              </w:rPr>
              <w:t>Operational resilience</w:t>
            </w:r>
          </w:p>
        </w:tc>
        <w:tc>
          <w:tcPr>
            <w:tcW w:type="dxa" w:w="4968"/>
            <w:vAlign w:val="center"/>
          </w:tcPr>
          <w:p>
            <w:r/>
            <w:r>
              <w:rPr>
                <w:rFonts w:ascii="Aptos" w:hAnsi="Aptos"/>
                <w:b w:val="0"/>
                <w:color w:val="1B2430"/>
                <w:sz w:val="16"/>
              </w:rPr>
              <w:t>Retries/timeouts/circuit breakers + idempotency + queues + checkpoint resume + fallback.</w:t>
            </w:r>
          </w:p>
        </w:tc>
      </w:tr>
      <w:tr>
        <w:tc>
          <w:tcPr>
            <w:tcW w:type="dxa" w:w="4968"/>
            <w:vAlign w:val="center"/>
            <w:shd w:fill="F7F9FC"/>
          </w:tcPr>
          <w:p>
            <w:r/>
            <w:r>
              <w:rPr>
                <w:rFonts w:ascii="Aptos" w:hAnsi="Aptos"/>
                <w:b w:val="0"/>
                <w:color w:val="1B2430"/>
                <w:sz w:val="16"/>
              </w:rPr>
              <w:t>Production quality</w:t>
            </w:r>
          </w:p>
        </w:tc>
        <w:tc>
          <w:tcPr>
            <w:tcW w:type="dxa" w:w="4968"/>
            <w:vAlign w:val="center"/>
            <w:shd w:fill="F7F9FC"/>
          </w:tcPr>
          <w:p>
            <w:r/>
            <w:r>
              <w:rPr>
                <w:rFonts w:ascii="Aptos" w:hAnsi="Aptos"/>
                <w:b w:val="0"/>
                <w:color w:val="1B2430"/>
                <w:sz w:val="16"/>
              </w:rPr>
              <w:t>OpenTelemetry + LangSmith + LangWatch + dashboards/alerts + CI/CD/AI evaluation/quality gates.</w:t>
            </w:r>
          </w:p>
        </w:tc>
      </w:tr>
    </w:tbl>
    <w:p>
      <w:pPr>
        <w:spacing w:after="20"/>
      </w:pPr>
    </w:p>
    <w:p>
      <w:bookmarkStart w:id="319" w:name="H_20__Recommended_Implementation_Phase"/>
      <w:pPr>
        <w:pStyle w:val="Heading1"/>
      </w:pPr>
      <w:r>
        <w:t>20. Recommended Implementation Phases</w:t>
      </w:r>
      <w:bookmarkEnd w:id="319"/>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0B1F5B"/>
          </w:tcPr>
          <w:p>
            <w:r/>
            <w:r>
              <w:rPr>
                <w:rFonts w:ascii="Aptos" w:hAnsi="Aptos"/>
                <w:b/>
                <w:color w:val="FFFFFF"/>
                <w:sz w:val="17"/>
              </w:rPr>
              <w:t>Phase</w:t>
            </w:r>
          </w:p>
        </w:tc>
        <w:tc>
          <w:tcPr>
            <w:tcW w:type="dxa" w:w="3312"/>
            <w:vAlign w:val="center"/>
            <w:shd w:fill="0B1F5B"/>
          </w:tcPr>
          <w:p>
            <w:r/>
            <w:r>
              <w:rPr>
                <w:rFonts w:ascii="Aptos" w:hAnsi="Aptos"/>
                <w:b/>
                <w:color w:val="FFFFFF"/>
                <w:sz w:val="17"/>
              </w:rPr>
              <w:t>Scope</w:t>
            </w:r>
          </w:p>
        </w:tc>
        <w:tc>
          <w:tcPr>
            <w:tcW w:type="dxa" w:w="3312"/>
            <w:vAlign w:val="center"/>
            <w:shd w:fill="0B1F5B"/>
          </w:tcPr>
          <w:p>
            <w:r/>
            <w:r>
              <w:rPr>
                <w:rFonts w:ascii="Aptos" w:hAnsi="Aptos"/>
                <w:b/>
                <w:color w:val="FFFFFF"/>
                <w:sz w:val="17"/>
              </w:rPr>
              <w:t>Exit Criteria</w:t>
            </w:r>
          </w:p>
        </w:tc>
      </w:tr>
      <w:tr>
        <w:tc>
          <w:tcPr>
            <w:tcW w:type="dxa" w:w="3312"/>
            <w:vAlign w:val="center"/>
            <w:shd w:fill="F7F9FC"/>
          </w:tcPr>
          <w:p>
            <w:r/>
            <w:r>
              <w:rPr>
                <w:rFonts w:ascii="Aptos" w:hAnsi="Aptos"/>
                <w:b w:val="0"/>
                <w:color w:val="1B2430"/>
                <w:sz w:val="16"/>
              </w:rPr>
              <w:t>Phase 1 - Core Case &amp; Workflow Foundation</w:t>
            </w:r>
          </w:p>
        </w:tc>
        <w:tc>
          <w:tcPr>
            <w:tcW w:type="dxa" w:w="3312"/>
            <w:vAlign w:val="center"/>
            <w:shd w:fill="F7F9FC"/>
          </w:tcPr>
          <w:p>
            <w:r/>
            <w:r>
              <w:rPr>
                <w:rFonts w:ascii="Aptos" w:hAnsi="Aptos"/>
                <w:b w:val="0"/>
                <w:color w:val="1B2430"/>
                <w:sz w:val="16"/>
              </w:rPr>
              <w:t>API/auth/idempotency, Case Service, Workflow Service, LangGraph skeleton, business/workflow DB, audit baseline.</w:t>
            </w:r>
          </w:p>
        </w:tc>
        <w:tc>
          <w:tcPr>
            <w:tcW w:type="dxa" w:w="3312"/>
            <w:vAlign w:val="center"/>
            <w:shd w:fill="F7F9FC"/>
          </w:tcPr>
          <w:p>
            <w:r/>
            <w:r>
              <w:rPr>
                <w:rFonts w:ascii="Aptos" w:hAnsi="Aptos"/>
                <w:b w:val="0"/>
                <w:color w:val="1B2430"/>
                <w:sz w:val="16"/>
              </w:rPr>
              <w:t>A case can be created, progressed, checkpointed, resumed and audited without AI.</w:t>
            </w:r>
          </w:p>
        </w:tc>
      </w:tr>
      <w:tr>
        <w:tc>
          <w:tcPr>
            <w:tcW w:type="dxa" w:w="3312"/>
            <w:vAlign w:val="center"/>
          </w:tcPr>
          <w:p>
            <w:r/>
            <w:r>
              <w:rPr>
                <w:rFonts w:ascii="Aptos" w:hAnsi="Aptos"/>
                <w:b w:val="0"/>
                <w:color w:val="1B2430"/>
                <w:sz w:val="16"/>
              </w:rPr>
              <w:t>Phase 2 - Authoritative Context &amp; Deterministic Controls</w:t>
            </w:r>
          </w:p>
        </w:tc>
        <w:tc>
          <w:tcPr>
            <w:tcW w:type="dxa" w:w="3312"/>
            <w:vAlign w:val="center"/>
          </w:tcPr>
          <w:p>
            <w:r/>
            <w:r>
              <w:rPr>
                <w:rFonts w:ascii="Aptos" w:hAnsi="Aptos"/>
                <w:b w:val="0"/>
                <w:color w:val="1B2430"/>
                <w:sz w:val="16"/>
              </w:rPr>
              <w:t>Provider adapters, evidence completeness, policy eligibility, rules engine, case confidence, HITL task model.</w:t>
            </w:r>
          </w:p>
        </w:tc>
        <w:tc>
          <w:tcPr>
            <w:tcW w:type="dxa" w:w="3312"/>
            <w:vAlign w:val="center"/>
          </w:tcPr>
          <w:p>
            <w:r/>
            <w:r>
              <w:rPr>
                <w:rFonts w:ascii="Aptos" w:hAnsi="Aptos"/>
                <w:b w:val="0"/>
                <w:color w:val="1B2430"/>
                <w:sz w:val="16"/>
              </w:rPr>
              <w:t>Core investigation can run with deterministic/manual disposition.</w:t>
            </w:r>
          </w:p>
        </w:tc>
      </w:tr>
      <w:tr>
        <w:tc>
          <w:tcPr>
            <w:tcW w:type="dxa" w:w="3312"/>
            <w:vAlign w:val="center"/>
            <w:shd w:fill="F7F9FC"/>
          </w:tcPr>
          <w:p>
            <w:r/>
            <w:r>
              <w:rPr>
                <w:rFonts w:ascii="Aptos" w:hAnsi="Aptos"/>
                <w:b w:val="0"/>
                <w:color w:val="1B2430"/>
                <w:sz w:val="16"/>
              </w:rPr>
              <w:t>Phase 3 - Governed Policy RAG</w:t>
            </w:r>
          </w:p>
        </w:tc>
        <w:tc>
          <w:tcPr>
            <w:tcW w:type="dxa" w:w="3312"/>
            <w:vAlign w:val="center"/>
            <w:shd w:fill="F7F9FC"/>
          </w:tcPr>
          <w:p>
            <w:r/>
            <w:r>
              <w:rPr>
                <w:rFonts w:ascii="Aptos" w:hAnsi="Aptos"/>
                <w:b w:val="0"/>
                <w:color w:val="1B2430"/>
                <w:sz w:val="16"/>
              </w:rPr>
              <w:t>Policy ingestion/index, retrieval, reranking, citations, policy review gate.</w:t>
            </w:r>
          </w:p>
        </w:tc>
        <w:tc>
          <w:tcPr>
            <w:tcW w:type="dxa" w:w="3312"/>
            <w:vAlign w:val="center"/>
            <w:shd w:fill="F7F9FC"/>
          </w:tcPr>
          <w:p>
            <w:r/>
            <w:r>
              <w:rPr>
                <w:rFonts w:ascii="Aptos" w:hAnsi="Aptos"/>
                <w:b w:val="0"/>
                <w:color w:val="1B2430"/>
                <w:sz w:val="16"/>
              </w:rPr>
              <w:t>Policy context is versioned, explainable and evaluated.</w:t>
            </w:r>
          </w:p>
        </w:tc>
      </w:tr>
      <w:tr>
        <w:tc>
          <w:tcPr>
            <w:tcW w:type="dxa" w:w="3312"/>
            <w:vAlign w:val="center"/>
          </w:tcPr>
          <w:p>
            <w:r/>
            <w:r>
              <w:rPr>
                <w:rFonts w:ascii="Aptos" w:hAnsi="Aptos"/>
                <w:b w:val="0"/>
                <w:color w:val="1B2430"/>
                <w:sz w:val="16"/>
              </w:rPr>
              <w:t>Phase 4 - AI-Assisted Capabilities</w:t>
            </w:r>
          </w:p>
        </w:tc>
        <w:tc>
          <w:tcPr>
            <w:tcW w:type="dxa" w:w="3312"/>
            <w:vAlign w:val="center"/>
          </w:tcPr>
          <w:p>
            <w:r/>
            <w:r>
              <w:rPr>
                <w:rFonts w:ascii="Aptos" w:hAnsi="Aptos"/>
                <w:b w:val="0"/>
                <w:color w:val="1B2430"/>
                <w:sz w:val="16"/>
              </w:rPr>
              <w:t>Classification, evidence analysis, recommendation, communication via Model Gateway.</w:t>
            </w:r>
          </w:p>
        </w:tc>
        <w:tc>
          <w:tcPr>
            <w:tcW w:type="dxa" w:w="3312"/>
            <w:vAlign w:val="center"/>
          </w:tcPr>
          <w:p>
            <w:r/>
            <w:r>
              <w:rPr>
                <w:rFonts w:ascii="Aptos" w:hAnsi="Aptos"/>
                <w:b w:val="0"/>
                <w:color w:val="1B2430"/>
                <w:sz w:val="16"/>
              </w:rPr>
              <w:t>AI calls are governed, evaluated, traceable, and never bypass deterministic/HITL controls.</w:t>
            </w:r>
          </w:p>
        </w:tc>
      </w:tr>
      <w:tr>
        <w:tc>
          <w:tcPr>
            <w:tcW w:type="dxa" w:w="3312"/>
            <w:vAlign w:val="center"/>
            <w:shd w:fill="F7F9FC"/>
          </w:tcPr>
          <w:p>
            <w:r/>
            <w:r>
              <w:rPr>
                <w:rFonts w:ascii="Aptos" w:hAnsi="Aptos"/>
                <w:b w:val="0"/>
                <w:color w:val="1B2430"/>
                <w:sz w:val="16"/>
              </w:rPr>
              <w:t>Phase 5 - Production Hardening</w:t>
            </w:r>
          </w:p>
        </w:tc>
        <w:tc>
          <w:tcPr>
            <w:tcW w:type="dxa" w:w="3312"/>
            <w:vAlign w:val="center"/>
            <w:shd w:fill="F7F9FC"/>
          </w:tcPr>
          <w:p>
            <w:r/>
            <w:r>
              <w:rPr>
                <w:rFonts w:ascii="Aptos" w:hAnsi="Aptos"/>
                <w:b w:val="0"/>
                <w:color w:val="1B2430"/>
                <w:sz w:val="16"/>
              </w:rPr>
              <w:t>HA, DR, observability, security hardening, load tests, chaos/failure tests, dashboards, cost controls.</w:t>
            </w:r>
          </w:p>
        </w:tc>
        <w:tc>
          <w:tcPr>
            <w:tcW w:type="dxa" w:w="3312"/>
            <w:vAlign w:val="center"/>
            <w:shd w:fill="F7F9FC"/>
          </w:tcPr>
          <w:p>
            <w:r/>
            <w:r>
              <w:rPr>
                <w:rFonts w:ascii="Aptos" w:hAnsi="Aptos"/>
                <w:b w:val="0"/>
                <w:color w:val="1B2430"/>
                <w:sz w:val="16"/>
              </w:rPr>
              <w:t>Approved NFRs and operational readiness criteria met.</w:t>
            </w:r>
          </w:p>
        </w:tc>
      </w:tr>
      <w:tr>
        <w:tc>
          <w:tcPr>
            <w:tcW w:type="dxa" w:w="3312"/>
            <w:vAlign w:val="center"/>
          </w:tcPr>
          <w:p>
            <w:r/>
            <w:r>
              <w:rPr>
                <w:rFonts w:ascii="Aptos" w:hAnsi="Aptos"/>
                <w:b w:val="0"/>
                <w:color w:val="1B2430"/>
                <w:sz w:val="16"/>
              </w:rPr>
              <w:t>Phase 6 - Optimization &amp; Controlled Automation</w:t>
            </w:r>
          </w:p>
        </w:tc>
        <w:tc>
          <w:tcPr>
            <w:tcW w:type="dxa" w:w="3312"/>
            <w:vAlign w:val="center"/>
          </w:tcPr>
          <w:p>
            <w:r/>
            <w:r>
              <w:rPr>
                <w:rFonts w:ascii="Aptos" w:hAnsi="Aptos"/>
                <w:b w:val="0"/>
                <w:color w:val="1B2430"/>
                <w:sz w:val="16"/>
              </w:rPr>
              <w:t>Threshold tuning, selective straight-through processing if approved, feedback-driven model/prompt/rule optimization.</w:t>
            </w:r>
          </w:p>
        </w:tc>
        <w:tc>
          <w:tcPr>
            <w:tcW w:type="dxa" w:w="3312"/>
            <w:vAlign w:val="center"/>
          </w:tcPr>
          <w:p>
            <w:r/>
            <w:r>
              <w:rPr>
                <w:rFonts w:ascii="Aptos" w:hAnsi="Aptos"/>
                <w:b w:val="0"/>
                <w:color w:val="1B2430"/>
                <w:sz w:val="16"/>
              </w:rPr>
              <w:t>Automation expansion supported by measured quality and risk approvals.</w:t>
            </w:r>
          </w:p>
        </w:tc>
      </w:tr>
    </w:tbl>
    <w:p>
      <w:pPr>
        <w:spacing w:after="20"/>
      </w:pPr>
    </w:p>
    <w:p>
      <w:bookmarkStart w:id="320" w:name="H_21__Architecture_Review_Checklist"/>
      <w:pPr>
        <w:pStyle w:val="Heading1"/>
      </w:pPr>
      <w:r>
        <w:t>21. Architecture Review Checklist</w:t>
      </w:r>
      <w:bookmarkEnd w:id="320"/>
    </w:p>
    <w:p>
      <w:pPr>
        <w:pStyle w:val="ListBullet"/>
      </w:pPr>
      <w:r>
        <w:t>Are all final decision paths grounded in authoritative facts, applicable policy and versioned deterministic rules?</w:t>
      </w:r>
    </w:p>
    <w:p>
      <w:pPr>
        <w:pStyle w:val="ListBullet"/>
      </w:pPr>
      <w:r>
        <w:t>Can any model call directly mutate a case, issue a refund, or finalize a decision? If yes, redesign the boundary.</w:t>
      </w:r>
    </w:p>
    <w:p>
      <w:pPr>
        <w:pStyle w:val="ListBullet"/>
      </w:pPr>
      <w:r>
        <w:t>Is every external side effect idempotent and recoverable after workflow replay?</w:t>
      </w:r>
    </w:p>
    <w:p>
      <w:pPr>
        <w:pStyle w:val="ListBullet"/>
      </w:pPr>
      <w:r>
        <w:t>Are policy, rule, prompt and model versions recorded with the decision?</w:t>
      </w:r>
    </w:p>
    <w:p>
      <w:pPr>
        <w:pStyle w:val="ListBullet"/>
      </w:pPr>
      <w:r>
        <w:t>Are all low-confidence and exception states routed to explicit HITL paths?</w:t>
      </w:r>
    </w:p>
    <w:p>
      <w:pPr>
        <w:pStyle w:val="ListBullet"/>
      </w:pPr>
      <w:r>
        <w:t>Can a case be reconstructed end-to-end from immutable audit evidence and correlated traces?</w:t>
      </w:r>
    </w:p>
    <w:p>
      <w:pPr>
        <w:pStyle w:val="ListBullet"/>
      </w:pPr>
      <w:r>
        <w:t>Is sensitive data minimized before model/observability egress?</w:t>
      </w:r>
    </w:p>
    <w:p>
      <w:pPr>
        <w:pStyle w:val="ListBullet"/>
      </w:pPr>
      <w:r>
        <w:t>Are model/provider failure and kill-switch paths tested?</w:t>
      </w:r>
    </w:p>
    <w:p>
      <w:pPr>
        <w:pStyle w:val="ListBullet"/>
      </w:pPr>
      <w:r>
        <w:t>Are NFRs, RTO/RPO and retention values formally approved before production sizing?</w:t>
      </w:r>
    </w:p>
    <w:p>
      <w:pPr>
        <w:pStyle w:val="ListBullet"/>
      </w:pPr>
      <w:r>
        <w:t>Are policy/rule/model changes subject to governed CI/CD and evaluation gates?</w:t>
      </w:r>
    </w:p>
    <w:p>
      <w:bookmarkStart w:id="321" w:name="Appendix_A___Proposed_Canonical_Workfl"/>
      <w:pPr>
        <w:pStyle w:val="Heading1"/>
      </w:pPr>
      <w:r>
        <w:t>Appendix A - Proposed Canonical Workflow State</w:t>
      </w:r>
      <w:bookmarkEnd w:id="321"/>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0B1F5B"/>
          </w:tcPr>
          <w:p>
            <w:r/>
            <w:r>
              <w:rPr>
                <w:rFonts w:ascii="Aptos" w:hAnsi="Aptos"/>
                <w:b/>
                <w:color w:val="FFFFFF"/>
                <w:sz w:val="17"/>
              </w:rPr>
              <w:t>State Area</w:t>
            </w:r>
          </w:p>
        </w:tc>
        <w:tc>
          <w:tcPr>
            <w:tcW w:type="dxa" w:w="4968"/>
            <w:vAlign w:val="center"/>
            <w:shd w:fill="0B1F5B"/>
          </w:tcPr>
          <w:p>
            <w:r/>
            <w:r>
              <w:rPr>
                <w:rFonts w:ascii="Aptos" w:hAnsi="Aptos"/>
                <w:b/>
                <w:color w:val="FFFFFF"/>
                <w:sz w:val="17"/>
              </w:rPr>
              <w:t>Representative Contents (High Level)</w:t>
            </w:r>
          </w:p>
        </w:tc>
      </w:tr>
      <w:tr>
        <w:tc>
          <w:tcPr>
            <w:tcW w:type="dxa" w:w="4968"/>
            <w:vAlign w:val="center"/>
            <w:shd w:fill="F7F9FC"/>
          </w:tcPr>
          <w:p>
            <w:r/>
            <w:r>
              <w:rPr>
                <w:rFonts w:ascii="Aptos" w:hAnsi="Aptos"/>
                <w:b w:val="0"/>
                <w:color w:val="1B2430"/>
                <w:sz w:val="16"/>
              </w:rPr>
              <w:t>Identity</w:t>
            </w:r>
          </w:p>
        </w:tc>
        <w:tc>
          <w:tcPr>
            <w:tcW w:type="dxa" w:w="4968"/>
            <w:vAlign w:val="center"/>
            <w:shd w:fill="F7F9FC"/>
          </w:tcPr>
          <w:p>
            <w:r/>
            <w:r>
              <w:rPr>
                <w:rFonts w:ascii="Aptos" w:hAnsi="Aptos"/>
                <w:b w:val="0"/>
                <w:color w:val="1B2430"/>
                <w:sz w:val="16"/>
              </w:rPr>
              <w:t>case_id, workflow_id, correlation_id, current_node, workflow_version.</w:t>
            </w:r>
          </w:p>
        </w:tc>
      </w:tr>
      <w:tr>
        <w:tc>
          <w:tcPr>
            <w:tcW w:type="dxa" w:w="4968"/>
            <w:vAlign w:val="center"/>
          </w:tcPr>
          <w:p>
            <w:r/>
            <w:r>
              <w:rPr>
                <w:rFonts w:ascii="Aptos" w:hAnsi="Aptos"/>
                <w:b w:val="0"/>
                <w:color w:val="1B2430"/>
                <w:sz w:val="16"/>
              </w:rPr>
              <w:t>Intake</w:t>
            </w:r>
          </w:p>
        </w:tc>
        <w:tc>
          <w:tcPr>
            <w:tcW w:type="dxa" w:w="4968"/>
            <w:vAlign w:val="center"/>
          </w:tcPr>
          <w:p>
            <w:r/>
            <w:r>
              <w:rPr>
                <w:rFonts w:ascii="Aptos" w:hAnsi="Aptos"/>
                <w:b w:val="0"/>
                <w:color w:val="1B2430"/>
                <w:sz w:val="16"/>
              </w:rPr>
              <w:t>channel, dispute_type_candidate, normalized transaction/customer references.</w:t>
            </w:r>
          </w:p>
        </w:tc>
      </w:tr>
      <w:tr>
        <w:tc>
          <w:tcPr>
            <w:tcW w:type="dxa" w:w="4968"/>
            <w:vAlign w:val="center"/>
            <w:shd w:fill="F7F9FC"/>
          </w:tcPr>
          <w:p>
            <w:r/>
            <w:r>
              <w:rPr>
                <w:rFonts w:ascii="Aptos" w:hAnsi="Aptos"/>
                <w:b w:val="0"/>
                <w:color w:val="1B2430"/>
                <w:sz w:val="16"/>
              </w:rPr>
              <w:t>Authoritative Context</w:t>
            </w:r>
          </w:p>
        </w:tc>
        <w:tc>
          <w:tcPr>
            <w:tcW w:type="dxa" w:w="4968"/>
            <w:vAlign w:val="center"/>
            <w:shd w:fill="F7F9FC"/>
          </w:tcPr>
          <w:p>
            <w:r/>
            <w:r>
              <w:rPr>
                <w:rFonts w:ascii="Aptos" w:hAnsi="Aptos"/>
                <w:b w:val="0"/>
                <w:color w:val="1B2430"/>
                <w:sz w:val="16"/>
              </w:rPr>
              <w:t>provider response references, source timestamps, freshness/conflict indicators.</w:t>
            </w:r>
          </w:p>
        </w:tc>
      </w:tr>
      <w:tr>
        <w:tc>
          <w:tcPr>
            <w:tcW w:type="dxa" w:w="4968"/>
            <w:vAlign w:val="center"/>
          </w:tcPr>
          <w:p>
            <w:r/>
            <w:r>
              <w:rPr>
                <w:rFonts w:ascii="Aptos" w:hAnsi="Aptos"/>
                <w:b w:val="0"/>
                <w:color w:val="1B2430"/>
                <w:sz w:val="16"/>
              </w:rPr>
              <w:t>Evidence</w:t>
            </w:r>
          </w:p>
        </w:tc>
        <w:tc>
          <w:tcPr>
            <w:tcW w:type="dxa" w:w="4968"/>
            <w:vAlign w:val="center"/>
          </w:tcPr>
          <w:p>
            <w:r/>
            <w:r>
              <w:rPr>
                <w:rFonts w:ascii="Aptos" w:hAnsi="Aptos"/>
                <w:b w:val="0"/>
                <w:color w:val="1B2430"/>
                <w:sz w:val="16"/>
              </w:rPr>
              <w:t>evidence_ids, completeness status, missing requirements, validation results.</w:t>
            </w:r>
          </w:p>
        </w:tc>
      </w:tr>
      <w:tr>
        <w:tc>
          <w:tcPr>
            <w:tcW w:type="dxa" w:w="4968"/>
            <w:vAlign w:val="center"/>
            <w:shd w:fill="F7F9FC"/>
          </w:tcPr>
          <w:p>
            <w:r/>
            <w:r>
              <w:rPr>
                <w:rFonts w:ascii="Aptos" w:hAnsi="Aptos"/>
                <w:b w:val="0"/>
                <w:color w:val="1B2430"/>
                <w:sz w:val="16"/>
              </w:rPr>
              <w:t>Policy</w:t>
            </w:r>
          </w:p>
        </w:tc>
        <w:tc>
          <w:tcPr>
            <w:tcW w:type="dxa" w:w="4968"/>
            <w:vAlign w:val="center"/>
            <w:shd w:fill="F7F9FC"/>
          </w:tcPr>
          <w:p>
            <w:r/>
            <w:r>
              <w:rPr>
                <w:rFonts w:ascii="Aptos" w:hAnsi="Aptos"/>
                <w:b w:val="0"/>
                <w:color w:val="1B2430"/>
                <w:sz w:val="16"/>
              </w:rPr>
              <w:t>applicable policy IDs/versions, retrieved chunk IDs, citations, confidence.</w:t>
            </w:r>
          </w:p>
        </w:tc>
      </w:tr>
      <w:tr>
        <w:tc>
          <w:tcPr>
            <w:tcW w:type="dxa" w:w="4968"/>
            <w:vAlign w:val="center"/>
          </w:tcPr>
          <w:p>
            <w:r/>
            <w:r>
              <w:rPr>
                <w:rFonts w:ascii="Aptos" w:hAnsi="Aptos"/>
                <w:b w:val="0"/>
                <w:color w:val="1B2430"/>
                <w:sz w:val="16"/>
              </w:rPr>
              <w:t>Rules</w:t>
            </w:r>
          </w:p>
        </w:tc>
        <w:tc>
          <w:tcPr>
            <w:tcW w:type="dxa" w:w="4968"/>
            <w:vAlign w:val="center"/>
          </w:tcPr>
          <w:p>
            <w:r/>
            <w:r>
              <w:rPr>
                <w:rFonts w:ascii="Aptos" w:hAnsi="Aptos"/>
                <w:b w:val="0"/>
                <w:color w:val="1B2430"/>
                <w:sz w:val="16"/>
              </w:rPr>
              <w:t>rule IDs/versions, inputs reference, outcomes, reason codes, exception status.</w:t>
            </w:r>
          </w:p>
        </w:tc>
      </w:tr>
      <w:tr>
        <w:tc>
          <w:tcPr>
            <w:tcW w:type="dxa" w:w="4968"/>
            <w:vAlign w:val="center"/>
            <w:shd w:fill="F7F9FC"/>
          </w:tcPr>
          <w:p>
            <w:r/>
            <w:r>
              <w:rPr>
                <w:rFonts w:ascii="Aptos" w:hAnsi="Aptos"/>
                <w:b w:val="0"/>
                <w:color w:val="1B2430"/>
                <w:sz w:val="16"/>
              </w:rPr>
              <w:t>Confidence</w:t>
            </w:r>
          </w:p>
        </w:tc>
        <w:tc>
          <w:tcPr>
            <w:tcW w:type="dxa" w:w="4968"/>
            <w:vAlign w:val="center"/>
            <w:shd w:fill="F7F9FC"/>
          </w:tcPr>
          <w:p>
            <w:r/>
            <w:r>
              <w:rPr>
                <w:rFonts w:ascii="Aptos" w:hAnsi="Aptos"/>
                <w:b w:val="0"/>
                <w:color w:val="1B2430"/>
                <w:sz w:val="16"/>
              </w:rPr>
              <w:t>score, threshold version, escalation reason.</w:t>
            </w:r>
          </w:p>
        </w:tc>
      </w:tr>
      <w:tr>
        <w:tc>
          <w:tcPr>
            <w:tcW w:type="dxa" w:w="4968"/>
            <w:vAlign w:val="center"/>
          </w:tcPr>
          <w:p>
            <w:r/>
            <w:r>
              <w:rPr>
                <w:rFonts w:ascii="Aptos" w:hAnsi="Aptos"/>
                <w:b w:val="0"/>
                <w:color w:val="1B2430"/>
                <w:sz w:val="16"/>
              </w:rPr>
              <w:t>AI</w:t>
            </w:r>
          </w:p>
        </w:tc>
        <w:tc>
          <w:tcPr>
            <w:tcW w:type="dxa" w:w="4968"/>
            <w:vAlign w:val="center"/>
          </w:tcPr>
          <w:p>
            <w:r/>
            <w:r>
              <w:rPr>
                <w:rFonts w:ascii="Aptos" w:hAnsi="Aptos"/>
                <w:b w:val="0"/>
                <w:color w:val="1B2430"/>
                <w:sz w:val="16"/>
              </w:rPr>
              <w:t>model_call refs, prompt version, model/provider, structured output, validation status.</w:t>
            </w:r>
          </w:p>
        </w:tc>
      </w:tr>
      <w:tr>
        <w:tc>
          <w:tcPr>
            <w:tcW w:type="dxa" w:w="4968"/>
            <w:vAlign w:val="center"/>
            <w:shd w:fill="F7F9FC"/>
          </w:tcPr>
          <w:p>
            <w:r/>
            <w:r>
              <w:rPr>
                <w:rFonts w:ascii="Aptos" w:hAnsi="Aptos"/>
                <w:b w:val="0"/>
                <w:color w:val="1B2430"/>
                <w:sz w:val="16"/>
              </w:rPr>
              <w:t>HITL</w:t>
            </w:r>
          </w:p>
        </w:tc>
        <w:tc>
          <w:tcPr>
            <w:tcW w:type="dxa" w:w="4968"/>
            <w:vAlign w:val="center"/>
            <w:shd w:fill="F7F9FC"/>
          </w:tcPr>
          <w:p>
            <w:r/>
            <w:r>
              <w:rPr>
                <w:rFonts w:ascii="Aptos" w:hAnsi="Aptos"/>
                <w:b w:val="0"/>
                <w:color w:val="1B2430"/>
                <w:sz w:val="16"/>
              </w:rPr>
              <w:t>task IDs, interrupt reason, actor/role, decision/rationale, timestamps.</w:t>
            </w:r>
          </w:p>
        </w:tc>
      </w:tr>
      <w:tr>
        <w:tc>
          <w:tcPr>
            <w:tcW w:type="dxa" w:w="4968"/>
            <w:vAlign w:val="center"/>
          </w:tcPr>
          <w:p>
            <w:r/>
            <w:r>
              <w:rPr>
                <w:rFonts w:ascii="Aptos" w:hAnsi="Aptos"/>
                <w:b w:val="0"/>
                <w:color w:val="1B2430"/>
                <w:sz w:val="16"/>
              </w:rPr>
              <w:t>Finalization</w:t>
            </w:r>
          </w:p>
        </w:tc>
        <w:tc>
          <w:tcPr>
            <w:tcW w:type="dxa" w:w="4968"/>
            <w:vAlign w:val="center"/>
          </w:tcPr>
          <w:p>
            <w:r/>
            <w:r>
              <w:rPr>
                <w:rFonts w:ascii="Aptos" w:hAnsi="Aptos"/>
                <w:b w:val="0"/>
                <w:color w:val="1B2430"/>
                <w:sz w:val="16"/>
              </w:rPr>
              <w:t>final decision, communication ID/status, audit completion status.</w:t>
            </w:r>
          </w:p>
        </w:tc>
      </w:tr>
    </w:tbl>
    <w:p>
      <w:pPr>
        <w:spacing w:after="20"/>
      </w:pPr>
    </w:p>
    <w:p>
      <w:bookmarkStart w:id="322" w:name="Appendix_B___Audit_Event_Minimum_Field"/>
      <w:pPr>
        <w:pStyle w:val="Heading1"/>
      </w:pPr>
      <w:r>
        <w:t>Appendix B - Audit Event Minimum Fields</w:t>
      </w:r>
      <w:bookmarkEnd w:id="322"/>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0B1F5B"/>
          </w:tcPr>
          <w:p>
            <w:r/>
            <w:r>
              <w:rPr>
                <w:rFonts w:ascii="Aptos" w:hAnsi="Aptos"/>
                <w:b/>
                <w:color w:val="FFFFFF"/>
                <w:sz w:val="17"/>
              </w:rPr>
              <w:t>Field Group</w:t>
            </w:r>
          </w:p>
        </w:tc>
        <w:tc>
          <w:tcPr>
            <w:tcW w:type="dxa" w:w="4968"/>
            <w:vAlign w:val="center"/>
            <w:shd w:fill="0B1F5B"/>
          </w:tcPr>
          <w:p>
            <w:r/>
            <w:r>
              <w:rPr>
                <w:rFonts w:ascii="Aptos" w:hAnsi="Aptos"/>
                <w:b/>
                <w:color w:val="FFFFFF"/>
                <w:sz w:val="17"/>
              </w:rPr>
              <w:t>Minimum Fields</w:t>
            </w:r>
          </w:p>
        </w:tc>
      </w:tr>
      <w:tr>
        <w:tc>
          <w:tcPr>
            <w:tcW w:type="dxa" w:w="4968"/>
            <w:vAlign w:val="center"/>
            <w:shd w:fill="F7F9FC"/>
          </w:tcPr>
          <w:p>
            <w:r/>
            <w:r>
              <w:rPr>
                <w:rFonts w:ascii="Aptos" w:hAnsi="Aptos"/>
                <w:b w:val="0"/>
                <w:color w:val="1B2430"/>
                <w:sz w:val="16"/>
              </w:rPr>
              <w:t>Identity</w:t>
            </w:r>
          </w:p>
        </w:tc>
        <w:tc>
          <w:tcPr>
            <w:tcW w:type="dxa" w:w="4968"/>
            <w:vAlign w:val="center"/>
            <w:shd w:fill="F7F9FC"/>
          </w:tcPr>
          <w:p>
            <w:r/>
            <w:r>
              <w:rPr>
                <w:rFonts w:ascii="Aptos" w:hAnsi="Aptos"/>
                <w:b w:val="0"/>
                <w:color w:val="1B2430"/>
                <w:sz w:val="16"/>
              </w:rPr>
              <w:t>event_id, case_id, workflow_id, correlation_id.</w:t>
            </w:r>
          </w:p>
        </w:tc>
      </w:tr>
      <w:tr>
        <w:tc>
          <w:tcPr>
            <w:tcW w:type="dxa" w:w="4968"/>
            <w:vAlign w:val="center"/>
          </w:tcPr>
          <w:p>
            <w:r/>
            <w:r>
              <w:rPr>
                <w:rFonts w:ascii="Aptos" w:hAnsi="Aptos"/>
                <w:b w:val="0"/>
                <w:color w:val="1B2430"/>
                <w:sz w:val="16"/>
              </w:rPr>
              <w:t>Event</w:t>
            </w:r>
          </w:p>
        </w:tc>
        <w:tc>
          <w:tcPr>
            <w:tcW w:type="dxa" w:w="4968"/>
            <w:vAlign w:val="center"/>
          </w:tcPr>
          <w:p>
            <w:r/>
            <w:r>
              <w:rPr>
                <w:rFonts w:ascii="Aptos" w:hAnsi="Aptos"/>
                <w:b w:val="0"/>
                <w:color w:val="1B2430"/>
                <w:sz w:val="16"/>
              </w:rPr>
              <w:t>event_type, timestamp, source_component, environment.</w:t>
            </w:r>
          </w:p>
        </w:tc>
      </w:tr>
      <w:tr>
        <w:tc>
          <w:tcPr>
            <w:tcW w:type="dxa" w:w="4968"/>
            <w:vAlign w:val="center"/>
            <w:shd w:fill="F7F9FC"/>
          </w:tcPr>
          <w:p>
            <w:r/>
            <w:r>
              <w:rPr>
                <w:rFonts w:ascii="Aptos" w:hAnsi="Aptos"/>
                <w:b w:val="0"/>
                <w:color w:val="1B2430"/>
                <w:sz w:val="16"/>
              </w:rPr>
              <w:t>Actor</w:t>
            </w:r>
          </w:p>
        </w:tc>
        <w:tc>
          <w:tcPr>
            <w:tcW w:type="dxa" w:w="4968"/>
            <w:vAlign w:val="center"/>
            <w:shd w:fill="F7F9FC"/>
          </w:tcPr>
          <w:p>
            <w:r/>
            <w:r>
              <w:rPr>
                <w:rFonts w:ascii="Aptos" w:hAnsi="Aptos"/>
                <w:b w:val="0"/>
                <w:color w:val="1B2430"/>
                <w:sz w:val="16"/>
              </w:rPr>
              <w:t>user/service identity, role, authentication context where appropriate.</w:t>
            </w:r>
          </w:p>
        </w:tc>
      </w:tr>
      <w:tr>
        <w:tc>
          <w:tcPr>
            <w:tcW w:type="dxa" w:w="4968"/>
            <w:vAlign w:val="center"/>
          </w:tcPr>
          <w:p>
            <w:r/>
            <w:r>
              <w:rPr>
                <w:rFonts w:ascii="Aptos" w:hAnsi="Aptos"/>
                <w:b w:val="0"/>
                <w:color w:val="1B2430"/>
                <w:sz w:val="16"/>
              </w:rPr>
              <w:t>Data/Tool</w:t>
            </w:r>
          </w:p>
        </w:tc>
        <w:tc>
          <w:tcPr>
            <w:tcW w:type="dxa" w:w="4968"/>
            <w:vAlign w:val="center"/>
          </w:tcPr>
          <w:p>
            <w:r/>
            <w:r>
              <w:rPr>
                <w:rFonts w:ascii="Aptos" w:hAnsi="Aptos"/>
                <w:b w:val="0"/>
                <w:color w:val="1B2430"/>
                <w:sz w:val="16"/>
              </w:rPr>
              <w:t>provider/tool name, request reference/hash, source record IDs, source timestamp.</w:t>
            </w:r>
          </w:p>
        </w:tc>
      </w:tr>
      <w:tr>
        <w:tc>
          <w:tcPr>
            <w:tcW w:type="dxa" w:w="4968"/>
            <w:vAlign w:val="center"/>
            <w:shd w:fill="F7F9FC"/>
          </w:tcPr>
          <w:p>
            <w:r/>
            <w:r>
              <w:rPr>
                <w:rFonts w:ascii="Aptos" w:hAnsi="Aptos"/>
                <w:b w:val="0"/>
                <w:color w:val="1B2430"/>
                <w:sz w:val="16"/>
              </w:rPr>
              <w:t>Policy/Rules</w:t>
            </w:r>
          </w:p>
        </w:tc>
        <w:tc>
          <w:tcPr>
            <w:tcW w:type="dxa" w:w="4968"/>
            <w:vAlign w:val="center"/>
            <w:shd w:fill="F7F9FC"/>
          </w:tcPr>
          <w:p>
            <w:r/>
            <w:r>
              <w:rPr>
                <w:rFonts w:ascii="Aptos" w:hAnsi="Aptos"/>
                <w:b w:val="0"/>
                <w:color w:val="1B2430"/>
                <w:sz w:val="16"/>
              </w:rPr>
              <w:t>policy ID/version/effective date; rule ID/version/reason code.</w:t>
            </w:r>
          </w:p>
        </w:tc>
      </w:tr>
      <w:tr>
        <w:tc>
          <w:tcPr>
            <w:tcW w:type="dxa" w:w="4968"/>
            <w:vAlign w:val="center"/>
          </w:tcPr>
          <w:p>
            <w:r/>
            <w:r>
              <w:rPr>
                <w:rFonts w:ascii="Aptos" w:hAnsi="Aptos"/>
                <w:b w:val="0"/>
                <w:color w:val="1B2430"/>
                <w:sz w:val="16"/>
              </w:rPr>
              <w:t>AI</w:t>
            </w:r>
          </w:p>
        </w:tc>
        <w:tc>
          <w:tcPr>
            <w:tcW w:type="dxa" w:w="4968"/>
            <w:vAlign w:val="center"/>
          </w:tcPr>
          <w:p>
            <w:r/>
            <w:r>
              <w:rPr>
                <w:rFonts w:ascii="Aptos" w:hAnsi="Aptos"/>
                <w:b w:val="0"/>
                <w:color w:val="1B2430"/>
                <w:sz w:val="16"/>
              </w:rPr>
              <w:t>model/provider, prompt version, model_call_id, input/output references or hashes, token/cost/latency metadata, safety/validation result.</w:t>
            </w:r>
          </w:p>
        </w:tc>
      </w:tr>
      <w:tr>
        <w:tc>
          <w:tcPr>
            <w:tcW w:type="dxa" w:w="4968"/>
            <w:vAlign w:val="center"/>
            <w:shd w:fill="F7F9FC"/>
          </w:tcPr>
          <w:p>
            <w:r/>
            <w:r>
              <w:rPr>
                <w:rFonts w:ascii="Aptos" w:hAnsi="Aptos"/>
                <w:b w:val="0"/>
                <w:color w:val="1B2430"/>
                <w:sz w:val="16"/>
              </w:rPr>
              <w:t>Human</w:t>
            </w:r>
          </w:p>
        </w:tc>
        <w:tc>
          <w:tcPr>
            <w:tcW w:type="dxa" w:w="4968"/>
            <w:vAlign w:val="center"/>
            <w:shd w:fill="F7F9FC"/>
          </w:tcPr>
          <w:p>
            <w:r/>
            <w:r>
              <w:rPr>
                <w:rFonts w:ascii="Aptos" w:hAnsi="Aptos"/>
                <w:b w:val="0"/>
                <w:color w:val="1B2430"/>
                <w:sz w:val="16"/>
              </w:rPr>
              <w:t>task/action ID, decision, override flag, rationale, supervisor approval where applicable.</w:t>
            </w:r>
          </w:p>
        </w:tc>
      </w:tr>
      <w:tr>
        <w:tc>
          <w:tcPr>
            <w:tcW w:type="dxa" w:w="4968"/>
            <w:vAlign w:val="center"/>
          </w:tcPr>
          <w:p>
            <w:r/>
            <w:r>
              <w:rPr>
                <w:rFonts w:ascii="Aptos" w:hAnsi="Aptos"/>
                <w:b w:val="0"/>
                <w:color w:val="1B2430"/>
                <w:sz w:val="16"/>
              </w:rPr>
              <w:t>Outcome</w:t>
            </w:r>
          </w:p>
        </w:tc>
        <w:tc>
          <w:tcPr>
            <w:tcW w:type="dxa" w:w="4968"/>
            <w:vAlign w:val="center"/>
          </w:tcPr>
          <w:p>
            <w:r/>
            <w:r>
              <w:rPr>
                <w:rFonts w:ascii="Aptos" w:hAnsi="Aptos"/>
                <w:b w:val="0"/>
                <w:color w:val="1B2430"/>
                <w:sz w:val="16"/>
              </w:rPr>
              <w:t>case status before/after, final decision, notification/export references.</w:t>
            </w:r>
          </w:p>
        </w:tc>
      </w:tr>
    </w:tbl>
    <w:p>
      <w:pPr>
        <w:spacing w:after="20"/>
      </w:pPr>
    </w:p>
    <w:p>
      <w:bookmarkStart w:id="323" w:name="Appendix_C___Glossary"/>
      <w:pPr>
        <w:pStyle w:val="Heading1"/>
      </w:pPr>
      <w:r>
        <w:t>Appendix C - Glossary</w:t>
      </w:r>
      <w:bookmarkEnd w:id="323"/>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0B1F5B"/>
          </w:tcPr>
          <w:p>
            <w:r/>
            <w:r>
              <w:rPr>
                <w:rFonts w:ascii="Aptos" w:hAnsi="Aptos"/>
                <w:b/>
                <w:color w:val="FFFFFF"/>
                <w:sz w:val="17"/>
              </w:rPr>
              <w:t>Term</w:t>
            </w:r>
          </w:p>
        </w:tc>
        <w:tc>
          <w:tcPr>
            <w:tcW w:type="dxa" w:w="4968"/>
            <w:vAlign w:val="center"/>
            <w:shd w:fill="0B1F5B"/>
          </w:tcPr>
          <w:p>
            <w:r/>
            <w:r>
              <w:rPr>
                <w:rFonts w:ascii="Aptos" w:hAnsi="Aptos"/>
                <w:b/>
                <w:color w:val="FFFFFF"/>
                <w:sz w:val="17"/>
              </w:rPr>
              <w:t>Meaning</w:t>
            </w:r>
          </w:p>
        </w:tc>
      </w:tr>
      <w:tr>
        <w:tc>
          <w:tcPr>
            <w:tcW w:type="dxa" w:w="4968"/>
            <w:vAlign w:val="center"/>
            <w:shd w:fill="F7F9FC"/>
          </w:tcPr>
          <w:p>
            <w:r/>
            <w:r>
              <w:rPr>
                <w:rFonts w:ascii="Aptos" w:hAnsi="Aptos"/>
                <w:b w:val="0"/>
                <w:color w:val="1B2430"/>
                <w:sz w:val="16"/>
              </w:rPr>
              <w:t>HLD</w:t>
            </w:r>
          </w:p>
        </w:tc>
        <w:tc>
          <w:tcPr>
            <w:tcW w:type="dxa" w:w="4968"/>
            <w:vAlign w:val="center"/>
            <w:shd w:fill="F7F9FC"/>
          </w:tcPr>
          <w:p>
            <w:r/>
            <w:r>
              <w:rPr>
                <w:rFonts w:ascii="Aptos" w:hAnsi="Aptos"/>
                <w:b w:val="0"/>
                <w:color w:val="1B2430"/>
                <w:sz w:val="16"/>
              </w:rPr>
              <w:t>High Level Design.</w:t>
            </w:r>
          </w:p>
        </w:tc>
      </w:tr>
      <w:tr>
        <w:tc>
          <w:tcPr>
            <w:tcW w:type="dxa" w:w="4968"/>
            <w:vAlign w:val="center"/>
          </w:tcPr>
          <w:p>
            <w:r/>
            <w:r>
              <w:rPr>
                <w:rFonts w:ascii="Aptos" w:hAnsi="Aptos"/>
                <w:b w:val="0"/>
                <w:color w:val="1B2430"/>
                <w:sz w:val="16"/>
              </w:rPr>
              <w:t>HITL</w:t>
            </w:r>
          </w:p>
        </w:tc>
        <w:tc>
          <w:tcPr>
            <w:tcW w:type="dxa" w:w="4968"/>
            <w:vAlign w:val="center"/>
          </w:tcPr>
          <w:p>
            <w:r/>
            <w:r>
              <w:rPr>
                <w:rFonts w:ascii="Aptos" w:hAnsi="Aptos"/>
                <w:b w:val="0"/>
                <w:color w:val="1B2430"/>
                <w:sz w:val="16"/>
              </w:rPr>
              <w:t>Human in the Loop.</w:t>
            </w:r>
          </w:p>
        </w:tc>
      </w:tr>
      <w:tr>
        <w:tc>
          <w:tcPr>
            <w:tcW w:type="dxa" w:w="4968"/>
            <w:vAlign w:val="center"/>
            <w:shd w:fill="F7F9FC"/>
          </w:tcPr>
          <w:p>
            <w:r/>
            <w:r>
              <w:rPr>
                <w:rFonts w:ascii="Aptos" w:hAnsi="Aptos"/>
                <w:b w:val="0"/>
                <w:color w:val="1B2430"/>
                <w:sz w:val="16"/>
              </w:rPr>
              <w:t>RAG</w:t>
            </w:r>
          </w:p>
        </w:tc>
        <w:tc>
          <w:tcPr>
            <w:tcW w:type="dxa" w:w="4968"/>
            <w:vAlign w:val="center"/>
            <w:shd w:fill="F7F9FC"/>
          </w:tcPr>
          <w:p>
            <w:r/>
            <w:r>
              <w:rPr>
                <w:rFonts w:ascii="Aptos" w:hAnsi="Aptos"/>
                <w:b w:val="0"/>
                <w:color w:val="1B2430"/>
                <w:sz w:val="16"/>
              </w:rPr>
              <w:t>Retrieval-Augmented Generation.</w:t>
            </w:r>
          </w:p>
        </w:tc>
      </w:tr>
      <w:tr>
        <w:tc>
          <w:tcPr>
            <w:tcW w:type="dxa" w:w="4968"/>
            <w:vAlign w:val="center"/>
          </w:tcPr>
          <w:p>
            <w:r/>
            <w:r>
              <w:rPr>
                <w:rFonts w:ascii="Aptos" w:hAnsi="Aptos"/>
                <w:b w:val="0"/>
                <w:color w:val="1B2430"/>
                <w:sz w:val="16"/>
              </w:rPr>
              <w:t>RBAC</w:t>
            </w:r>
          </w:p>
        </w:tc>
        <w:tc>
          <w:tcPr>
            <w:tcW w:type="dxa" w:w="4968"/>
            <w:vAlign w:val="center"/>
          </w:tcPr>
          <w:p>
            <w:r/>
            <w:r>
              <w:rPr>
                <w:rFonts w:ascii="Aptos" w:hAnsi="Aptos"/>
                <w:b w:val="0"/>
                <w:color w:val="1B2430"/>
                <w:sz w:val="16"/>
              </w:rPr>
              <w:t>Role-Based Access Control.</w:t>
            </w:r>
          </w:p>
        </w:tc>
      </w:tr>
      <w:tr>
        <w:tc>
          <w:tcPr>
            <w:tcW w:type="dxa" w:w="4968"/>
            <w:vAlign w:val="center"/>
            <w:shd w:fill="F7F9FC"/>
          </w:tcPr>
          <w:p>
            <w:r/>
            <w:r>
              <w:rPr>
                <w:rFonts w:ascii="Aptos" w:hAnsi="Aptos"/>
                <w:b w:val="0"/>
                <w:color w:val="1B2430"/>
                <w:sz w:val="16"/>
              </w:rPr>
              <w:t>OIDC</w:t>
            </w:r>
          </w:p>
        </w:tc>
        <w:tc>
          <w:tcPr>
            <w:tcW w:type="dxa" w:w="4968"/>
            <w:vAlign w:val="center"/>
            <w:shd w:fill="F7F9FC"/>
          </w:tcPr>
          <w:p>
            <w:r/>
            <w:r>
              <w:rPr>
                <w:rFonts w:ascii="Aptos" w:hAnsi="Aptos"/>
                <w:b w:val="0"/>
                <w:color w:val="1B2430"/>
                <w:sz w:val="16"/>
              </w:rPr>
              <w:t>OpenID Connect.</w:t>
            </w:r>
          </w:p>
        </w:tc>
      </w:tr>
      <w:tr>
        <w:tc>
          <w:tcPr>
            <w:tcW w:type="dxa" w:w="4968"/>
            <w:vAlign w:val="center"/>
          </w:tcPr>
          <w:p>
            <w:r/>
            <w:r>
              <w:rPr>
                <w:rFonts w:ascii="Aptos" w:hAnsi="Aptos"/>
                <w:b w:val="0"/>
                <w:color w:val="1B2430"/>
                <w:sz w:val="16"/>
              </w:rPr>
              <w:t>PII</w:t>
            </w:r>
          </w:p>
        </w:tc>
        <w:tc>
          <w:tcPr>
            <w:tcW w:type="dxa" w:w="4968"/>
            <w:vAlign w:val="center"/>
          </w:tcPr>
          <w:p>
            <w:r/>
            <w:r>
              <w:rPr>
                <w:rFonts w:ascii="Aptos" w:hAnsi="Aptos"/>
                <w:b w:val="0"/>
                <w:color w:val="1B2430"/>
                <w:sz w:val="16"/>
              </w:rPr>
              <w:t>Personally Identifiable Information.</w:t>
            </w:r>
          </w:p>
        </w:tc>
      </w:tr>
      <w:tr>
        <w:tc>
          <w:tcPr>
            <w:tcW w:type="dxa" w:w="4968"/>
            <w:vAlign w:val="center"/>
            <w:shd w:fill="F7F9FC"/>
          </w:tcPr>
          <w:p>
            <w:r/>
            <w:r>
              <w:rPr>
                <w:rFonts w:ascii="Aptos" w:hAnsi="Aptos"/>
                <w:b w:val="0"/>
                <w:color w:val="1B2430"/>
                <w:sz w:val="16"/>
              </w:rPr>
              <w:t>RTO/RPO</w:t>
            </w:r>
          </w:p>
        </w:tc>
        <w:tc>
          <w:tcPr>
            <w:tcW w:type="dxa" w:w="4968"/>
            <w:vAlign w:val="center"/>
            <w:shd w:fill="F7F9FC"/>
          </w:tcPr>
          <w:p>
            <w:r/>
            <w:r>
              <w:rPr>
                <w:rFonts w:ascii="Aptos" w:hAnsi="Aptos"/>
                <w:b w:val="0"/>
                <w:color w:val="1B2430"/>
                <w:sz w:val="16"/>
              </w:rPr>
              <w:t>Recovery Time Objective / Recovery Point Objective.</w:t>
            </w:r>
          </w:p>
        </w:tc>
      </w:tr>
      <w:tr>
        <w:tc>
          <w:tcPr>
            <w:tcW w:type="dxa" w:w="4968"/>
            <w:vAlign w:val="center"/>
          </w:tcPr>
          <w:p>
            <w:r/>
            <w:r>
              <w:rPr>
                <w:rFonts w:ascii="Aptos" w:hAnsi="Aptos"/>
                <w:b w:val="0"/>
                <w:color w:val="1B2430"/>
                <w:sz w:val="16"/>
              </w:rPr>
              <w:t>WAF</w:t>
            </w:r>
          </w:p>
        </w:tc>
        <w:tc>
          <w:tcPr>
            <w:tcW w:type="dxa" w:w="4968"/>
            <w:vAlign w:val="center"/>
          </w:tcPr>
          <w:p>
            <w:r/>
            <w:r>
              <w:rPr>
                <w:rFonts w:ascii="Aptos" w:hAnsi="Aptos"/>
                <w:b w:val="0"/>
                <w:color w:val="1B2430"/>
                <w:sz w:val="16"/>
              </w:rPr>
              <w:t>Web Application Firewall.</w:t>
            </w:r>
          </w:p>
        </w:tc>
      </w:tr>
      <w:tr>
        <w:tc>
          <w:tcPr>
            <w:tcW w:type="dxa" w:w="4968"/>
            <w:vAlign w:val="center"/>
            <w:shd w:fill="F7F9FC"/>
          </w:tcPr>
          <w:p>
            <w:r/>
            <w:r>
              <w:rPr>
                <w:rFonts w:ascii="Aptos" w:hAnsi="Aptos"/>
                <w:b w:val="0"/>
                <w:color w:val="1B2430"/>
                <w:sz w:val="16"/>
              </w:rPr>
              <w:t>WORM</w:t>
            </w:r>
          </w:p>
        </w:tc>
        <w:tc>
          <w:tcPr>
            <w:tcW w:type="dxa" w:w="4968"/>
            <w:vAlign w:val="center"/>
            <w:shd w:fill="F7F9FC"/>
          </w:tcPr>
          <w:p>
            <w:r/>
            <w:r>
              <w:rPr>
                <w:rFonts w:ascii="Aptos" w:hAnsi="Aptos"/>
                <w:b w:val="0"/>
                <w:color w:val="1B2430"/>
                <w:sz w:val="16"/>
              </w:rPr>
              <w:t>Write Once Read Many / immutable storage characteristic.</w:t>
            </w:r>
          </w:p>
        </w:tc>
      </w:tr>
      <w:tr>
        <w:tc>
          <w:tcPr>
            <w:tcW w:type="dxa" w:w="4968"/>
            <w:vAlign w:val="center"/>
          </w:tcPr>
          <w:p>
            <w:r/>
            <w:r>
              <w:rPr>
                <w:rFonts w:ascii="Aptos" w:hAnsi="Aptos"/>
                <w:b w:val="0"/>
                <w:color w:val="1B2430"/>
                <w:sz w:val="16"/>
              </w:rPr>
              <w:t>OpenTelemetry</w:t>
            </w:r>
          </w:p>
        </w:tc>
        <w:tc>
          <w:tcPr>
            <w:tcW w:type="dxa" w:w="4968"/>
            <w:vAlign w:val="center"/>
          </w:tcPr>
          <w:p>
            <w:r/>
            <w:r>
              <w:rPr>
                <w:rFonts w:ascii="Aptos" w:hAnsi="Aptos"/>
                <w:b w:val="0"/>
                <w:color w:val="1B2430"/>
                <w:sz w:val="16"/>
              </w:rPr>
              <w:t>Standardized traces, metrics and logs instrumentation.</w:t>
            </w:r>
          </w:p>
        </w:tc>
      </w:tr>
    </w:tbl>
    <w:p>
      <w:pPr>
        <w:spacing w:after="20"/>
      </w:pP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A"/>
        <w:sz w:val="16"/>
      </w:rPr>
      <w:t xml:space="preserve">DisputeIQ High Level Design  |  </w:t>
    </w:r>
    <w:fldSimple w:instr="PAGE"/>
    <w:r>
      <w:rPr>
        <w:color w:val="5F6B7A"/>
        <w:sz w:val="16"/>
      </w:rPr>
      <w:t xml:space="preserve">DisputeIQ High Level Design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B7A"/>
        <w:sz w:val="15"/>
      </w:rPr>
      <w:t>DisputeIQ - AI-Powered Banking Transaction Dispute Investigation &amp; Resolution Platform</w:t>
    </w:r>
    <w:r>
      <w:rPr>
        <w:color w:val="5F6B7A"/>
        <w:sz w:val="15"/>
      </w:rPr>
      <w:t>DisputeIQ - AI-Powered Banking Transaction Dispute Investigation &amp; Resolution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0B1F5B"/>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1769E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eastAsia="Aptos Display"/>
      <w:b/>
      <w:bCs/>
      <w:color w:val="087F8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0B1F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F6B7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DisputeIQ - High Level Design</dc:title>
  <dc:subject>Production-ready HLD derived from DisputeIQ overall architecture diagram</dc:subject>
  <dc:creator>OpenAI</dc:creator>
  <cp:keywords>DisputeIQ, HLD, LangGraph, Agentic AI, Banking Dispute, RAG, Architecture</cp:keywords>
  <dc:description>generated by python-docx</dc:description>
  <cp:lastModifiedBy/>
  <cp:revision>1</cp:revision>
  <dcterms:created xsi:type="dcterms:W3CDTF">2013-12-23T23:15:00Z</dcterms:created>
  <dcterms:modified xsi:type="dcterms:W3CDTF">2013-12-23T23:15:00Z</dcterms:modified>
  <cp:category/>
</cp:coreProperties>
</file>