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2E75B6"/>
          <w:sz w:val="48"/>
          <w:szCs w:val="48"/>
        </w:rPr>
        <w:t xml:space="preserve">Colorectal Cancer and MDT Decision-Making</w:t>
      </w:r>
    </w:p>
    <w:p>
      <w:pPr>
        <w:spacing w:after="200"/>
        <w:jc w:val="center"/>
      </w:pPr>
      <w:r>
        <w:rPr>
          <w:rFonts w:ascii="Arial" w:cs="Arial" w:eastAsia="Arial" w:hAnsi="Arial"/>
          <w:i/>
          <w:iCs/>
          <w:sz w:val="28"/>
          <w:szCs w:val="28"/>
        </w:rPr>
        <w:t xml:space="preserve">A Comprehensive Technical Briefing for Clinical AI Hackathon Teams</w:t>
      </w:r>
    </w:p>
    <w:p>
      <w:pPr>
        <w:spacing w:after="600"/>
        <w:jc w:val="center"/>
      </w:pPr>
      <w:r>
        <w:rPr>
          <w:rFonts w:ascii="Arial" w:cs="Arial" w:eastAsia="Arial" w:hAnsi="Arial"/>
          <w:sz w:val="24"/>
          <w:szCs w:val="24"/>
        </w:rPr>
        <w:t xml:space="preserve">Prepared for Software Engineers and Data Scientists with No Clinical Background</w:t>
      </w:r>
    </w:p>
    <w:p>
      <w:pPr>
        <w:spacing w:after="1440"/>
        <w:jc w:val="center"/>
      </w:pPr>
      <w:r>
        <w:rPr>
          <w:rFonts w:ascii="Arial" w:cs="Arial" w:eastAsia="Arial" w:hAnsi="Arial"/>
          <w:i/>
          <w:iCs/>
          <w:sz w:val="22"/>
          <w:szCs w:val="22"/>
        </w:rPr>
        <w:t xml:space="preserve">Clinical Domain Expert / Science Communicator</w:t>
      </w:r>
    </w:p>
    <w:p>
      <w:r>
        <w:br w:type="page"/>
      </w:r>
    </w:p>
    <w:p>
      <w:pPr>
        <w:pStyle w:val="Heading1"/>
        <w:spacing w:before="36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Section 1: What Is Colorectal Cancer?</w:t>
      </w:r>
    </w:p>
    <w:p>
      <w:pPr>
        <w:pStyle w:val="Heading2"/>
        <w:spacing w:before="280" w:after="160"/>
      </w:pPr>
      <w:r>
        <w:rPr>
          <w:rFonts w:ascii="Arial" w:cs="Arial" w:eastAsia="Arial" w:hAnsi="Arial"/>
          <w:b/>
          <w:bCs/>
          <w:sz w:val="28"/>
          <w:szCs w:val="28"/>
        </w:rPr>
        <w:t xml:space="preserve">1.1 Anatomy of the Colon and Rectum</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large intestine</w:t>
      </w:r>
      <w:r>
        <w:rPr>
          <w:rFonts w:ascii="Arial" w:cs="Arial" w:eastAsia="Arial" w:hAnsi="Arial"/>
          <w:sz w:val="22"/>
          <w:szCs w:val="22"/>
        </w:rPr>
        <w:t xml:space="preserve"> (also called the large bowel) is the final section of the gastrointestinal tract, responsible for water absorption, electrolyte balance, and the formation and storage of faeces. It runs approximately 1.5 metres in length and is conventionally divided into the colon and the rectum.</w:t>
      </w:r>
    </w:p>
    <w:p>
      <w:pPr>
        <w:spacing w:after="120"/>
      </w:pPr>
      <w:r>
        <w:rPr>
          <w:rFonts w:ascii="Arial" w:cs="Arial" w:eastAsia="Arial" w:hAnsi="Arial"/>
          <w:b/>
          <w:bCs/>
          <w:sz w:val="22"/>
          <w:szCs w:val="22"/>
        </w:rPr>
        <w:t xml:space="preserve">The Colon</w:t>
      </w:r>
      <w:r>
        <w:rPr>
          <w:rFonts w:ascii="Arial" w:cs="Arial" w:eastAsia="Arial" w:hAnsi="Arial"/>
          <w:sz w:val="22"/>
          <w:szCs w:val="22"/>
        </w:rPr>
        <w:t xml:space="preserve"> is subdivided into named segments, each with distinct clinical significance:</w:t>
      </w:r>
    </w:p>
    <w:p>
      <w:pPr>
        <w:pStyle w:val="ListParagraph"/>
        <w:numPr>
          <w:ilvl w:val="0"/>
          <w:numId w:val="2"/>
        </w:numPr>
        <w:spacing w:after="80"/>
      </w:pPr>
      <w:r>
        <w:rPr>
          <w:rFonts w:ascii="Arial" w:cs="Arial" w:eastAsia="Arial" w:hAnsi="Arial"/>
          <w:b/>
          <w:bCs/>
          <w:sz w:val="22"/>
          <w:szCs w:val="22"/>
        </w:rPr>
        <w:t xml:space="preserve">Caecum</w:t>
      </w:r>
      <w:r>
        <w:rPr>
          <w:rFonts w:ascii="Arial" w:cs="Arial" w:eastAsia="Arial" w:hAnsi="Arial"/>
          <w:sz w:val="22"/>
          <w:szCs w:val="22"/>
        </w:rPr>
        <w:t xml:space="preserve"> — The blind-ended pouch at the junction of the small intestine and large intestine, in the right iliac fossa. It is where the ileocaecal valve (ICV) sits. Cancers here are often clinically silent for a long time because the lumen is wide and the contents are liquid.</w:t>
      </w:r>
    </w:p>
    <w:p>
      <w:pPr>
        <w:pStyle w:val="ListParagraph"/>
        <w:numPr>
          <w:ilvl w:val="0"/>
          <w:numId w:val="2"/>
        </w:numPr>
        <w:spacing w:after="80"/>
      </w:pPr>
      <w:r>
        <w:rPr>
          <w:rFonts w:ascii="Arial" w:cs="Arial" w:eastAsia="Arial" w:hAnsi="Arial"/>
          <w:b/>
          <w:bCs/>
          <w:sz w:val="22"/>
          <w:szCs w:val="22"/>
        </w:rPr>
        <w:t xml:space="preserve">Ascending colon (right colon)</w:t>
      </w:r>
      <w:r>
        <w:rPr>
          <w:rFonts w:ascii="Arial" w:cs="Arial" w:eastAsia="Arial" w:hAnsi="Arial"/>
          <w:sz w:val="22"/>
          <w:szCs w:val="22"/>
        </w:rPr>
        <w:t xml:space="preserve"> — Travels upward on the right side of the abdomen. Right-sided cancers tend to present with iron-deficiency anaemia rather than obstruction, because the stool is still liquid at this stage.</w:t>
      </w:r>
    </w:p>
    <w:p>
      <w:pPr>
        <w:pStyle w:val="ListParagraph"/>
        <w:numPr>
          <w:ilvl w:val="0"/>
          <w:numId w:val="2"/>
        </w:numPr>
        <w:spacing w:after="80"/>
      </w:pPr>
      <w:r>
        <w:rPr>
          <w:rFonts w:ascii="Arial" w:cs="Arial" w:eastAsia="Arial" w:hAnsi="Arial"/>
          <w:b/>
          <w:bCs/>
          <w:sz w:val="22"/>
          <w:szCs w:val="22"/>
        </w:rPr>
        <w:t xml:space="preserve">Hepatic flexure</w:t>
      </w:r>
      <w:r>
        <w:rPr>
          <w:rFonts w:ascii="Arial" w:cs="Arial" w:eastAsia="Arial" w:hAnsi="Arial"/>
          <w:sz w:val="22"/>
          <w:szCs w:val="22"/>
        </w:rPr>
        <w:t xml:space="preserve"> — The bend where the ascending colon turns to become the transverse colon, near the liver.</w:t>
      </w:r>
    </w:p>
    <w:p>
      <w:pPr>
        <w:pStyle w:val="ListParagraph"/>
        <w:numPr>
          <w:ilvl w:val="0"/>
          <w:numId w:val="2"/>
        </w:numPr>
        <w:spacing w:after="80"/>
      </w:pPr>
      <w:r>
        <w:rPr>
          <w:rFonts w:ascii="Arial" w:cs="Arial" w:eastAsia="Arial" w:hAnsi="Arial"/>
          <w:b/>
          <w:bCs/>
          <w:sz w:val="22"/>
          <w:szCs w:val="22"/>
        </w:rPr>
        <w:t xml:space="preserve">Transverse colon</w:t>
      </w:r>
      <w:r>
        <w:rPr>
          <w:rFonts w:ascii="Arial" w:cs="Arial" w:eastAsia="Arial" w:hAnsi="Arial"/>
          <w:sz w:val="22"/>
          <w:szCs w:val="22"/>
        </w:rPr>
        <w:t xml:space="preserve"> — Crosses the upper abdomen from right to left. It is the most mobile segment, suspended by the transverse mesocolon.</w:t>
      </w:r>
    </w:p>
    <w:p>
      <w:pPr>
        <w:pStyle w:val="ListParagraph"/>
        <w:numPr>
          <w:ilvl w:val="0"/>
          <w:numId w:val="2"/>
        </w:numPr>
        <w:spacing w:after="80"/>
      </w:pPr>
      <w:r>
        <w:rPr>
          <w:rFonts w:ascii="Arial" w:cs="Arial" w:eastAsia="Arial" w:hAnsi="Arial"/>
          <w:b/>
          <w:bCs/>
          <w:sz w:val="22"/>
          <w:szCs w:val="22"/>
        </w:rPr>
        <w:t xml:space="preserve">Splenic flexure</w:t>
      </w:r>
      <w:r>
        <w:rPr>
          <w:rFonts w:ascii="Arial" w:cs="Arial" w:eastAsia="Arial" w:hAnsi="Arial"/>
          <w:sz w:val="22"/>
          <w:szCs w:val="22"/>
        </w:rPr>
        <w:t xml:space="preserve"> — The bend where the transverse colon turns downward near the spleen. It has a relatively poor blood supply, making it a site of risk in ischaemic colitis and also technically challenging for surgery.</w:t>
      </w:r>
    </w:p>
    <w:p>
      <w:pPr>
        <w:pStyle w:val="ListParagraph"/>
        <w:numPr>
          <w:ilvl w:val="0"/>
          <w:numId w:val="2"/>
        </w:numPr>
        <w:spacing w:after="80"/>
      </w:pPr>
      <w:r>
        <w:rPr>
          <w:rFonts w:ascii="Arial" w:cs="Arial" w:eastAsia="Arial" w:hAnsi="Arial"/>
          <w:b/>
          <w:bCs/>
          <w:sz w:val="22"/>
          <w:szCs w:val="22"/>
        </w:rPr>
        <w:t xml:space="preserve">Descending colon (left colon)</w:t>
      </w:r>
      <w:r>
        <w:rPr>
          <w:rFonts w:ascii="Arial" w:cs="Arial" w:eastAsia="Arial" w:hAnsi="Arial"/>
          <w:sz w:val="22"/>
          <w:szCs w:val="22"/>
        </w:rPr>
        <w:t xml:space="preserve"> — Runs down the left side of the abdomen. Left-sided cancers more often cause obstructive symptoms and change in bowel habit because the stool is more formed here.</w:t>
      </w:r>
    </w:p>
    <w:p>
      <w:pPr>
        <w:pStyle w:val="ListParagraph"/>
        <w:numPr>
          <w:ilvl w:val="0"/>
          <w:numId w:val="2"/>
        </w:numPr>
        <w:spacing w:after="80"/>
      </w:pPr>
      <w:r>
        <w:rPr>
          <w:rFonts w:ascii="Arial" w:cs="Arial" w:eastAsia="Arial" w:hAnsi="Arial"/>
          <w:b/>
          <w:bCs/>
          <w:sz w:val="22"/>
          <w:szCs w:val="22"/>
        </w:rPr>
        <w:t xml:space="preserve">Sigmoid colon</w:t>
      </w:r>
      <w:r>
        <w:rPr>
          <w:rFonts w:ascii="Arial" w:cs="Arial" w:eastAsia="Arial" w:hAnsi="Arial"/>
          <w:sz w:val="22"/>
          <w:szCs w:val="22"/>
        </w:rPr>
        <w:t xml:space="preserve"> — The S-shaped loop between the descending colon and the rectum, lying in the pelvis. It is the most common site of colorectal cancer.</w:t>
      </w:r>
    </w:p>
    <w:p>
      <w:pPr>
        <w:pStyle w:val="ListParagraph"/>
        <w:numPr>
          <w:ilvl w:val="0"/>
          <w:numId w:val="2"/>
        </w:numPr>
        <w:spacing w:after="80"/>
      </w:pPr>
      <w:r>
        <w:rPr>
          <w:rFonts w:ascii="Arial" w:cs="Arial" w:eastAsia="Arial" w:hAnsi="Arial"/>
          <w:b/>
          <w:bCs/>
          <w:sz w:val="22"/>
          <w:szCs w:val="22"/>
        </w:rPr>
        <w:t xml:space="preserve">Rectum</w:t>
      </w:r>
      <w:r>
        <w:rPr>
          <w:rFonts w:ascii="Arial" w:cs="Arial" w:eastAsia="Arial" w:hAnsi="Arial"/>
          <w:sz w:val="22"/>
          <w:szCs w:val="22"/>
        </w:rPr>
        <w:t xml:space="preserve"> — The final 12–15 cm of the large intestine before the anal canal. The rectum is defined anatomically by the junction with the sigmoid colon above and the anorectal junction below. Clinically, it is divided into upper (11–15 cm from the anal verge), mid (6–10 cm), and lower (0–5 cm) thirds, which determine surgical options and whether radiotherapy is required.</w:t>
      </w:r>
    </w:p>
    <w:p>
      <w:pPr>
        <w:pStyle w:val="ListParagraph"/>
        <w:numPr>
          <w:ilvl w:val="0"/>
          <w:numId w:val="2"/>
        </w:numPr>
        <w:spacing w:after="80"/>
      </w:pPr>
      <w:r>
        <w:rPr>
          <w:rFonts w:ascii="Arial" w:cs="Arial" w:eastAsia="Arial" w:hAnsi="Arial"/>
          <w:b/>
          <w:bCs/>
          <w:sz w:val="22"/>
          <w:szCs w:val="22"/>
        </w:rPr>
        <w:t xml:space="preserve">Anal canal</w:t>
      </w:r>
      <w:r>
        <w:rPr>
          <w:rFonts w:ascii="Arial" w:cs="Arial" w:eastAsia="Arial" w:hAnsi="Arial"/>
          <w:sz w:val="22"/>
          <w:szCs w:val="22"/>
        </w:rPr>
        <w:t xml:space="preserve"> — The terminal 4 cm of the gastrointestinal tract, lined by specialised squamous epithelium; cancers here are predominantly squamous cell carcinomas, not adenocarcinomas, and are managed differently.</w:t>
      </w:r>
    </w:p>
    <w:p>
      <w:pPr>
        <w:spacing w:after="80"/>
      </w:pPr>
      <w:r>
        <w:t xml:space="preserve"/>
      </w:r>
    </w:p>
    <w:p>
      <w:pPr>
        <w:spacing w:after="120"/>
      </w:pPr>
      <w:r>
        <w:rPr>
          <w:rFonts w:ascii="Arial" w:cs="Arial" w:eastAsia="Arial" w:hAnsi="Arial"/>
          <w:b/>
          <w:bCs/>
          <w:sz w:val="22"/>
          <w:szCs w:val="22"/>
        </w:rPr>
        <w:t xml:space="preserve">Why tumour location matters clinically:</w:t>
      </w:r>
    </w:p>
    <w:p>
      <w:pPr>
        <w:pStyle w:val="ListParagraph"/>
        <w:numPr>
          <w:ilvl w:val="0"/>
          <w:numId w:val="2"/>
        </w:numPr>
        <w:spacing w:after="80"/>
      </w:pPr>
      <w:r>
        <w:rPr>
          <w:rFonts w:ascii="Arial" w:cs="Arial" w:eastAsia="Arial" w:hAnsi="Arial"/>
          <w:sz w:val="22"/>
          <w:szCs w:val="22"/>
        </w:rPr>
        <w:t xml:space="preserve">Right-sided colon cancers are more often microsatellite instable (MSI-H), more likely to be mucinous or signet ring subtypes, and have different chemotherapy response profiles to left-sided cancers.</w:t>
      </w:r>
    </w:p>
    <w:p>
      <w:pPr>
        <w:pStyle w:val="ListParagraph"/>
        <w:numPr>
          <w:ilvl w:val="0"/>
          <w:numId w:val="2"/>
        </w:numPr>
        <w:spacing w:after="80"/>
      </w:pPr>
      <w:r>
        <w:rPr>
          <w:rFonts w:ascii="Arial" w:cs="Arial" w:eastAsia="Arial" w:hAnsi="Arial"/>
          <w:sz w:val="22"/>
          <w:szCs w:val="22"/>
        </w:rPr>
        <w:t xml:space="preserve">Rectal cancers (below the peritoneal reflection, approximately the upper-to-mid rectum junction) lie outside the peritoneum in the mesorectum and are subject to specific MRI staging parameters (CRM, EMVI, mrT, mrN). They receive neoadjuvant radiotherapy/chemoradiotherapy in a way colon cancers generally do not.</w:t>
      </w:r>
    </w:p>
    <w:p>
      <w:pPr>
        <w:pStyle w:val="ListParagraph"/>
        <w:numPr>
          <w:ilvl w:val="0"/>
          <w:numId w:val="2"/>
        </w:numPr>
        <w:spacing w:after="80"/>
      </w:pPr>
      <w:r>
        <w:rPr>
          <w:rFonts w:ascii="Arial" w:cs="Arial" w:eastAsia="Arial" w:hAnsi="Arial"/>
          <w:sz w:val="22"/>
          <w:szCs w:val="22"/>
        </w:rPr>
        <w:t xml:space="preserve">The distance from the anal verge determines whether sphincter-preserving surgery is technically feasible or whether an abdominoperineal excision (permanent stoma) is required.</w:t>
      </w:r>
    </w:p>
    <w:p>
      <w:pPr>
        <w:spacing w:after="80"/>
      </w:pPr>
      <w:r>
        <w:t xml:space="preserve"/>
      </w:r>
    </w:p>
    <w:p>
      <w:pPr>
        <w:pStyle w:val="Heading2"/>
        <w:spacing w:before="280" w:after="160"/>
      </w:pPr>
      <w:r>
        <w:rPr>
          <w:rFonts w:ascii="Arial" w:cs="Arial" w:eastAsia="Arial" w:hAnsi="Arial"/>
          <w:b/>
          <w:bCs/>
          <w:sz w:val="28"/>
          <w:szCs w:val="28"/>
        </w:rPr>
        <w:t xml:space="preserve">1.2 How Colorectal Cancer Develops: The Adenoma-Carcinoma Sequence</w:t>
      </w:r>
    </w:p>
    <w:p>
      <w:pPr>
        <w:spacing w:after="120"/>
      </w:pPr>
      <w:r>
        <w:rPr>
          <w:rFonts w:ascii="Arial" w:cs="Arial" w:eastAsia="Arial" w:hAnsi="Arial"/>
          <w:b/>
          <w:bCs/>
          <w:sz w:val="22"/>
          <w:szCs w:val="22"/>
        </w:rPr>
        <w:t xml:space="preserve">The adenoma-carcinoma sequence</w:t>
      </w:r>
      <w:r>
        <w:rPr>
          <w:rFonts w:ascii="Arial" w:cs="Arial" w:eastAsia="Arial" w:hAnsi="Arial"/>
          <w:sz w:val="22"/>
          <w:szCs w:val="22"/>
        </w:rPr>
        <w:t xml:space="preserve"> is the predominant biological pathway by which the vast majority (~80%) of sporadic colorectal cancers arise. It was first described by Muto, Bussey and Morson in 1975 and forms the scientific basis for endoscopic surveillance and the NHS Bowel Cancer Screening Programme.</w:t>
      </w:r>
    </w:p>
    <w:p>
      <w:pPr>
        <w:spacing w:after="120"/>
      </w:pPr>
      <w:r>
        <w:rPr>
          <w:rFonts w:ascii="Arial" w:cs="Arial" w:eastAsia="Arial" w:hAnsi="Arial"/>
          <w:sz w:val="22"/>
          <w:szCs w:val="22"/>
        </w:rPr>
        <w:t xml:space="preserve">The sequence proceeds as follows:</w:t>
      </w:r>
    </w:p>
    <w:p>
      <w:pPr>
        <w:pStyle w:val="ListParagraph"/>
        <w:numPr>
          <w:ilvl w:val="0"/>
          <w:numId w:val="3"/>
        </w:numPr>
        <w:spacing w:after="80"/>
      </w:pPr>
      <w:r>
        <w:rPr>
          <w:rFonts w:ascii="Arial" w:cs="Arial" w:eastAsia="Arial" w:hAnsi="Arial"/>
          <w:b/>
          <w:bCs/>
          <w:sz w:val="22"/>
          <w:szCs w:val="22"/>
        </w:rPr>
        <w:t xml:space="preserve">Normal colonic epithelium</w:t>
      </w:r>
      <w:r>
        <w:rPr>
          <w:rFonts w:ascii="Arial" w:cs="Arial" w:eastAsia="Arial" w:hAnsi="Arial"/>
          <w:sz w:val="22"/>
          <w:szCs w:val="22"/>
        </w:rPr>
        <w:t xml:space="preserve"> — columnar epithelial cells lining the crypts of the mucosa.</w:t>
      </w:r>
    </w:p>
    <w:p>
      <w:pPr>
        <w:pStyle w:val="ListParagraph"/>
        <w:numPr>
          <w:ilvl w:val="0"/>
          <w:numId w:val="3"/>
        </w:numPr>
        <w:spacing w:after="80"/>
      </w:pPr>
      <w:r>
        <w:rPr>
          <w:rFonts w:ascii="Arial" w:cs="Arial" w:eastAsia="Arial" w:hAnsi="Arial"/>
          <w:b/>
          <w:bCs/>
          <w:sz w:val="22"/>
          <w:szCs w:val="22"/>
        </w:rPr>
        <w:t xml:space="preserve">Aberrant crypt foci</w:t>
      </w:r>
      <w:r>
        <w:rPr>
          <w:rFonts w:ascii="Arial" w:cs="Arial" w:eastAsia="Arial" w:hAnsi="Arial"/>
          <w:sz w:val="22"/>
          <w:szCs w:val="22"/>
        </w:rPr>
        <w:t xml:space="preserve"> — earliest microscopic change; clusters of crypts with abnormal appearance.</w:t>
      </w:r>
    </w:p>
    <w:p>
      <w:pPr>
        <w:pStyle w:val="ListParagraph"/>
        <w:numPr>
          <w:ilvl w:val="0"/>
          <w:numId w:val="3"/>
        </w:numPr>
        <w:spacing w:after="80"/>
      </w:pPr>
      <w:r>
        <w:rPr>
          <w:rFonts w:ascii="Arial" w:cs="Arial" w:eastAsia="Arial" w:hAnsi="Arial"/>
          <w:b/>
          <w:bCs/>
          <w:sz w:val="22"/>
          <w:szCs w:val="22"/>
        </w:rPr>
        <w:t xml:space="preserve">Adenomatous polyp (adenoma)</w:t>
      </w:r>
      <w:r>
        <w:rPr>
          <w:rFonts w:ascii="Arial" w:cs="Arial" w:eastAsia="Arial" w:hAnsi="Arial"/>
          <w:sz w:val="22"/>
          <w:szCs w:val="22"/>
        </w:rPr>
        <w:t xml:space="preserve"> — a benign but premalignant lesion arising from the epithelium, driven by mutations in the APC (adenomatous polyposis coli) tumour suppressor gene. APC is the gatekeeper mutation in colorectal carcinogenesis.</w:t>
      </w:r>
    </w:p>
    <w:p>
      <w:pPr>
        <w:pStyle w:val="ListParagraph"/>
        <w:numPr>
          <w:ilvl w:val="0"/>
          <w:numId w:val="3"/>
        </w:numPr>
        <w:spacing w:after="80"/>
      </w:pPr>
      <w:r>
        <w:rPr>
          <w:rFonts w:ascii="Arial" w:cs="Arial" w:eastAsia="Arial" w:hAnsi="Arial"/>
          <w:b/>
          <w:bCs/>
          <w:sz w:val="22"/>
          <w:szCs w:val="22"/>
        </w:rPr>
        <w:t xml:space="preserve">High-grade dysplasia</w:t>
      </w:r>
      <w:r>
        <w:rPr>
          <w:rFonts w:ascii="Arial" w:cs="Arial" w:eastAsia="Arial" w:hAnsi="Arial"/>
          <w:sz w:val="22"/>
          <w:szCs w:val="22"/>
        </w:rPr>
        <w:t xml:space="preserve"> — increasing architectural and cytological atypia within the polyp, with loss of normal glandular organisation.</w:t>
      </w:r>
    </w:p>
    <w:p>
      <w:pPr>
        <w:pStyle w:val="ListParagraph"/>
        <w:numPr>
          <w:ilvl w:val="0"/>
          <w:numId w:val="3"/>
        </w:numPr>
        <w:spacing w:after="80"/>
      </w:pPr>
      <w:r>
        <w:rPr>
          <w:rFonts w:ascii="Arial" w:cs="Arial" w:eastAsia="Arial" w:hAnsi="Arial"/>
          <w:b/>
          <w:bCs/>
          <w:sz w:val="22"/>
          <w:szCs w:val="22"/>
        </w:rPr>
        <w:t xml:space="preserve">Carcinoma in situ / intramucosal carcinoma</w:t>
      </w:r>
      <w:r>
        <w:rPr>
          <w:rFonts w:ascii="Arial" w:cs="Arial" w:eastAsia="Arial" w:hAnsi="Arial"/>
          <w:sz w:val="22"/>
          <w:szCs w:val="22"/>
        </w:rPr>
        <w:t xml:space="preserve"> — cancer confined to the mucosa without breaching the muscularis mucosae.</w:t>
      </w:r>
    </w:p>
    <w:p>
      <w:pPr>
        <w:pStyle w:val="ListParagraph"/>
        <w:numPr>
          <w:ilvl w:val="0"/>
          <w:numId w:val="3"/>
        </w:numPr>
        <w:spacing w:after="80"/>
      </w:pPr>
      <w:r>
        <w:rPr>
          <w:rFonts w:ascii="Arial" w:cs="Arial" w:eastAsia="Arial" w:hAnsi="Arial"/>
          <w:b/>
          <w:bCs/>
          <w:sz w:val="22"/>
          <w:szCs w:val="22"/>
        </w:rPr>
        <w:t xml:space="preserve">Invasive adenocarcinoma</w:t>
      </w:r>
      <w:r>
        <w:rPr>
          <w:rFonts w:ascii="Arial" w:cs="Arial" w:eastAsia="Arial" w:hAnsi="Arial"/>
          <w:sz w:val="22"/>
          <w:szCs w:val="22"/>
        </w:rPr>
        <w:t xml:space="preserve"> — cancer breaching the muscularis mucosae into the submucosa (T1), then muscularis propria (T2), then beyond.</w:t>
      </w:r>
    </w:p>
    <w:p>
      <w:pPr>
        <w:spacing w:after="80"/>
      </w:pPr>
      <w:r>
        <w:t xml:space="preserve"/>
      </w:r>
    </w:p>
    <w:p>
      <w:pPr>
        <w:spacing w:after="120"/>
      </w:pPr>
      <w:r>
        <w:rPr>
          <w:rFonts w:ascii="Arial" w:cs="Arial" w:eastAsia="Arial" w:hAnsi="Arial"/>
          <w:sz w:val="22"/>
          <w:szCs w:val="22"/>
        </w:rPr>
        <w:t xml:space="preserve">The average time from normal epithelium to invasive cancer is estimated at 10–15 years, which is why surveillance colonoscopy after adenoma removal and 10-yearly population screening are effective.</w:t>
      </w:r>
    </w:p>
    <w:p>
      <w:pPr>
        <w:spacing w:after="80"/>
      </w:pPr>
      <w:r>
        <w:t xml:space="preserve"/>
      </w:r>
    </w:p>
    <w:p>
      <w:pPr>
        <w:spacing w:after="120"/>
      </w:pPr>
      <w:r>
        <w:rPr>
          <w:rFonts w:ascii="Arial" w:cs="Arial" w:eastAsia="Arial" w:hAnsi="Arial"/>
          <w:b/>
          <w:bCs/>
          <w:sz w:val="22"/>
          <w:szCs w:val="22"/>
        </w:rPr>
        <w:t xml:space="preserve">Polyp types</w:t>
      </w:r>
      <w:r>
        <w:rPr>
          <w:rFonts w:ascii="Arial" w:cs="Arial" w:eastAsia="Arial" w:hAnsi="Arial"/>
          <w:sz w:val="22"/>
          <w:szCs w:val="22"/>
        </w:rPr>
        <w:t xml:space="preserve"> (you will encounter these terms in endoscopy and pathology reports):</w:t>
      </w:r>
    </w:p>
    <w:p>
      <w:pPr>
        <w:pStyle w:val="ListParagraph"/>
        <w:numPr>
          <w:ilvl w:val="0"/>
          <w:numId w:val="2"/>
        </w:numPr>
        <w:spacing w:after="80"/>
      </w:pPr>
      <w:r>
        <w:rPr>
          <w:rFonts w:ascii="Arial" w:cs="Arial" w:eastAsia="Arial" w:hAnsi="Arial"/>
          <w:b/>
          <w:bCs/>
          <w:sz w:val="22"/>
          <w:szCs w:val="22"/>
        </w:rPr>
        <w:t xml:space="preserve">Tubular adenoma</w:t>
      </w:r>
      <w:r>
        <w:rPr>
          <w:rFonts w:ascii="Arial" w:cs="Arial" w:eastAsia="Arial" w:hAnsi="Arial"/>
          <w:sz w:val="22"/>
          <w:szCs w:val="22"/>
        </w:rPr>
        <w:t xml:space="preserve"> — the most common type (~80%); tubular glandular architecture; lowest malignant potential.</w:t>
      </w:r>
    </w:p>
    <w:p>
      <w:pPr>
        <w:pStyle w:val="ListParagraph"/>
        <w:numPr>
          <w:ilvl w:val="0"/>
          <w:numId w:val="2"/>
        </w:numPr>
        <w:spacing w:after="80"/>
      </w:pPr>
      <w:r>
        <w:rPr>
          <w:rFonts w:ascii="Arial" w:cs="Arial" w:eastAsia="Arial" w:hAnsi="Arial"/>
          <w:b/>
          <w:bCs/>
          <w:sz w:val="22"/>
          <w:szCs w:val="22"/>
        </w:rPr>
        <w:t xml:space="preserve">Tubulovillous adenoma</w:t>
      </w:r>
      <w:r>
        <w:rPr>
          <w:rFonts w:ascii="Arial" w:cs="Arial" w:eastAsia="Arial" w:hAnsi="Arial"/>
          <w:sz w:val="22"/>
          <w:szCs w:val="22"/>
        </w:rPr>
        <w:t xml:space="preserve"> — mixed architecture; intermediate malignant potential.</w:t>
      </w:r>
    </w:p>
    <w:p>
      <w:pPr>
        <w:pStyle w:val="ListParagraph"/>
        <w:numPr>
          <w:ilvl w:val="0"/>
          <w:numId w:val="2"/>
        </w:numPr>
        <w:spacing w:after="80"/>
      </w:pPr>
      <w:r>
        <w:rPr>
          <w:rFonts w:ascii="Arial" w:cs="Arial" w:eastAsia="Arial" w:hAnsi="Arial"/>
          <w:b/>
          <w:bCs/>
          <w:sz w:val="22"/>
          <w:szCs w:val="22"/>
        </w:rPr>
        <w:t xml:space="preserve">Villous adenoma</w:t>
      </w:r>
      <w:r>
        <w:rPr>
          <w:rFonts w:ascii="Arial" w:cs="Arial" w:eastAsia="Arial" w:hAnsi="Arial"/>
          <w:sz w:val="22"/>
          <w:szCs w:val="22"/>
        </w:rPr>
        <w:t xml:space="preserve"> — finger-like projections; highest malignant potential; often large and sessile.</w:t>
      </w:r>
    </w:p>
    <w:p>
      <w:pPr>
        <w:pStyle w:val="ListParagraph"/>
        <w:numPr>
          <w:ilvl w:val="0"/>
          <w:numId w:val="2"/>
        </w:numPr>
        <w:spacing w:after="80"/>
      </w:pPr>
      <w:r>
        <w:rPr>
          <w:rFonts w:ascii="Arial" w:cs="Arial" w:eastAsia="Arial" w:hAnsi="Arial"/>
          <w:b/>
          <w:bCs/>
          <w:sz w:val="22"/>
          <w:szCs w:val="22"/>
        </w:rPr>
        <w:t xml:space="preserve">Serrated lesion / serrated adenoma</w:t>
      </w:r>
      <w:r>
        <w:rPr>
          <w:rFonts w:ascii="Arial" w:cs="Arial" w:eastAsia="Arial" w:hAnsi="Arial"/>
          <w:sz w:val="22"/>
          <w:szCs w:val="22"/>
        </w:rPr>
        <w:t xml:space="preserve"> — a distinct pathway (the 'serrated pathway') driven by BRAF mutations and CpG island methylation (CIMP), leading to MSI-H tumours. Includes hyperplastic polyps, sessile serrated lesions (SSL), and traditional serrated adenomas (TSA). Serrated lesions are flat and easy to miss at colonoscopy.</w:t>
      </w:r>
    </w:p>
    <w:p>
      <w:pPr>
        <w:pStyle w:val="ListParagraph"/>
        <w:numPr>
          <w:ilvl w:val="0"/>
          <w:numId w:val="2"/>
        </w:numPr>
        <w:spacing w:after="80"/>
      </w:pPr>
      <w:r>
        <w:rPr>
          <w:rFonts w:ascii="Arial" w:cs="Arial" w:eastAsia="Arial" w:hAnsi="Arial"/>
          <w:b/>
          <w:bCs/>
          <w:sz w:val="22"/>
          <w:szCs w:val="22"/>
        </w:rPr>
        <w:t xml:space="preserve">Inflammatory polyp (pseudopolyp)</w:t>
      </w:r>
      <w:r>
        <w:rPr>
          <w:rFonts w:ascii="Arial" w:cs="Arial" w:eastAsia="Arial" w:hAnsi="Arial"/>
          <w:sz w:val="22"/>
          <w:szCs w:val="22"/>
        </w:rPr>
        <w:t xml:space="preserve"> — benign; seen in inflammatory bowel disease (IBD); not premalignant.</w:t>
      </w:r>
    </w:p>
    <w:p>
      <w:pPr>
        <w:pStyle w:val="ListParagraph"/>
        <w:numPr>
          <w:ilvl w:val="0"/>
          <w:numId w:val="2"/>
        </w:numPr>
        <w:spacing w:after="80"/>
      </w:pPr>
      <w:r>
        <w:rPr>
          <w:rFonts w:ascii="Arial" w:cs="Arial" w:eastAsia="Arial" w:hAnsi="Arial"/>
          <w:b/>
          <w:bCs/>
          <w:sz w:val="22"/>
          <w:szCs w:val="22"/>
        </w:rPr>
        <w:t xml:space="preserve">Familial Adenomatous Polyposis (FAP)</w:t>
      </w:r>
      <w:r>
        <w:rPr>
          <w:rFonts w:ascii="Arial" w:cs="Arial" w:eastAsia="Arial" w:hAnsi="Arial"/>
          <w:sz w:val="22"/>
          <w:szCs w:val="22"/>
        </w:rPr>
        <w:t xml:space="preserve"> — a hereditary syndrome (germline APC mutation) causing hundreds to thousands of adenomas, with near-certain progression to cancer by age 40 if untreated.</w:t>
      </w:r>
    </w:p>
    <w:p>
      <w:pPr>
        <w:pStyle w:val="ListParagraph"/>
        <w:numPr>
          <w:ilvl w:val="0"/>
          <w:numId w:val="2"/>
        </w:numPr>
        <w:spacing w:after="80"/>
      </w:pPr>
      <w:r>
        <w:rPr>
          <w:rFonts w:ascii="Arial" w:cs="Arial" w:eastAsia="Arial" w:hAnsi="Arial"/>
          <w:b/>
          <w:bCs/>
          <w:sz w:val="22"/>
          <w:szCs w:val="22"/>
        </w:rPr>
        <w:t xml:space="preserve">Lynch syndrome (HNPCC)</w:t>
      </w:r>
      <w:r>
        <w:rPr>
          <w:rFonts w:ascii="Arial" w:cs="Arial" w:eastAsia="Arial" w:hAnsi="Arial"/>
          <w:sz w:val="22"/>
          <w:szCs w:val="22"/>
        </w:rPr>
        <w:t xml:space="preserve"> — hereditary non-polyposis colorectal cancer; caused by germline mutations in MMR genes (MLH1, MSH2, MSH6, PMS2); produces MSI-H cancers; accounts for ~3–5% of all CRC. Patients also at elevated risk of endometrial, ovarian, gastric, and urinary tract cancers.</w:t>
      </w:r>
    </w:p>
    <w:p>
      <w:pPr>
        <w:spacing w:after="80"/>
      </w:pPr>
      <w:r>
        <w:t xml:space="preserve"/>
      </w:r>
    </w:p>
    <w:p>
      <w:pPr>
        <w:pStyle w:val="Heading2"/>
        <w:spacing w:before="280" w:after="160"/>
      </w:pPr>
      <w:r>
        <w:rPr>
          <w:rFonts w:ascii="Arial" w:cs="Arial" w:eastAsia="Arial" w:hAnsi="Arial"/>
          <w:b/>
          <w:bCs/>
          <w:sz w:val="28"/>
          <w:szCs w:val="28"/>
        </w:rPr>
        <w:t xml:space="preserve">1.3 Epidemiology</w:t>
      </w:r>
    </w:p>
    <w:p>
      <w:pPr>
        <w:spacing w:after="120"/>
      </w:pPr>
      <w:r>
        <w:rPr>
          <w:rFonts w:ascii="Arial" w:cs="Arial" w:eastAsia="Arial" w:hAnsi="Arial"/>
          <w:sz w:val="22"/>
          <w:szCs w:val="22"/>
        </w:rPr>
        <w:t xml:space="preserve">Colorectal cancer (</w:t>
      </w:r>
      <w:r>
        <w:rPr>
          <w:rFonts w:ascii="Arial" w:cs="Arial" w:eastAsia="Arial" w:hAnsi="Arial"/>
          <w:b/>
          <w:bCs/>
          <w:sz w:val="22"/>
          <w:szCs w:val="22"/>
        </w:rPr>
        <w:t xml:space="preserve">CRC</w:t>
      </w:r>
      <w:r>
        <w:rPr>
          <w:rFonts w:ascii="Arial" w:cs="Arial" w:eastAsia="Arial" w:hAnsi="Arial"/>
          <w:sz w:val="22"/>
          <w:szCs w:val="22"/>
        </w:rPr>
        <w:t xml:space="preserve">) is the fourth most common cancer and the second most common cause of cancer death in the United Kingdom.</w:t>
      </w:r>
    </w:p>
    <w:p>
      <w:pPr>
        <w:pStyle w:val="ListParagraph"/>
        <w:numPr>
          <w:ilvl w:val="0"/>
          <w:numId w:val="2"/>
        </w:numPr>
        <w:spacing w:after="80"/>
      </w:pPr>
      <w:r>
        <w:rPr>
          <w:rFonts w:ascii="Arial" w:cs="Arial" w:eastAsia="Arial" w:hAnsi="Arial"/>
          <w:b/>
          <w:bCs/>
          <w:sz w:val="22"/>
          <w:szCs w:val="22"/>
        </w:rPr>
        <w:t xml:space="preserve">Incidence</w:t>
      </w:r>
      <w:r>
        <w:rPr>
          <w:rFonts w:ascii="Arial" w:cs="Arial" w:eastAsia="Arial" w:hAnsi="Arial"/>
          <w:sz w:val="22"/>
          <w:szCs w:val="22"/>
        </w:rPr>
        <w:t xml:space="preserve">: approximately 42,000 new cases per year in the UK (2020 data, Cancer Research UK). Lifetime risk approximately 1 in 15 for men, 1 in 18 for women.</w:t>
      </w:r>
    </w:p>
    <w:p>
      <w:pPr>
        <w:pStyle w:val="ListParagraph"/>
        <w:numPr>
          <w:ilvl w:val="0"/>
          <w:numId w:val="2"/>
        </w:numPr>
        <w:spacing w:after="80"/>
      </w:pPr>
      <w:r>
        <w:rPr>
          <w:rFonts w:ascii="Arial" w:cs="Arial" w:eastAsia="Arial" w:hAnsi="Arial"/>
          <w:b/>
          <w:bCs/>
          <w:sz w:val="22"/>
          <w:szCs w:val="22"/>
        </w:rPr>
        <w:t xml:space="preserve">Age</w:t>
      </w:r>
      <w:r>
        <w:rPr>
          <w:rFonts w:ascii="Arial" w:cs="Arial" w:eastAsia="Arial" w:hAnsi="Arial"/>
          <w:sz w:val="22"/>
          <w:szCs w:val="22"/>
        </w:rPr>
        <w:t xml:space="preserve">: median age at diagnosis is 72 years. Around 94% of cases occur in people over 50.</w:t>
      </w:r>
    </w:p>
    <w:p>
      <w:pPr>
        <w:pStyle w:val="ListParagraph"/>
        <w:numPr>
          <w:ilvl w:val="0"/>
          <w:numId w:val="2"/>
        </w:numPr>
        <w:spacing w:after="80"/>
      </w:pPr>
      <w:r>
        <w:rPr>
          <w:rFonts w:ascii="Arial" w:cs="Arial" w:eastAsia="Arial" w:hAnsi="Arial"/>
          <w:b/>
          <w:bCs/>
          <w:sz w:val="22"/>
          <w:szCs w:val="22"/>
        </w:rPr>
        <w:t xml:space="preserve">Sex</w:t>
      </w:r>
      <w:r>
        <w:rPr>
          <w:rFonts w:ascii="Arial" w:cs="Arial" w:eastAsia="Arial" w:hAnsi="Arial"/>
          <w:sz w:val="22"/>
          <w:szCs w:val="22"/>
        </w:rPr>
        <w:t xml:space="preserve">: slight male predominance overall, but right-sided cancers are more common in women.</w:t>
      </w:r>
    </w:p>
    <w:p>
      <w:pPr>
        <w:pStyle w:val="ListParagraph"/>
        <w:numPr>
          <w:ilvl w:val="0"/>
          <w:numId w:val="2"/>
        </w:numPr>
        <w:spacing w:after="80"/>
      </w:pPr>
      <w:r>
        <w:rPr>
          <w:rFonts w:ascii="Arial" w:cs="Arial" w:eastAsia="Arial" w:hAnsi="Arial"/>
          <w:b/>
          <w:bCs/>
          <w:sz w:val="22"/>
          <w:szCs w:val="22"/>
        </w:rPr>
        <w:t xml:space="preserve">5-year survival</w:t>
      </w:r>
      <w:r>
        <w:rPr>
          <w:rFonts w:ascii="Arial" w:cs="Arial" w:eastAsia="Arial" w:hAnsi="Arial"/>
          <w:sz w:val="22"/>
          <w:szCs w:val="22"/>
        </w:rPr>
        <w:t xml:space="preserve">: Stage I ~90%, Stage II ~75%, Stage III ~60%, Stage IV ~10%. Early detection is the single most powerful determinant of outcome.</w:t>
      </w:r>
    </w:p>
    <w:p>
      <w:pPr>
        <w:spacing w:after="80"/>
      </w:pPr>
      <w:r>
        <w:t xml:space="preserve"/>
      </w:r>
    </w:p>
    <w:p>
      <w:pPr>
        <w:spacing w:after="120"/>
      </w:pPr>
      <w:r>
        <w:rPr>
          <w:rFonts w:ascii="Arial" w:cs="Arial" w:eastAsia="Arial" w:hAnsi="Arial"/>
          <w:b/>
          <w:bCs/>
          <w:sz w:val="22"/>
          <w:szCs w:val="22"/>
        </w:rPr>
        <w:t xml:space="preserve">Risk factors</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Age (risk rises sharply after 50)</w:t>
      </w:r>
    </w:p>
    <w:p>
      <w:pPr>
        <w:pStyle w:val="ListParagraph"/>
        <w:numPr>
          <w:ilvl w:val="0"/>
          <w:numId w:val="2"/>
        </w:numPr>
        <w:spacing w:after="80"/>
      </w:pPr>
      <w:r>
        <w:rPr>
          <w:rFonts w:ascii="Arial" w:cs="Arial" w:eastAsia="Arial" w:hAnsi="Arial"/>
          <w:sz w:val="22"/>
          <w:szCs w:val="22"/>
        </w:rPr>
        <w:t xml:space="preserve">Red and processed meat consumption</w:t>
      </w:r>
    </w:p>
    <w:p>
      <w:pPr>
        <w:pStyle w:val="ListParagraph"/>
        <w:numPr>
          <w:ilvl w:val="0"/>
          <w:numId w:val="2"/>
        </w:numPr>
        <w:spacing w:after="80"/>
      </w:pPr>
      <w:r>
        <w:rPr>
          <w:rFonts w:ascii="Arial" w:cs="Arial" w:eastAsia="Arial" w:hAnsi="Arial"/>
          <w:sz w:val="22"/>
          <w:szCs w:val="22"/>
        </w:rPr>
        <w:t xml:space="preserve">Obesity and physical inactivity</w:t>
      </w:r>
    </w:p>
    <w:p>
      <w:pPr>
        <w:pStyle w:val="ListParagraph"/>
        <w:numPr>
          <w:ilvl w:val="0"/>
          <w:numId w:val="2"/>
        </w:numPr>
        <w:spacing w:after="80"/>
      </w:pPr>
      <w:r>
        <w:rPr>
          <w:rFonts w:ascii="Arial" w:cs="Arial" w:eastAsia="Arial" w:hAnsi="Arial"/>
          <w:sz w:val="22"/>
          <w:szCs w:val="22"/>
        </w:rPr>
        <w:t xml:space="preserve">Alcohol consumption</w:t>
      </w:r>
    </w:p>
    <w:p>
      <w:pPr>
        <w:pStyle w:val="ListParagraph"/>
        <w:numPr>
          <w:ilvl w:val="0"/>
          <w:numId w:val="2"/>
        </w:numPr>
        <w:spacing w:after="80"/>
      </w:pPr>
      <w:r>
        <w:rPr>
          <w:rFonts w:ascii="Arial" w:cs="Arial" w:eastAsia="Arial" w:hAnsi="Arial"/>
          <w:sz w:val="22"/>
          <w:szCs w:val="22"/>
        </w:rPr>
        <w:t xml:space="preserve">Smoking</w:t>
      </w:r>
    </w:p>
    <w:p>
      <w:pPr>
        <w:pStyle w:val="ListParagraph"/>
        <w:numPr>
          <w:ilvl w:val="0"/>
          <w:numId w:val="2"/>
        </w:numPr>
        <w:spacing w:after="80"/>
      </w:pPr>
      <w:r>
        <w:rPr>
          <w:rFonts w:ascii="Arial" w:cs="Arial" w:eastAsia="Arial" w:hAnsi="Arial"/>
          <w:sz w:val="22"/>
          <w:szCs w:val="22"/>
        </w:rPr>
        <w:t xml:space="preserve">Type 2 diabetes mellitus</w:t>
      </w:r>
    </w:p>
    <w:p>
      <w:pPr>
        <w:pStyle w:val="ListParagraph"/>
        <w:numPr>
          <w:ilvl w:val="0"/>
          <w:numId w:val="2"/>
        </w:numPr>
        <w:spacing w:after="80"/>
      </w:pPr>
      <w:r>
        <w:rPr>
          <w:rFonts w:ascii="Arial" w:cs="Arial" w:eastAsia="Arial" w:hAnsi="Arial"/>
          <w:sz w:val="22"/>
          <w:szCs w:val="22"/>
        </w:rPr>
        <w:t xml:space="preserve">Inflammatory bowel disease (Crohn's disease and ulcerative colitis) — risk proportional to disease extent and duration</w:t>
      </w:r>
    </w:p>
    <w:p>
      <w:pPr>
        <w:pStyle w:val="ListParagraph"/>
        <w:numPr>
          <w:ilvl w:val="0"/>
          <w:numId w:val="2"/>
        </w:numPr>
        <w:spacing w:after="80"/>
      </w:pPr>
      <w:r>
        <w:rPr>
          <w:rFonts w:ascii="Arial" w:cs="Arial" w:eastAsia="Arial" w:hAnsi="Arial"/>
          <w:sz w:val="22"/>
          <w:szCs w:val="22"/>
        </w:rPr>
        <w:t xml:space="preserve">Previous colorectal adenomas — especially large (&gt;10mm), multiple, or high-grade</w:t>
      </w:r>
    </w:p>
    <w:p>
      <w:pPr>
        <w:pStyle w:val="ListParagraph"/>
        <w:numPr>
          <w:ilvl w:val="0"/>
          <w:numId w:val="2"/>
        </w:numPr>
        <w:spacing w:after="80"/>
      </w:pPr>
      <w:r>
        <w:rPr>
          <w:rFonts w:ascii="Arial" w:cs="Arial" w:eastAsia="Arial" w:hAnsi="Arial"/>
          <w:sz w:val="22"/>
          <w:szCs w:val="22"/>
        </w:rPr>
        <w:t xml:space="preserve">Family history of CRC (first-degree relative increases risk ~2-fold)</w:t>
      </w:r>
    </w:p>
    <w:p>
      <w:pPr>
        <w:pStyle w:val="ListParagraph"/>
        <w:numPr>
          <w:ilvl w:val="0"/>
          <w:numId w:val="2"/>
        </w:numPr>
        <w:spacing w:after="80"/>
      </w:pPr>
      <w:r>
        <w:rPr>
          <w:rFonts w:ascii="Arial" w:cs="Arial" w:eastAsia="Arial" w:hAnsi="Arial"/>
          <w:sz w:val="22"/>
          <w:szCs w:val="22"/>
        </w:rPr>
        <w:t xml:space="preserve">Hereditary syndromes: Lynch syndrome, FAP, MUTYH-associated polyposis, Peutz-Jeghers syndrome</w:t>
      </w:r>
    </w:p>
    <w:p>
      <w:pPr>
        <w:pStyle w:val="ListParagraph"/>
        <w:numPr>
          <w:ilvl w:val="0"/>
          <w:numId w:val="2"/>
        </w:numPr>
        <w:spacing w:after="80"/>
      </w:pPr>
      <w:r>
        <w:rPr>
          <w:rFonts w:ascii="Arial" w:cs="Arial" w:eastAsia="Arial" w:hAnsi="Arial"/>
          <w:sz w:val="22"/>
          <w:szCs w:val="22"/>
        </w:rPr>
        <w:t xml:space="preserve">Previous radiotherapy to the pelvis</w:t>
      </w:r>
    </w:p>
    <w:p>
      <w:pPr>
        <w:spacing w:after="80"/>
      </w:pPr>
      <w:r>
        <w:t xml:space="preserve"/>
      </w:r>
    </w:p>
    <w:p>
      <w:pPr>
        <w:spacing w:after="120"/>
      </w:pPr>
      <w:r>
        <w:rPr>
          <w:rFonts w:ascii="Arial" w:cs="Arial" w:eastAsia="Arial" w:hAnsi="Arial"/>
          <w:b/>
          <w:bCs/>
          <w:sz w:val="22"/>
          <w:szCs w:val="22"/>
        </w:rPr>
        <w:t xml:space="preserve">Protective factors</w:t>
      </w:r>
      <w:r>
        <w:rPr>
          <w:rFonts w:ascii="Arial" w:cs="Arial" w:eastAsia="Arial" w:hAnsi="Arial"/>
          <w:sz w:val="22"/>
          <w:szCs w:val="22"/>
        </w:rPr>
        <w:t xml:space="preserve">: aspirin (strong evidence, especially in Lynch syndrome), NSAIDs, dietary fibre, physical activity, hormone replacement therapy (modest).</w:t>
      </w:r>
    </w:p>
    <w:p>
      <w:pPr>
        <w:spacing w:after="80"/>
      </w:pPr>
      <w:r>
        <w:t xml:space="preserve"/>
      </w:r>
    </w:p>
    <w:p>
      <w:pPr>
        <w:spacing w:after="120"/>
      </w:pPr>
      <w:r>
        <w:rPr>
          <w:rFonts w:ascii="Arial" w:cs="Arial" w:eastAsia="Arial" w:hAnsi="Arial"/>
          <w:b/>
          <w:bCs/>
          <w:sz w:val="22"/>
          <w:szCs w:val="22"/>
        </w:rPr>
        <w:t xml:space="preserve">Screening rationale</w:t>
      </w:r>
      <w:r>
        <w:rPr>
          <w:rFonts w:ascii="Arial" w:cs="Arial" w:eastAsia="Arial" w:hAnsi="Arial"/>
          <w:sz w:val="22"/>
          <w:szCs w:val="22"/>
        </w:rPr>
        <w:t xml:space="preserve">: Population-based screening is justified because the adenoma-carcinoma sequence takes over a decade, giving a long window for detection and removal of precancerous lesions, and because stage at diagnosis strongly predicts survival. The NHS Bowel Cancer Screening Programme (BCSP) uses faecal immunochemical testing (FIT) in people aged 50–74 in England.</w:t>
      </w:r>
    </w:p>
    <w:p>
      <w:pPr>
        <w:spacing w:after="80"/>
      </w:pPr>
      <w:r>
        <w:t xml:space="preserve"/>
      </w:r>
    </w:p>
    <w:p>
      <w:pPr>
        <w:pStyle w:val="Heading2"/>
        <w:spacing w:before="280" w:after="160"/>
      </w:pPr>
      <w:r>
        <w:rPr>
          <w:rFonts w:ascii="Arial" w:cs="Arial" w:eastAsia="Arial" w:hAnsi="Arial"/>
          <w:b/>
          <w:bCs/>
          <w:sz w:val="28"/>
          <w:szCs w:val="28"/>
        </w:rPr>
        <w:t xml:space="preserve">1.4 Histological Subtypes</w:t>
      </w:r>
    </w:p>
    <w:p>
      <w:pPr>
        <w:spacing w:after="120"/>
      </w:pPr>
      <w:r>
        <w:rPr>
          <w:rFonts w:ascii="Arial" w:cs="Arial" w:eastAsia="Arial" w:hAnsi="Arial"/>
          <w:b/>
          <w:bCs/>
          <w:sz w:val="22"/>
          <w:szCs w:val="22"/>
        </w:rPr>
        <w:t xml:space="preserve">Adenocarcinoma</w:t>
      </w:r>
      <w:r>
        <w:rPr>
          <w:rFonts w:ascii="Arial" w:cs="Arial" w:eastAsia="Arial" w:hAnsi="Arial"/>
          <w:sz w:val="22"/>
          <w:szCs w:val="22"/>
        </w:rPr>
        <w:t xml:space="preserve"> accounts for approximately 95% of all colorectal malignancies. It arises from the glandular epithelium of the bowel wall. When a clinician or report says 'colorectal cancer' without further qualification, they almost always mean adenocarcinoma.</w:t>
      </w:r>
    </w:p>
    <w:p>
      <w:pPr>
        <w:spacing w:after="80"/>
      </w:pPr>
      <w:r>
        <w:t xml:space="preserve"/>
      </w:r>
    </w:p>
    <w:p>
      <w:pPr>
        <w:spacing w:after="120"/>
      </w:pPr>
      <w:r>
        <w:rPr>
          <w:rFonts w:ascii="Arial" w:cs="Arial" w:eastAsia="Arial" w:hAnsi="Arial"/>
          <w:sz w:val="22"/>
          <w:szCs w:val="22"/>
        </w:rPr>
        <w:t xml:space="preserve">Other histological subtypes encountered in practice:</w:t>
      </w:r>
    </w:p>
    <w:p>
      <w:pPr>
        <w:pStyle w:val="ListParagraph"/>
        <w:numPr>
          <w:ilvl w:val="0"/>
          <w:numId w:val="2"/>
        </w:numPr>
        <w:spacing w:after="80"/>
      </w:pPr>
      <w:r>
        <w:rPr>
          <w:rFonts w:ascii="Arial" w:cs="Arial" w:eastAsia="Arial" w:hAnsi="Arial"/>
          <w:b/>
          <w:bCs/>
          <w:sz w:val="22"/>
          <w:szCs w:val="22"/>
        </w:rPr>
        <w:t xml:space="preserve">Mucinous adenocarcinoma</w:t>
      </w:r>
      <w:r>
        <w:rPr>
          <w:rFonts w:ascii="Arial" w:cs="Arial" w:eastAsia="Arial" w:hAnsi="Arial"/>
          <w:sz w:val="22"/>
          <w:szCs w:val="22"/>
        </w:rPr>
        <w:t xml:space="preserve"> — defined as &gt;50% extracellular mucin pools. Accounts for ~10–15% of CRC. More often right-sided and MSI-H. May have a better prognosis in MSI-H and a worse prognosis in microsatellite stable (MSS) disease. Can appear gelatinous or 'jelly-like' on imaging.</w:t>
      </w:r>
    </w:p>
    <w:p>
      <w:pPr>
        <w:pStyle w:val="ListParagraph"/>
        <w:numPr>
          <w:ilvl w:val="0"/>
          <w:numId w:val="2"/>
        </w:numPr>
        <w:spacing w:after="80"/>
      </w:pPr>
      <w:r>
        <w:rPr>
          <w:rFonts w:ascii="Arial" w:cs="Arial" w:eastAsia="Arial" w:hAnsi="Arial"/>
          <w:b/>
          <w:bCs/>
          <w:sz w:val="22"/>
          <w:szCs w:val="22"/>
        </w:rPr>
        <w:t xml:space="preserve">Signet ring cell carcinoma</w:t>
      </w:r>
      <w:r>
        <w:rPr>
          <w:rFonts w:ascii="Arial" w:cs="Arial" w:eastAsia="Arial" w:hAnsi="Arial"/>
          <w:sz w:val="22"/>
          <w:szCs w:val="22"/>
        </w:rPr>
        <w:t xml:space="preserve"> — defined as &gt;50% signet ring cells (single tumour cells with abundant intracytoplasmic mucin displacing the nucleus to the periphery). Associated with aggressive behaviour, frequent peritoneal spread, and poor prognosis. Important to recognise because it alters management.</w:t>
      </w:r>
    </w:p>
    <w:p>
      <w:pPr>
        <w:pStyle w:val="ListParagraph"/>
        <w:numPr>
          <w:ilvl w:val="0"/>
          <w:numId w:val="2"/>
        </w:numPr>
        <w:spacing w:after="80"/>
      </w:pPr>
      <w:r>
        <w:rPr>
          <w:rFonts w:ascii="Arial" w:cs="Arial" w:eastAsia="Arial" w:hAnsi="Arial"/>
          <w:b/>
          <w:bCs/>
          <w:sz w:val="22"/>
          <w:szCs w:val="22"/>
        </w:rPr>
        <w:t xml:space="preserve">Serrated adenocarcinoma</w:t>
      </w:r>
      <w:r>
        <w:rPr>
          <w:rFonts w:ascii="Arial" w:cs="Arial" w:eastAsia="Arial" w:hAnsi="Arial"/>
          <w:sz w:val="22"/>
          <w:szCs w:val="22"/>
        </w:rPr>
        <w:t xml:space="preserve"> — arising via the serrated polyp pathway; distinct molecular profile.</w:t>
      </w:r>
    </w:p>
    <w:p>
      <w:pPr>
        <w:pStyle w:val="ListParagraph"/>
        <w:numPr>
          <w:ilvl w:val="0"/>
          <w:numId w:val="2"/>
        </w:numPr>
        <w:spacing w:after="80"/>
      </w:pPr>
      <w:r>
        <w:rPr>
          <w:rFonts w:ascii="Arial" w:cs="Arial" w:eastAsia="Arial" w:hAnsi="Arial"/>
          <w:b/>
          <w:bCs/>
          <w:sz w:val="22"/>
          <w:szCs w:val="22"/>
        </w:rPr>
        <w:t xml:space="preserve">Medullary carcinoma</w:t>
      </w:r>
      <w:r>
        <w:rPr>
          <w:rFonts w:ascii="Arial" w:cs="Arial" w:eastAsia="Arial" w:hAnsi="Arial"/>
          <w:sz w:val="22"/>
          <w:szCs w:val="22"/>
        </w:rPr>
        <w:t xml:space="preserve"> — solid sheets of cells with prominent lymphocytic infiltration; almost always MSI-H; associated with a relatively good prognosis despite poorly differentiated appearance.</w:t>
      </w:r>
    </w:p>
    <w:p>
      <w:pPr>
        <w:pStyle w:val="ListParagraph"/>
        <w:numPr>
          <w:ilvl w:val="0"/>
          <w:numId w:val="2"/>
        </w:numPr>
        <w:spacing w:after="80"/>
      </w:pPr>
      <w:r>
        <w:rPr>
          <w:rFonts w:ascii="Arial" w:cs="Arial" w:eastAsia="Arial" w:hAnsi="Arial"/>
          <w:b/>
          <w:bCs/>
          <w:sz w:val="22"/>
          <w:szCs w:val="22"/>
        </w:rPr>
        <w:t xml:space="preserve">Adenosquamous carcinoma</w:t>
      </w:r>
      <w:r>
        <w:rPr>
          <w:rFonts w:ascii="Arial" w:cs="Arial" w:eastAsia="Arial" w:hAnsi="Arial"/>
          <w:sz w:val="22"/>
          <w:szCs w:val="22"/>
        </w:rPr>
        <w:t xml:space="preserve"> — rare mixed glandular and squamous differentiation.</w:t>
      </w:r>
    </w:p>
    <w:p>
      <w:pPr>
        <w:pStyle w:val="ListParagraph"/>
        <w:numPr>
          <w:ilvl w:val="0"/>
          <w:numId w:val="2"/>
        </w:numPr>
        <w:spacing w:after="80"/>
      </w:pPr>
      <w:r>
        <w:rPr>
          <w:rFonts w:ascii="Arial" w:cs="Arial" w:eastAsia="Arial" w:hAnsi="Arial"/>
          <w:b/>
          <w:bCs/>
          <w:sz w:val="22"/>
          <w:szCs w:val="22"/>
        </w:rPr>
        <w:t xml:space="preserve">Squamous cell carcinoma of the colon</w:t>
      </w:r>
      <w:r>
        <w:rPr>
          <w:rFonts w:ascii="Arial" w:cs="Arial" w:eastAsia="Arial" w:hAnsi="Arial"/>
          <w:sz w:val="22"/>
          <w:szCs w:val="22"/>
        </w:rPr>
        <w:t xml:space="preserve"> — very rare; to be distinguished from anal canal squamous cell carcinoma.</w:t>
      </w:r>
    </w:p>
    <w:p>
      <w:pPr>
        <w:pStyle w:val="ListParagraph"/>
        <w:numPr>
          <w:ilvl w:val="0"/>
          <w:numId w:val="2"/>
        </w:numPr>
        <w:spacing w:after="80"/>
      </w:pPr>
      <w:r>
        <w:rPr>
          <w:rFonts w:ascii="Arial" w:cs="Arial" w:eastAsia="Arial" w:hAnsi="Arial"/>
          <w:b/>
          <w:bCs/>
          <w:sz w:val="22"/>
          <w:szCs w:val="22"/>
        </w:rPr>
        <w:t xml:space="preserve">Neuroendocrine tumours / carcinoids</w:t>
      </w:r>
      <w:r>
        <w:rPr>
          <w:rFonts w:ascii="Arial" w:cs="Arial" w:eastAsia="Arial" w:hAnsi="Arial"/>
          <w:sz w:val="22"/>
          <w:szCs w:val="22"/>
        </w:rPr>
        <w:t xml:space="preserve"> — arise from neuroendocrine cells; managed differently from adenocarcinoma; the appendix and rectum are the most common colonic sites.</w:t>
      </w:r>
    </w:p>
    <w:p>
      <w:pPr>
        <w:pStyle w:val="ListParagraph"/>
        <w:numPr>
          <w:ilvl w:val="0"/>
          <w:numId w:val="2"/>
        </w:numPr>
        <w:spacing w:after="80"/>
      </w:pPr>
      <w:r>
        <w:rPr>
          <w:rFonts w:ascii="Arial" w:cs="Arial" w:eastAsia="Arial" w:hAnsi="Arial"/>
          <w:b/>
          <w:bCs/>
          <w:sz w:val="22"/>
          <w:szCs w:val="22"/>
        </w:rPr>
        <w:t xml:space="preserve">Gastrointestinal stromal tumours (GISTs)</w:t>
      </w:r>
      <w:r>
        <w:rPr>
          <w:rFonts w:ascii="Arial" w:cs="Arial" w:eastAsia="Arial" w:hAnsi="Arial"/>
          <w:sz w:val="22"/>
          <w:szCs w:val="22"/>
        </w:rPr>
        <w:t xml:space="preserve"> — arise from interstitial cells of Cajal; not epithelial; managed with imatinib (Gleevec) for advanced disease.</w:t>
      </w:r>
    </w:p>
    <w:p>
      <w:pPr>
        <w:spacing w:after="80"/>
      </w:pPr>
      <w:r>
        <w:t xml:space="preserve"/>
      </w:r>
    </w:p>
    <w:p>
      <w:pPr>
        <w:pStyle w:val="Heading2"/>
        <w:spacing w:before="280" w:after="160"/>
      </w:pPr>
      <w:r>
        <w:rPr>
          <w:rFonts w:ascii="Arial" w:cs="Arial" w:eastAsia="Arial" w:hAnsi="Arial"/>
          <w:b/>
          <w:bCs/>
          <w:sz w:val="28"/>
          <w:szCs w:val="28"/>
        </w:rPr>
        <w:t xml:space="preserve">1.5 Differentiation Grades</w:t>
      </w:r>
    </w:p>
    <w:p>
      <w:pPr>
        <w:spacing w:after="120"/>
      </w:pPr>
      <w:r>
        <w:rPr>
          <w:rFonts w:ascii="Arial" w:cs="Arial" w:eastAsia="Arial" w:hAnsi="Arial"/>
          <w:sz w:val="22"/>
          <w:szCs w:val="22"/>
        </w:rPr>
        <w:t xml:space="preserve">Differentiation (also called 'grade') reflects how closely the cancer cells resemble normal colonic glandular epithelium. It is reported by the pathologist and appears in every histopathology report:</w:t>
      </w:r>
    </w:p>
    <w:p>
      <w:pPr>
        <w:pStyle w:val="ListParagraph"/>
        <w:numPr>
          <w:ilvl w:val="0"/>
          <w:numId w:val="2"/>
        </w:numPr>
        <w:spacing w:after="80"/>
      </w:pPr>
      <w:r>
        <w:rPr>
          <w:rFonts w:ascii="Arial" w:cs="Arial" w:eastAsia="Arial" w:hAnsi="Arial"/>
          <w:b/>
          <w:bCs/>
          <w:sz w:val="22"/>
          <w:szCs w:val="22"/>
        </w:rPr>
        <w:t xml:space="preserve">Well differentiated (Grade 1, G1)</w:t>
      </w:r>
      <w:r>
        <w:rPr>
          <w:rFonts w:ascii="Arial" w:cs="Arial" w:eastAsia="Arial" w:hAnsi="Arial"/>
          <w:sz w:val="22"/>
          <w:szCs w:val="22"/>
        </w:rPr>
        <w:t xml:space="preserve"> — glands clearly formed; cells closely resemble normal mucosa; lowest grade. Often associated with better prognosis.</w:t>
      </w:r>
    </w:p>
    <w:p>
      <w:pPr>
        <w:pStyle w:val="ListParagraph"/>
        <w:numPr>
          <w:ilvl w:val="0"/>
          <w:numId w:val="2"/>
        </w:numPr>
        <w:spacing w:after="80"/>
      </w:pPr>
      <w:r>
        <w:rPr>
          <w:rFonts w:ascii="Arial" w:cs="Arial" w:eastAsia="Arial" w:hAnsi="Arial"/>
          <w:b/>
          <w:bCs/>
          <w:sz w:val="22"/>
          <w:szCs w:val="22"/>
        </w:rPr>
        <w:t xml:space="preserve">Moderately differentiated (Grade 2, G2)</w:t>
      </w:r>
      <w:r>
        <w:rPr>
          <w:rFonts w:ascii="Arial" w:cs="Arial" w:eastAsia="Arial" w:hAnsi="Arial"/>
          <w:sz w:val="22"/>
          <w:szCs w:val="22"/>
        </w:rPr>
        <w:t xml:space="preserve"> — glands still recognisable but with more architectural irregularity and cellular atypia. The most common grade reported.</w:t>
      </w:r>
    </w:p>
    <w:p>
      <w:pPr>
        <w:pStyle w:val="ListParagraph"/>
        <w:numPr>
          <w:ilvl w:val="0"/>
          <w:numId w:val="2"/>
        </w:numPr>
        <w:spacing w:after="80"/>
      </w:pPr>
      <w:r>
        <w:rPr>
          <w:rFonts w:ascii="Arial" w:cs="Arial" w:eastAsia="Arial" w:hAnsi="Arial"/>
          <w:b/>
          <w:bCs/>
          <w:sz w:val="22"/>
          <w:szCs w:val="22"/>
        </w:rPr>
        <w:t xml:space="preserve">Poorly differentiated (Grade 3, G3)</w:t>
      </w:r>
      <w:r>
        <w:rPr>
          <w:rFonts w:ascii="Arial" w:cs="Arial" w:eastAsia="Arial" w:hAnsi="Arial"/>
          <w:sz w:val="22"/>
          <w:szCs w:val="22"/>
        </w:rPr>
        <w:t xml:space="preserve"> — few or no glands; high nuclear-to-cytoplasmic ratio; marked atypia; worse prognosis. Signet ring and medullary variants are classified here by default, though medullary carries a paradoxically better prognosis.</w:t>
      </w:r>
    </w:p>
    <w:p>
      <w:pPr>
        <w:pStyle w:val="ListParagraph"/>
        <w:numPr>
          <w:ilvl w:val="0"/>
          <w:numId w:val="2"/>
        </w:numPr>
        <w:spacing w:after="80"/>
      </w:pPr>
      <w:r>
        <w:rPr>
          <w:rFonts w:ascii="Arial" w:cs="Arial" w:eastAsia="Arial" w:hAnsi="Arial"/>
          <w:b/>
          <w:bCs/>
          <w:sz w:val="22"/>
          <w:szCs w:val="22"/>
        </w:rPr>
        <w:t xml:space="preserve">Undifferentiated (Grade 4)</w:t>
      </w:r>
      <w:r>
        <w:rPr>
          <w:rFonts w:ascii="Arial" w:cs="Arial" w:eastAsia="Arial" w:hAnsi="Arial"/>
          <w:sz w:val="22"/>
          <w:szCs w:val="22"/>
        </w:rPr>
        <w:t xml:space="preserve"> — no glandular features; extremely aggressive; rare.</w:t>
      </w:r>
    </w:p>
    <w:p>
      <w:pPr>
        <w:spacing w:after="120"/>
      </w:pPr>
      <w:r>
        <w:rPr>
          <w:rFonts w:ascii="Arial" w:cs="Arial" w:eastAsia="Arial" w:hAnsi="Arial"/>
          <w:sz w:val="22"/>
          <w:szCs w:val="22"/>
        </w:rPr>
        <w:t xml:space="preserve">Note that in contemporary pathology, a two-tier system (low-grade = G1+G2; high-grade = G3+G4) is increasingly used and recommended by the WHO.</w:t>
      </w:r>
    </w:p>
    <w:p>
      <w:pPr>
        <w:spacing w:after="80"/>
      </w:pPr>
      <w:r>
        <w:t xml:space="preserve"/>
      </w:r>
    </w:p>
    <w:p>
      <w:pPr>
        <w:pStyle w:val="Heading2"/>
        <w:spacing w:before="280" w:after="160"/>
      </w:pPr>
      <w:r>
        <w:rPr>
          <w:rFonts w:ascii="Arial" w:cs="Arial" w:eastAsia="Arial" w:hAnsi="Arial"/>
          <w:b/>
          <w:bCs/>
          <w:sz w:val="28"/>
          <w:szCs w:val="28"/>
        </w:rPr>
        <w:t xml:space="preserve">1.6 ICD-10 Codes for Colorectal Cancer</w:t>
      </w:r>
    </w:p>
    <w:p>
      <w:pPr>
        <w:spacing w:after="120"/>
      </w:pPr>
      <w:r>
        <w:rPr>
          <w:rFonts w:ascii="Arial" w:cs="Arial" w:eastAsia="Arial" w:hAnsi="Arial"/>
          <w:sz w:val="22"/>
          <w:szCs w:val="22"/>
        </w:rPr>
        <w:t xml:space="preserve">ICD-10 codes appear in administrative datasets, cancer registries, and electronic health records. For MDT data projects, these codes are often how cases are identified in hospital information systems:</w:t>
      </w:r>
    </w:p>
    <w:p>
      <w:pPr>
        <w:pStyle w:val="ListParagraph"/>
        <w:numPr>
          <w:ilvl w:val="0"/>
          <w:numId w:val="2"/>
        </w:numPr>
        <w:spacing w:after="80"/>
      </w:pPr>
      <w:r>
        <w:rPr>
          <w:rFonts w:ascii="Arial" w:cs="Arial" w:eastAsia="Arial" w:hAnsi="Arial"/>
          <w:b/>
          <w:bCs/>
          <w:sz w:val="22"/>
          <w:szCs w:val="22"/>
        </w:rPr>
        <w:t xml:space="preserve">C18</w:t>
      </w:r>
      <w:r>
        <w:rPr>
          <w:rFonts w:ascii="Arial" w:cs="Arial" w:eastAsia="Arial" w:hAnsi="Arial"/>
          <w:sz w:val="22"/>
          <w:szCs w:val="22"/>
        </w:rPr>
        <w:t xml:space="preserve"> — Malignant neoplasm of colon</w:t>
      </w:r>
    </w:p>
    <w:p>
      <w:pPr>
        <w:pStyle w:val="ListParagraph"/>
        <w:numPr>
          <w:ilvl w:val="0"/>
          <w:numId w:val="2"/>
        </w:numPr>
        <w:spacing w:after="80"/>
      </w:pPr>
      <w:r>
        <w:rPr>
          <w:rFonts w:ascii="Arial" w:cs="Arial" w:eastAsia="Arial" w:hAnsi="Arial"/>
          <w:b/>
          <w:bCs/>
          <w:sz w:val="22"/>
          <w:szCs w:val="22"/>
        </w:rPr>
        <w:t xml:space="preserve">C18.0</w:t>
      </w:r>
      <w:r>
        <w:rPr>
          <w:rFonts w:ascii="Arial" w:cs="Arial" w:eastAsia="Arial" w:hAnsi="Arial"/>
          <w:sz w:val="22"/>
          <w:szCs w:val="22"/>
        </w:rPr>
        <w:t xml:space="preserve"> — Caecum</w:t>
      </w:r>
    </w:p>
    <w:p>
      <w:pPr>
        <w:pStyle w:val="ListParagraph"/>
        <w:numPr>
          <w:ilvl w:val="0"/>
          <w:numId w:val="2"/>
        </w:numPr>
        <w:spacing w:after="80"/>
      </w:pPr>
      <w:r>
        <w:rPr>
          <w:rFonts w:ascii="Arial" w:cs="Arial" w:eastAsia="Arial" w:hAnsi="Arial"/>
          <w:b/>
          <w:bCs/>
          <w:sz w:val="22"/>
          <w:szCs w:val="22"/>
        </w:rPr>
        <w:t xml:space="preserve">C18.1</w:t>
      </w:r>
      <w:r>
        <w:rPr>
          <w:rFonts w:ascii="Arial" w:cs="Arial" w:eastAsia="Arial" w:hAnsi="Arial"/>
          <w:sz w:val="22"/>
          <w:szCs w:val="22"/>
        </w:rPr>
        <w:t xml:space="preserve"> — Appendix (for primary appendiceal adenocarcinoma)</w:t>
      </w:r>
    </w:p>
    <w:p>
      <w:pPr>
        <w:pStyle w:val="ListParagraph"/>
        <w:numPr>
          <w:ilvl w:val="0"/>
          <w:numId w:val="2"/>
        </w:numPr>
        <w:spacing w:after="80"/>
      </w:pPr>
      <w:r>
        <w:rPr>
          <w:rFonts w:ascii="Arial" w:cs="Arial" w:eastAsia="Arial" w:hAnsi="Arial"/>
          <w:b/>
          <w:bCs/>
          <w:sz w:val="22"/>
          <w:szCs w:val="22"/>
        </w:rPr>
        <w:t xml:space="preserve">C18.2</w:t>
      </w:r>
      <w:r>
        <w:rPr>
          <w:rFonts w:ascii="Arial" w:cs="Arial" w:eastAsia="Arial" w:hAnsi="Arial"/>
          <w:sz w:val="22"/>
          <w:szCs w:val="22"/>
        </w:rPr>
        <w:t xml:space="preserve"> — Ascending colon</w:t>
      </w:r>
    </w:p>
    <w:p>
      <w:pPr>
        <w:pStyle w:val="ListParagraph"/>
        <w:numPr>
          <w:ilvl w:val="0"/>
          <w:numId w:val="2"/>
        </w:numPr>
        <w:spacing w:after="80"/>
      </w:pPr>
      <w:r>
        <w:rPr>
          <w:rFonts w:ascii="Arial" w:cs="Arial" w:eastAsia="Arial" w:hAnsi="Arial"/>
          <w:b/>
          <w:bCs/>
          <w:sz w:val="22"/>
          <w:szCs w:val="22"/>
        </w:rPr>
        <w:t xml:space="preserve">C18.3</w:t>
      </w:r>
      <w:r>
        <w:rPr>
          <w:rFonts w:ascii="Arial" w:cs="Arial" w:eastAsia="Arial" w:hAnsi="Arial"/>
          <w:sz w:val="22"/>
          <w:szCs w:val="22"/>
        </w:rPr>
        <w:t xml:space="preserve"> — Hepatic flexure</w:t>
      </w:r>
    </w:p>
    <w:p>
      <w:pPr>
        <w:pStyle w:val="ListParagraph"/>
        <w:numPr>
          <w:ilvl w:val="0"/>
          <w:numId w:val="2"/>
        </w:numPr>
        <w:spacing w:after="80"/>
      </w:pPr>
      <w:r>
        <w:rPr>
          <w:rFonts w:ascii="Arial" w:cs="Arial" w:eastAsia="Arial" w:hAnsi="Arial"/>
          <w:b/>
          <w:bCs/>
          <w:sz w:val="22"/>
          <w:szCs w:val="22"/>
        </w:rPr>
        <w:t xml:space="preserve">C18.4</w:t>
      </w:r>
      <w:r>
        <w:rPr>
          <w:rFonts w:ascii="Arial" w:cs="Arial" w:eastAsia="Arial" w:hAnsi="Arial"/>
          <w:sz w:val="22"/>
          <w:szCs w:val="22"/>
        </w:rPr>
        <w:t xml:space="preserve"> — Transverse colon</w:t>
      </w:r>
    </w:p>
    <w:p>
      <w:pPr>
        <w:pStyle w:val="ListParagraph"/>
        <w:numPr>
          <w:ilvl w:val="0"/>
          <w:numId w:val="2"/>
        </w:numPr>
        <w:spacing w:after="80"/>
      </w:pPr>
      <w:r>
        <w:rPr>
          <w:rFonts w:ascii="Arial" w:cs="Arial" w:eastAsia="Arial" w:hAnsi="Arial"/>
          <w:b/>
          <w:bCs/>
          <w:sz w:val="22"/>
          <w:szCs w:val="22"/>
        </w:rPr>
        <w:t xml:space="preserve">C18.5</w:t>
      </w:r>
      <w:r>
        <w:rPr>
          <w:rFonts w:ascii="Arial" w:cs="Arial" w:eastAsia="Arial" w:hAnsi="Arial"/>
          <w:sz w:val="22"/>
          <w:szCs w:val="22"/>
        </w:rPr>
        <w:t xml:space="preserve"> — Splenic flexure</w:t>
      </w:r>
    </w:p>
    <w:p>
      <w:pPr>
        <w:pStyle w:val="ListParagraph"/>
        <w:numPr>
          <w:ilvl w:val="0"/>
          <w:numId w:val="2"/>
        </w:numPr>
        <w:spacing w:after="80"/>
      </w:pPr>
      <w:r>
        <w:rPr>
          <w:rFonts w:ascii="Arial" w:cs="Arial" w:eastAsia="Arial" w:hAnsi="Arial"/>
          <w:b/>
          <w:bCs/>
          <w:sz w:val="22"/>
          <w:szCs w:val="22"/>
        </w:rPr>
        <w:t xml:space="preserve">C18.6</w:t>
      </w:r>
      <w:r>
        <w:rPr>
          <w:rFonts w:ascii="Arial" w:cs="Arial" w:eastAsia="Arial" w:hAnsi="Arial"/>
          <w:sz w:val="22"/>
          <w:szCs w:val="22"/>
        </w:rPr>
        <w:t xml:space="preserve"> — Descending colon</w:t>
      </w:r>
    </w:p>
    <w:p>
      <w:pPr>
        <w:pStyle w:val="ListParagraph"/>
        <w:numPr>
          <w:ilvl w:val="0"/>
          <w:numId w:val="2"/>
        </w:numPr>
        <w:spacing w:after="80"/>
      </w:pPr>
      <w:r>
        <w:rPr>
          <w:rFonts w:ascii="Arial" w:cs="Arial" w:eastAsia="Arial" w:hAnsi="Arial"/>
          <w:b/>
          <w:bCs/>
          <w:sz w:val="22"/>
          <w:szCs w:val="22"/>
        </w:rPr>
        <w:t xml:space="preserve">C18.7</w:t>
      </w:r>
      <w:r>
        <w:rPr>
          <w:rFonts w:ascii="Arial" w:cs="Arial" w:eastAsia="Arial" w:hAnsi="Arial"/>
          <w:sz w:val="22"/>
          <w:szCs w:val="22"/>
        </w:rPr>
        <w:t xml:space="preserve"> — Sigmoid colon</w:t>
      </w:r>
    </w:p>
    <w:p>
      <w:pPr>
        <w:pStyle w:val="ListParagraph"/>
        <w:numPr>
          <w:ilvl w:val="0"/>
          <w:numId w:val="2"/>
        </w:numPr>
        <w:spacing w:after="80"/>
      </w:pPr>
      <w:r>
        <w:rPr>
          <w:rFonts w:ascii="Arial" w:cs="Arial" w:eastAsia="Arial" w:hAnsi="Arial"/>
          <w:b/>
          <w:bCs/>
          <w:sz w:val="22"/>
          <w:szCs w:val="22"/>
        </w:rPr>
        <w:t xml:space="preserve">C18.8</w:t>
      </w:r>
      <w:r>
        <w:rPr>
          <w:rFonts w:ascii="Arial" w:cs="Arial" w:eastAsia="Arial" w:hAnsi="Arial"/>
          <w:sz w:val="22"/>
          <w:szCs w:val="22"/>
        </w:rPr>
        <w:t xml:space="preserve"> — Overlapping/multiple sites in colon</w:t>
      </w:r>
    </w:p>
    <w:p>
      <w:pPr>
        <w:pStyle w:val="ListParagraph"/>
        <w:numPr>
          <w:ilvl w:val="0"/>
          <w:numId w:val="2"/>
        </w:numPr>
        <w:spacing w:after="80"/>
      </w:pPr>
      <w:r>
        <w:rPr>
          <w:rFonts w:ascii="Arial" w:cs="Arial" w:eastAsia="Arial" w:hAnsi="Arial"/>
          <w:b/>
          <w:bCs/>
          <w:sz w:val="22"/>
          <w:szCs w:val="22"/>
        </w:rPr>
        <w:t xml:space="preserve">C18.9</w:t>
      </w:r>
      <w:r>
        <w:rPr>
          <w:rFonts w:ascii="Arial" w:cs="Arial" w:eastAsia="Arial" w:hAnsi="Arial"/>
          <w:sz w:val="22"/>
          <w:szCs w:val="22"/>
        </w:rPr>
        <w:t xml:space="preserve"> — Colon, unspecified</w:t>
      </w:r>
    </w:p>
    <w:p>
      <w:pPr>
        <w:pStyle w:val="ListParagraph"/>
        <w:numPr>
          <w:ilvl w:val="0"/>
          <w:numId w:val="2"/>
        </w:numPr>
        <w:spacing w:after="80"/>
      </w:pPr>
      <w:r>
        <w:rPr>
          <w:rFonts w:ascii="Arial" w:cs="Arial" w:eastAsia="Arial" w:hAnsi="Arial"/>
          <w:b/>
          <w:bCs/>
          <w:sz w:val="22"/>
          <w:szCs w:val="22"/>
        </w:rPr>
        <w:t xml:space="preserve">C19</w:t>
      </w:r>
      <w:r>
        <w:rPr>
          <w:rFonts w:ascii="Arial" w:cs="Arial" w:eastAsia="Arial" w:hAnsi="Arial"/>
          <w:sz w:val="22"/>
          <w:szCs w:val="22"/>
        </w:rPr>
        <w:t xml:space="preserve"> — Malignant neoplasm of rectosigmoid junction</w:t>
      </w:r>
    </w:p>
    <w:p>
      <w:pPr>
        <w:pStyle w:val="ListParagraph"/>
        <w:numPr>
          <w:ilvl w:val="0"/>
          <w:numId w:val="2"/>
        </w:numPr>
        <w:spacing w:after="80"/>
      </w:pPr>
      <w:r>
        <w:rPr>
          <w:rFonts w:ascii="Arial" w:cs="Arial" w:eastAsia="Arial" w:hAnsi="Arial"/>
          <w:b/>
          <w:bCs/>
          <w:sz w:val="22"/>
          <w:szCs w:val="22"/>
        </w:rPr>
        <w:t xml:space="preserve">C20</w:t>
      </w:r>
      <w:r>
        <w:rPr>
          <w:rFonts w:ascii="Arial" w:cs="Arial" w:eastAsia="Arial" w:hAnsi="Arial"/>
          <w:sz w:val="22"/>
          <w:szCs w:val="22"/>
        </w:rPr>
        <w:t xml:space="preserve"> — Malignant neoplasm of rectum</w:t>
      </w:r>
    </w:p>
    <w:p>
      <w:pPr>
        <w:pStyle w:val="ListParagraph"/>
        <w:numPr>
          <w:ilvl w:val="0"/>
          <w:numId w:val="2"/>
        </w:numPr>
        <w:spacing w:after="80"/>
      </w:pPr>
      <w:r>
        <w:rPr>
          <w:rFonts w:ascii="Arial" w:cs="Arial" w:eastAsia="Arial" w:hAnsi="Arial"/>
          <w:b/>
          <w:bCs/>
          <w:sz w:val="22"/>
          <w:szCs w:val="22"/>
        </w:rPr>
        <w:t xml:space="preserve">C21</w:t>
      </w:r>
      <w:r>
        <w:rPr>
          <w:rFonts w:ascii="Arial" w:cs="Arial" w:eastAsia="Arial" w:hAnsi="Arial"/>
          <w:sz w:val="22"/>
          <w:szCs w:val="22"/>
        </w:rPr>
        <w:t xml:space="preserve"> — Malignant neoplasm of anus and anal canal</w:t>
      </w:r>
    </w:p>
    <w:p>
      <w:pPr>
        <w:pStyle w:val="ListParagraph"/>
        <w:numPr>
          <w:ilvl w:val="0"/>
          <w:numId w:val="2"/>
        </w:numPr>
        <w:spacing w:after="80"/>
      </w:pPr>
      <w:r>
        <w:rPr>
          <w:rFonts w:ascii="Arial" w:cs="Arial" w:eastAsia="Arial" w:hAnsi="Arial"/>
          <w:b/>
          <w:bCs/>
          <w:sz w:val="22"/>
          <w:szCs w:val="22"/>
        </w:rPr>
        <w:t xml:space="preserve">C78.5</w:t>
      </w:r>
      <w:r>
        <w:rPr>
          <w:rFonts w:ascii="Arial" w:cs="Arial" w:eastAsia="Arial" w:hAnsi="Arial"/>
          <w:sz w:val="22"/>
          <w:szCs w:val="22"/>
        </w:rPr>
        <w:t xml:space="preserve"> — Secondary (metastatic) malignant neoplasm of large intestine and rectum</w:t>
      </w:r>
    </w:p>
    <w:p>
      <w:pPr>
        <w:pStyle w:val="ListParagraph"/>
        <w:numPr>
          <w:ilvl w:val="0"/>
          <w:numId w:val="2"/>
        </w:numPr>
        <w:spacing w:after="80"/>
      </w:pPr>
      <w:r>
        <w:rPr>
          <w:rFonts w:ascii="Arial" w:cs="Arial" w:eastAsia="Arial" w:hAnsi="Arial"/>
          <w:b/>
          <w:bCs/>
          <w:sz w:val="22"/>
          <w:szCs w:val="22"/>
        </w:rPr>
        <w:t xml:space="preserve">C78.7</w:t>
      </w:r>
      <w:r>
        <w:rPr>
          <w:rFonts w:ascii="Arial" w:cs="Arial" w:eastAsia="Arial" w:hAnsi="Arial"/>
          <w:sz w:val="22"/>
          <w:szCs w:val="22"/>
        </w:rPr>
        <w:t xml:space="preserve"> — Secondary malignant neoplasm of liver — the most important metastatic site for CRC staging</w:t>
      </w:r>
    </w:p>
    <w:p>
      <w:r>
        <w:br w:type="page"/>
      </w:r>
    </w:p>
    <w:p>
      <w:pPr>
        <w:pStyle w:val="Heading1"/>
        <w:spacing w:before="360" w:after="200"/>
      </w:pPr>
      <w:r>
        <w:rPr>
          <w:rFonts w:ascii="Arial" w:cs="Arial" w:eastAsia="Arial" w:hAnsi="Arial"/>
          <w:b/>
          <w:bCs/>
          <w:sz w:val="32"/>
          <w:szCs w:val="32"/>
        </w:rPr>
        <w:t xml:space="preserve">Section 2: Detection and Investigation</w:t>
      </w:r>
    </w:p>
    <w:p>
      <w:pPr>
        <w:pStyle w:val="Heading2"/>
        <w:spacing w:before="280" w:after="160"/>
      </w:pPr>
      <w:r>
        <w:rPr>
          <w:rFonts w:ascii="Arial" w:cs="Arial" w:eastAsia="Arial" w:hAnsi="Arial"/>
          <w:b/>
          <w:bCs/>
          <w:sz w:val="28"/>
          <w:szCs w:val="28"/>
        </w:rPr>
        <w:t xml:space="preserve">2.1 Symptoms and Referral Pathways</w:t>
      </w:r>
    </w:p>
    <w:p>
      <w:pPr>
        <w:spacing w:after="120"/>
      </w:pPr>
      <w:r>
        <w:rPr>
          <w:rFonts w:ascii="Arial" w:cs="Arial" w:eastAsia="Arial" w:hAnsi="Arial"/>
          <w:b/>
          <w:bCs/>
          <w:sz w:val="22"/>
          <w:szCs w:val="22"/>
        </w:rPr>
        <w:t xml:space="preserve">Symptoms that prompt investigation</w:t>
      </w:r>
      <w:r>
        <w:rPr>
          <w:rFonts w:ascii="Arial" w:cs="Arial" w:eastAsia="Arial" w:hAnsi="Arial"/>
          <w:sz w:val="22"/>
          <w:szCs w:val="22"/>
        </w:rPr>
        <w:t xml:space="preserve"> for colorectal cancer include:</w:t>
      </w:r>
    </w:p>
    <w:p>
      <w:pPr>
        <w:pStyle w:val="ListParagraph"/>
        <w:numPr>
          <w:ilvl w:val="0"/>
          <w:numId w:val="2"/>
        </w:numPr>
        <w:spacing w:after="80"/>
      </w:pPr>
      <w:r>
        <w:rPr>
          <w:rFonts w:ascii="Arial" w:cs="Arial" w:eastAsia="Arial" w:hAnsi="Arial"/>
          <w:sz w:val="22"/>
          <w:szCs w:val="22"/>
        </w:rPr>
        <w:t xml:space="preserve">Rectal bleeding — especially with change in bowel habit in patients over 40</w:t>
      </w:r>
    </w:p>
    <w:p>
      <w:pPr>
        <w:pStyle w:val="ListParagraph"/>
        <w:numPr>
          <w:ilvl w:val="0"/>
          <w:numId w:val="2"/>
        </w:numPr>
        <w:spacing w:after="80"/>
      </w:pPr>
      <w:r>
        <w:rPr>
          <w:rFonts w:ascii="Arial" w:cs="Arial" w:eastAsia="Arial" w:hAnsi="Arial"/>
          <w:sz w:val="22"/>
          <w:szCs w:val="22"/>
        </w:rPr>
        <w:t xml:space="preserve">Unexplained iron deficiency anaemia (particularly in older men and post-menopausal women)</w:t>
      </w:r>
    </w:p>
    <w:p>
      <w:pPr>
        <w:pStyle w:val="ListParagraph"/>
        <w:numPr>
          <w:ilvl w:val="0"/>
          <w:numId w:val="2"/>
        </w:numPr>
        <w:spacing w:after="80"/>
      </w:pPr>
      <w:r>
        <w:rPr>
          <w:rFonts w:ascii="Arial" w:cs="Arial" w:eastAsia="Arial" w:hAnsi="Arial"/>
          <w:sz w:val="22"/>
          <w:szCs w:val="22"/>
        </w:rPr>
        <w:t xml:space="preserve">Change in bowel habit lasting more than 4–6 weeks (looser stool and/or increased frequency)</w:t>
      </w:r>
    </w:p>
    <w:p>
      <w:pPr>
        <w:pStyle w:val="ListParagraph"/>
        <w:numPr>
          <w:ilvl w:val="0"/>
          <w:numId w:val="2"/>
        </w:numPr>
        <w:spacing w:after="80"/>
      </w:pPr>
      <w:r>
        <w:rPr>
          <w:rFonts w:ascii="Arial" w:cs="Arial" w:eastAsia="Arial" w:hAnsi="Arial"/>
          <w:sz w:val="22"/>
          <w:szCs w:val="22"/>
        </w:rPr>
        <w:t xml:space="preserve">Abdominal mass</w:t>
      </w:r>
    </w:p>
    <w:p>
      <w:pPr>
        <w:pStyle w:val="ListParagraph"/>
        <w:numPr>
          <w:ilvl w:val="0"/>
          <w:numId w:val="2"/>
        </w:numPr>
        <w:spacing w:after="80"/>
      </w:pPr>
      <w:r>
        <w:rPr>
          <w:rFonts w:ascii="Arial" w:cs="Arial" w:eastAsia="Arial" w:hAnsi="Arial"/>
          <w:sz w:val="22"/>
          <w:szCs w:val="22"/>
        </w:rPr>
        <w:t xml:space="preserve">Rectal mass on examination</w:t>
      </w:r>
    </w:p>
    <w:p>
      <w:pPr>
        <w:pStyle w:val="ListParagraph"/>
        <w:numPr>
          <w:ilvl w:val="0"/>
          <w:numId w:val="2"/>
        </w:numPr>
        <w:spacing w:after="80"/>
      </w:pPr>
      <w:r>
        <w:rPr>
          <w:rFonts w:ascii="Arial" w:cs="Arial" w:eastAsia="Arial" w:hAnsi="Arial"/>
          <w:sz w:val="22"/>
          <w:szCs w:val="22"/>
        </w:rPr>
        <w:t xml:space="preserve">Unexplained weight loss</w:t>
      </w:r>
    </w:p>
    <w:p>
      <w:pPr>
        <w:pStyle w:val="ListParagraph"/>
        <w:numPr>
          <w:ilvl w:val="0"/>
          <w:numId w:val="2"/>
        </w:numPr>
        <w:spacing w:after="80"/>
      </w:pPr>
      <w:r>
        <w:rPr>
          <w:rFonts w:ascii="Arial" w:cs="Arial" w:eastAsia="Arial" w:hAnsi="Arial"/>
          <w:sz w:val="22"/>
          <w:szCs w:val="22"/>
        </w:rPr>
        <w:t xml:space="preserve">Tenesmus (sensation of incomplete rectal emptying)</w:t>
      </w:r>
    </w:p>
    <w:p>
      <w:pPr>
        <w:pStyle w:val="ListParagraph"/>
        <w:numPr>
          <w:ilvl w:val="0"/>
          <w:numId w:val="2"/>
        </w:numPr>
        <w:spacing w:after="80"/>
      </w:pPr>
      <w:r>
        <w:rPr>
          <w:rFonts w:ascii="Arial" w:cs="Arial" w:eastAsia="Arial" w:hAnsi="Arial"/>
          <w:sz w:val="22"/>
          <w:szCs w:val="22"/>
        </w:rPr>
        <w:t xml:space="preserve">Mucus per rectum</w:t>
      </w:r>
    </w:p>
    <w:p>
      <w:pPr>
        <w:spacing w:after="80"/>
      </w:pPr>
      <w:r>
        <w:t xml:space="preserve"/>
      </w:r>
    </w:p>
    <w:p>
      <w:pPr>
        <w:spacing w:after="120"/>
      </w:pPr>
      <w:r>
        <w:rPr>
          <w:rFonts w:ascii="Arial" w:cs="Arial" w:eastAsia="Arial" w:hAnsi="Arial"/>
          <w:b/>
          <w:bCs/>
          <w:sz w:val="22"/>
          <w:szCs w:val="22"/>
        </w:rPr>
        <w:t xml:space="preserve">TWR / 2WW (Two-Week Wait / Two-Week Rule)</w:t>
      </w:r>
      <w:r>
        <w:rPr>
          <w:rFonts w:ascii="Arial" w:cs="Arial" w:eastAsia="Arial" w:hAnsi="Arial"/>
          <w:sz w:val="22"/>
          <w:szCs w:val="22"/>
        </w:rPr>
        <w:t xml:space="preserve">: A NHS England urgent cancer referral pathway. When a GP identifies symptoms meeting NICE guideline NG12 criteria for suspected colorectal cancer, they must refer the patient to a specialist under the Two-Week Wait pathway. The hospital must offer an appointment within 14 calendar days. Once seen, investigations (colonoscopy, CT) must be arranged promptly. The pathway is the front door for most new CRC diagnoses in England.</w:t>
      </w:r>
    </w:p>
    <w:p>
      <w:pPr>
        <w:spacing w:after="80"/>
      </w:pPr>
      <w:r>
        <w:t xml:space="preserve"/>
      </w:r>
    </w:p>
    <w:p>
      <w:pPr>
        <w:spacing w:after="120"/>
      </w:pPr>
      <w:r>
        <w:rPr>
          <w:rFonts w:ascii="Arial" w:cs="Arial" w:eastAsia="Arial" w:hAnsi="Arial"/>
          <w:b/>
          <w:bCs/>
          <w:sz w:val="22"/>
          <w:szCs w:val="22"/>
        </w:rPr>
        <w:t xml:space="preserve">DTT (Decision to Treat)</w:t>
      </w:r>
      <w:r>
        <w:rPr>
          <w:rFonts w:ascii="Arial" w:cs="Arial" w:eastAsia="Arial" w:hAnsi="Arial"/>
          <w:sz w:val="22"/>
          <w:szCs w:val="22"/>
        </w:rPr>
        <w:t xml:space="preserve">: The formal clinical decision point at which treatment for a confirmed cancer diagnosis is agreed, typically after MDT discussion. It starts the 31-day treatment target clock. It is distinct from the referral date and from the date of diagnosis.</w:t>
      </w:r>
    </w:p>
    <w:p>
      <w:pPr>
        <w:spacing w:after="80"/>
      </w:pPr>
      <w:r>
        <w:t xml:space="preserve"/>
      </w:r>
    </w:p>
    <w:p>
      <w:pPr>
        <w:spacing w:after="120"/>
      </w:pPr>
      <w:r>
        <w:rPr>
          <w:rFonts w:ascii="Arial" w:cs="Arial" w:eastAsia="Arial" w:hAnsi="Arial"/>
          <w:b/>
          <w:bCs/>
          <w:sz w:val="22"/>
          <w:szCs w:val="22"/>
        </w:rPr>
        <w:t xml:space="preserve">62-day target</w:t>
      </w:r>
      <w:r>
        <w:rPr>
          <w:rFonts w:ascii="Arial" w:cs="Arial" w:eastAsia="Arial" w:hAnsi="Arial"/>
          <w:sz w:val="22"/>
          <w:szCs w:val="22"/>
        </w:rPr>
        <w:t xml:space="preserve">: NHS England mandates that treatment should begin within 62 calendar days of an urgent GP referral (the TWR). This encompasses diagnosis, staging, MDT discussion, and commencement of treatment. Tracking this target is a significant administrative and operational concern in colorectal cancer centres.</w:t>
      </w:r>
    </w:p>
    <w:p>
      <w:pPr>
        <w:spacing w:after="80"/>
      </w:pPr>
      <w:r>
        <w:t xml:space="preserve"/>
      </w:r>
    </w:p>
    <w:p>
      <w:pPr>
        <w:spacing w:after="120"/>
      </w:pPr>
      <w:r>
        <w:rPr>
          <w:rFonts w:ascii="Arial" w:cs="Arial" w:eastAsia="Arial" w:hAnsi="Arial"/>
          <w:b/>
          <w:bCs/>
          <w:sz w:val="22"/>
          <w:szCs w:val="22"/>
        </w:rPr>
        <w:t xml:space="preserve">Emergency presentations</w:t>
      </w:r>
      <w:r>
        <w:rPr>
          <w:rFonts w:ascii="Arial" w:cs="Arial" w:eastAsia="Arial" w:hAnsi="Arial"/>
          <w:sz w:val="22"/>
          <w:szCs w:val="22"/>
        </w:rPr>
        <w:t xml:space="preserve">: Approximately 25% of colorectal cancers present as emergencies — obstruction, perforation, or massive bleeding — bypassing the TWR pathway entirely. These patients are often less fit, require emergency surgery, and have worse outcomes.</w:t>
      </w:r>
    </w:p>
    <w:p>
      <w:pPr>
        <w:spacing w:after="80"/>
      </w:pPr>
      <w:r>
        <w:t xml:space="preserve"/>
      </w:r>
    </w:p>
    <w:p>
      <w:pPr>
        <w:spacing w:after="120"/>
      </w:pPr>
      <w:r>
        <w:rPr>
          <w:rFonts w:ascii="Arial" w:cs="Arial" w:eastAsia="Arial" w:hAnsi="Arial"/>
          <w:b/>
          <w:bCs/>
          <w:sz w:val="22"/>
          <w:szCs w:val="22"/>
        </w:rPr>
        <w:t xml:space="preserve">BCSP (Bowel Cancer Screening Programme)</w:t>
      </w:r>
      <w:r>
        <w:rPr>
          <w:rFonts w:ascii="Arial" w:cs="Arial" w:eastAsia="Arial" w:hAnsi="Arial"/>
          <w:sz w:val="22"/>
          <w:szCs w:val="22"/>
        </w:rPr>
        <w:t xml:space="preserve">: The NHS Bowel Cancer Screening Programme offers biennial </w:t>
      </w:r>
      <w:r>
        <w:rPr>
          <w:rFonts w:ascii="Arial" w:cs="Arial" w:eastAsia="Arial" w:hAnsi="Arial"/>
          <w:b/>
          <w:bCs/>
          <w:sz w:val="22"/>
          <w:szCs w:val="22"/>
        </w:rPr>
        <w:t xml:space="preserve">FIT (Faecal Immunochemical Test)</w:t>
      </w:r>
      <w:r>
        <w:rPr>
          <w:rFonts w:ascii="Arial" w:cs="Arial" w:eastAsia="Arial" w:hAnsi="Arial"/>
          <w:sz w:val="22"/>
          <w:szCs w:val="22"/>
        </w:rPr>
        <w:t xml:space="preserve"> testing to all people aged 50–74 registered with a GP in England. A positive FIT triggers an invitation for colonoscopy. Cancers detected through BCSP tend to be at an earlier stage, with better survival outcomes.</w:t>
      </w:r>
    </w:p>
    <w:p>
      <w:pPr>
        <w:spacing w:after="80"/>
      </w:pPr>
      <w:r>
        <w:t xml:space="preserve"/>
      </w:r>
    </w:p>
    <w:p>
      <w:pPr>
        <w:pStyle w:val="Heading2"/>
        <w:spacing w:before="280" w:after="160"/>
      </w:pPr>
      <w:r>
        <w:rPr>
          <w:rFonts w:ascii="Arial" w:cs="Arial" w:eastAsia="Arial" w:hAnsi="Arial"/>
          <w:b/>
          <w:bCs/>
          <w:sz w:val="28"/>
          <w:szCs w:val="28"/>
        </w:rPr>
        <w:t xml:space="preserve">2.2 Endoscopy Types</w:t>
      </w:r>
    </w:p>
    <w:p>
      <w:pPr>
        <w:pStyle w:val="Heading3"/>
        <w:spacing w:before="240" w:after="120"/>
      </w:pPr>
      <w:r>
        <w:rPr>
          <w:rFonts w:ascii="Arial" w:cs="Arial" w:eastAsia="Arial" w:hAnsi="Arial"/>
          <w:b/>
          <w:bCs/>
          <w:sz w:val="26"/>
          <w:szCs w:val="26"/>
        </w:rPr>
        <w:t xml:space="preserve">Colonoscopy</w:t>
      </w:r>
    </w:p>
    <w:p>
      <w:pPr>
        <w:spacing w:after="120"/>
      </w:pPr>
      <w:r>
        <w:rPr>
          <w:rFonts w:ascii="Arial" w:cs="Arial" w:eastAsia="Arial" w:hAnsi="Arial"/>
          <w:b/>
          <w:bCs/>
          <w:sz w:val="22"/>
          <w:szCs w:val="22"/>
        </w:rPr>
        <w:t xml:space="preserve">Colonoscopy</w:t>
      </w:r>
      <w:r>
        <w:rPr>
          <w:rFonts w:ascii="Arial" w:cs="Arial" w:eastAsia="Arial" w:hAnsi="Arial"/>
          <w:sz w:val="22"/>
          <w:szCs w:val="22"/>
        </w:rPr>
        <w:t xml:space="preserve"> is the gold-standard investigation for suspected colorectal cancer. A flexible endoscope is passed via the anus to examine the entire colon to the caecum.</w:t>
      </w:r>
    </w:p>
    <w:p>
      <w:pPr>
        <w:pStyle w:val="ListParagraph"/>
        <w:numPr>
          <w:ilvl w:val="0"/>
          <w:numId w:val="2"/>
        </w:numPr>
        <w:spacing w:after="80"/>
      </w:pPr>
      <w:r>
        <w:rPr>
          <w:rFonts w:ascii="Arial" w:cs="Arial" w:eastAsia="Arial" w:hAnsi="Arial"/>
          <w:b/>
          <w:bCs/>
          <w:sz w:val="22"/>
          <w:szCs w:val="22"/>
        </w:rPr>
        <w:t xml:space="preserve">Complete colonoscopy</w:t>
      </w:r>
      <w:r>
        <w:rPr>
          <w:rFonts w:ascii="Arial" w:cs="Arial" w:eastAsia="Arial" w:hAnsi="Arial"/>
          <w:sz w:val="22"/>
          <w:szCs w:val="22"/>
        </w:rPr>
        <w:t xml:space="preserve">: the endoscopist reaches the caecum (confirmed by visualisation of the ileocaecal valve, ICV, and the appendix orifice). This is the quality marker for a successful colonoscopy.</w:t>
      </w:r>
    </w:p>
    <w:p>
      <w:pPr>
        <w:pStyle w:val="ListParagraph"/>
        <w:numPr>
          <w:ilvl w:val="0"/>
          <w:numId w:val="2"/>
        </w:numPr>
        <w:spacing w:after="80"/>
      </w:pPr>
      <w:r>
        <w:rPr>
          <w:rFonts w:ascii="Arial" w:cs="Arial" w:eastAsia="Arial" w:hAnsi="Arial"/>
          <w:b/>
          <w:bCs/>
          <w:sz w:val="22"/>
          <w:szCs w:val="22"/>
        </w:rPr>
        <w:t xml:space="preserve">ICV (Ileocaecal Valve)</w:t>
      </w:r>
      <w:r>
        <w:rPr>
          <w:rFonts w:ascii="Arial" w:cs="Arial" w:eastAsia="Arial" w:hAnsi="Arial"/>
          <w:sz w:val="22"/>
          <w:szCs w:val="22"/>
        </w:rPr>
        <w:t xml:space="preserve">: the valve between the terminal ileum and caecum. Reaching and visualising the ICV confirms the procedure is complete. An 'incomplete' colonoscopy that fails to reach the caecum requires an alternative imaging strategy (usually CT colonography) to examine the proximal colon.</w:t>
      </w:r>
    </w:p>
    <w:p>
      <w:pPr>
        <w:pStyle w:val="ListParagraph"/>
        <w:numPr>
          <w:ilvl w:val="0"/>
          <w:numId w:val="2"/>
        </w:numPr>
        <w:spacing w:after="80"/>
      </w:pPr>
      <w:r>
        <w:rPr>
          <w:rFonts w:ascii="Arial" w:cs="Arial" w:eastAsia="Arial" w:hAnsi="Arial"/>
          <w:b/>
          <w:bCs/>
          <w:sz w:val="22"/>
          <w:szCs w:val="22"/>
        </w:rPr>
        <w:t xml:space="preserve">Incomplete colonoscopy</w:t>
      </w:r>
      <w:r>
        <w:rPr>
          <w:rFonts w:ascii="Arial" w:cs="Arial" w:eastAsia="Arial" w:hAnsi="Arial"/>
          <w:sz w:val="22"/>
          <w:szCs w:val="22"/>
        </w:rPr>
        <w:t xml:space="preserve">: failure to reach the caecum, due to a tortuous colon, poor preparation, stricture, or patient intolerance. Any cancer or obstructing lesion that prevents passage will create an incomplete procedure.</w:t>
      </w:r>
    </w:p>
    <w:p>
      <w:pPr>
        <w:pStyle w:val="ListParagraph"/>
        <w:numPr>
          <w:ilvl w:val="0"/>
          <w:numId w:val="2"/>
        </w:numPr>
        <w:spacing w:after="80"/>
      </w:pPr>
      <w:r>
        <w:rPr>
          <w:rFonts w:ascii="Arial" w:cs="Arial" w:eastAsia="Arial" w:hAnsi="Arial"/>
          <w:b/>
          <w:bCs/>
          <w:sz w:val="22"/>
          <w:szCs w:val="22"/>
        </w:rPr>
        <w:t xml:space="preserve">Tattoo</w:t>
      </w:r>
      <w:r>
        <w:rPr>
          <w:rFonts w:ascii="Arial" w:cs="Arial" w:eastAsia="Arial" w:hAnsi="Arial"/>
          <w:sz w:val="22"/>
          <w:szCs w:val="22"/>
        </w:rPr>
        <w:t xml:space="preserve">: an endoscopic tattoo is the injection of a visible dye (usually India ink or SPOT) into the submucosa of the bowel wall near a lesion or polyp. This creates a visible black mark that surgeons can see from the outside of the bowel during laparoscopic or open surgery, allowing precise localisation. Tattoo requests ('please tattoo this lesion for surgical localisation') are common in MDT notes, particularly for right-sided lesions that are difficult to locate from the serosal surface.</w:t>
      </w:r>
    </w:p>
    <w:p>
      <w:pPr>
        <w:pStyle w:val="Heading3"/>
        <w:spacing w:before="240" w:after="120"/>
      </w:pPr>
      <w:r>
        <w:rPr>
          <w:rFonts w:ascii="Arial" w:cs="Arial" w:eastAsia="Arial" w:hAnsi="Arial"/>
          <w:b/>
          <w:bCs/>
          <w:sz w:val="26"/>
          <w:szCs w:val="26"/>
        </w:rPr>
        <w:t xml:space="preserve">Flexible Sigmoidoscopy (Flexi Sig)</w:t>
      </w:r>
    </w:p>
    <w:p>
      <w:pPr>
        <w:spacing w:after="120"/>
      </w:pPr>
      <w:r>
        <w:rPr>
          <w:rFonts w:ascii="Arial" w:cs="Arial" w:eastAsia="Arial" w:hAnsi="Arial"/>
          <w:b/>
          <w:bCs/>
          <w:sz w:val="22"/>
          <w:szCs w:val="22"/>
        </w:rPr>
        <w:t xml:space="preserve">Flexible sigmoidoscopy</w:t>
      </w:r>
      <w:r>
        <w:rPr>
          <w:rFonts w:ascii="Arial" w:cs="Arial" w:eastAsia="Arial" w:hAnsi="Arial"/>
          <w:sz w:val="22"/>
          <w:szCs w:val="22"/>
        </w:rPr>
        <w:t xml:space="preserve"> examines only the rectum and sigmoid colon (up to approximately 60 cm from the anus). It is faster, less resource-intensive, and does not require full bowel preparation. It is used in:</w:t>
      </w:r>
    </w:p>
    <w:p>
      <w:pPr>
        <w:pStyle w:val="ListParagraph"/>
        <w:numPr>
          <w:ilvl w:val="0"/>
          <w:numId w:val="2"/>
        </w:numPr>
        <w:spacing w:after="80"/>
      </w:pPr>
      <w:r>
        <w:rPr>
          <w:rFonts w:ascii="Arial" w:cs="Arial" w:eastAsia="Arial" w:hAnsi="Arial"/>
          <w:sz w:val="22"/>
          <w:szCs w:val="22"/>
        </w:rPr>
        <w:t xml:space="preserve">Initial assessment of rectal bleeding in lower-risk patients</w:t>
      </w:r>
    </w:p>
    <w:p>
      <w:pPr>
        <w:pStyle w:val="ListParagraph"/>
        <w:numPr>
          <w:ilvl w:val="0"/>
          <w:numId w:val="2"/>
        </w:numPr>
        <w:spacing w:after="80"/>
      </w:pPr>
      <w:r>
        <w:rPr>
          <w:rFonts w:ascii="Arial" w:cs="Arial" w:eastAsia="Arial" w:hAnsi="Arial"/>
          <w:sz w:val="22"/>
          <w:szCs w:val="22"/>
        </w:rPr>
        <w:t xml:space="preserve">Surveillance of patients with previous rectal cancer or radiation proctitis</w:t>
      </w:r>
    </w:p>
    <w:p>
      <w:pPr>
        <w:pStyle w:val="ListParagraph"/>
        <w:numPr>
          <w:ilvl w:val="0"/>
          <w:numId w:val="2"/>
        </w:numPr>
        <w:spacing w:after="80"/>
      </w:pPr>
      <w:r>
        <w:rPr>
          <w:rFonts w:ascii="Arial" w:cs="Arial" w:eastAsia="Arial" w:hAnsi="Arial"/>
          <w:sz w:val="22"/>
          <w:szCs w:val="22"/>
        </w:rPr>
        <w:t xml:space="preserve">Direct assessment of rectal tumours before MRI or surgery</w:t>
      </w:r>
    </w:p>
    <w:p>
      <w:pPr>
        <w:pStyle w:val="ListParagraph"/>
        <w:numPr>
          <w:ilvl w:val="0"/>
          <w:numId w:val="2"/>
        </w:numPr>
        <w:spacing w:after="80"/>
      </w:pPr>
      <w:r>
        <w:rPr>
          <w:rFonts w:ascii="Arial" w:cs="Arial" w:eastAsia="Arial" w:hAnsi="Arial"/>
          <w:sz w:val="22"/>
          <w:szCs w:val="22"/>
        </w:rPr>
        <w:t xml:space="preserve">Biopsy of rectal lesions</w:t>
      </w:r>
    </w:p>
    <w:p>
      <w:pPr>
        <w:pStyle w:val="Heading3"/>
        <w:spacing w:before="240" w:after="120"/>
      </w:pPr>
      <w:r>
        <w:rPr>
          <w:rFonts w:ascii="Arial" w:cs="Arial" w:eastAsia="Arial" w:hAnsi="Arial"/>
          <w:b/>
          <w:bCs/>
          <w:sz w:val="26"/>
          <w:szCs w:val="26"/>
        </w:rPr>
        <w:t xml:space="preserve">Rigid Sigmoidoscopy</w:t>
      </w:r>
    </w:p>
    <w:p>
      <w:pPr>
        <w:spacing w:after="120"/>
      </w:pPr>
      <w:r>
        <w:rPr>
          <w:rFonts w:ascii="Arial" w:cs="Arial" w:eastAsia="Arial" w:hAnsi="Arial"/>
          <w:b/>
          <w:bCs/>
          <w:sz w:val="22"/>
          <w:szCs w:val="22"/>
        </w:rPr>
        <w:t xml:space="preserve">Rigid sigmoidoscopy</w:t>
      </w:r>
      <w:r>
        <w:rPr>
          <w:rFonts w:ascii="Arial" w:cs="Arial" w:eastAsia="Arial" w:hAnsi="Arial"/>
          <w:sz w:val="22"/>
          <w:szCs w:val="22"/>
        </w:rPr>
        <w:t xml:space="preserve"> uses a straight metal tube to examine the distal rectum and anal canal (typically up to 25–30 cm). It is used in clinic and in the operating theatre for:</w:t>
      </w:r>
    </w:p>
    <w:p>
      <w:pPr>
        <w:pStyle w:val="ListParagraph"/>
        <w:numPr>
          <w:ilvl w:val="0"/>
          <w:numId w:val="2"/>
        </w:numPr>
        <w:spacing w:after="80"/>
      </w:pPr>
      <w:r>
        <w:rPr>
          <w:rFonts w:ascii="Arial" w:cs="Arial" w:eastAsia="Arial" w:hAnsi="Arial"/>
          <w:sz w:val="22"/>
          <w:szCs w:val="22"/>
        </w:rPr>
        <w:t xml:space="preserve">Measuring the distance of a rectal tumour from the anal verge — this is a key measurement in MDT documentation ('15 cm from anal verge on rigid sigmoidoscopy')</w:t>
      </w:r>
    </w:p>
    <w:p>
      <w:pPr>
        <w:pStyle w:val="ListParagraph"/>
        <w:numPr>
          <w:ilvl w:val="0"/>
          <w:numId w:val="2"/>
        </w:numPr>
        <w:spacing w:after="80"/>
      </w:pPr>
      <w:r>
        <w:rPr>
          <w:rFonts w:ascii="Arial" w:cs="Arial" w:eastAsia="Arial" w:hAnsi="Arial"/>
          <w:sz w:val="22"/>
          <w:szCs w:val="22"/>
        </w:rPr>
        <w:t xml:space="preserve">Assessing sphincter involvement in low rectal tumours</w:t>
      </w:r>
    </w:p>
    <w:p>
      <w:pPr>
        <w:pStyle w:val="ListParagraph"/>
        <w:numPr>
          <w:ilvl w:val="0"/>
          <w:numId w:val="2"/>
        </w:numPr>
        <w:spacing w:after="80"/>
      </w:pPr>
      <w:r>
        <w:rPr>
          <w:rFonts w:ascii="Arial" w:cs="Arial" w:eastAsia="Arial" w:hAnsi="Arial"/>
          <w:sz w:val="22"/>
          <w:szCs w:val="22"/>
        </w:rPr>
        <w:t xml:space="preserve">Papillon radiotherapy delivery</w:t>
      </w:r>
    </w:p>
    <w:p>
      <w:pPr>
        <w:pStyle w:val="Heading3"/>
        <w:spacing w:before="240" w:after="120"/>
      </w:pPr>
      <w:r>
        <w:rPr>
          <w:rFonts w:ascii="Arial" w:cs="Arial" w:eastAsia="Arial" w:hAnsi="Arial"/>
          <w:b/>
          <w:bCs/>
          <w:sz w:val="26"/>
          <w:szCs w:val="26"/>
        </w:rPr>
        <w:t xml:space="preserve">CT Colonography (CTC / Virtual Colonoscopy)</w:t>
      </w:r>
    </w:p>
    <w:p>
      <w:pPr>
        <w:spacing w:after="120"/>
      </w:pPr>
      <w:r>
        <w:rPr>
          <w:rFonts w:ascii="Arial" w:cs="Arial" w:eastAsia="Arial" w:hAnsi="Arial"/>
          <w:b/>
          <w:bCs/>
          <w:sz w:val="22"/>
          <w:szCs w:val="22"/>
        </w:rPr>
        <w:t xml:space="preserve">CT colonography</w:t>
      </w:r>
      <w:r>
        <w:rPr>
          <w:rFonts w:ascii="Arial" w:cs="Arial" w:eastAsia="Arial" w:hAnsi="Arial"/>
          <w:sz w:val="22"/>
          <w:szCs w:val="22"/>
        </w:rPr>
        <w:t xml:space="preserve"> (also called </w:t>
      </w:r>
      <w:r>
        <w:rPr>
          <w:rFonts w:ascii="Arial" w:cs="Arial" w:eastAsia="Arial" w:hAnsi="Arial"/>
          <w:b/>
          <w:bCs/>
          <w:sz w:val="22"/>
          <w:szCs w:val="22"/>
        </w:rPr>
        <w:t xml:space="preserve">virtual colonoscopy</w:t>
      </w:r>
      <w:r>
        <w:rPr>
          <w:rFonts w:ascii="Arial" w:cs="Arial" w:eastAsia="Arial" w:hAnsi="Arial"/>
          <w:sz w:val="22"/>
          <w:szCs w:val="22"/>
        </w:rPr>
        <w:t xml:space="preserve">) is a CT scan of the insufflated colon. The patient takes bowel preparation, and the colon is distended with carbon dioxide via a rectal tube before scanning. Software reconstructions produce a 'fly-through' view of the colon lumen.</w:t>
      </w:r>
    </w:p>
    <w:p>
      <w:pPr>
        <w:pStyle w:val="ListParagraph"/>
        <w:numPr>
          <w:ilvl w:val="0"/>
          <w:numId w:val="2"/>
        </w:numPr>
        <w:spacing w:after="80"/>
      </w:pPr>
      <w:r>
        <w:rPr>
          <w:rFonts w:ascii="Arial" w:cs="Arial" w:eastAsia="Arial" w:hAnsi="Arial"/>
          <w:sz w:val="22"/>
          <w:szCs w:val="22"/>
        </w:rPr>
        <w:t xml:space="preserve">Advantages: well tolerated, no sedation, can examine the colon beyond an obstructing tumour</w:t>
      </w:r>
    </w:p>
    <w:p>
      <w:pPr>
        <w:pStyle w:val="ListParagraph"/>
        <w:numPr>
          <w:ilvl w:val="0"/>
          <w:numId w:val="2"/>
        </w:numPr>
        <w:spacing w:after="80"/>
      </w:pPr>
      <w:r>
        <w:rPr>
          <w:rFonts w:ascii="Arial" w:cs="Arial" w:eastAsia="Arial" w:hAnsi="Arial"/>
          <w:sz w:val="22"/>
          <w:szCs w:val="22"/>
        </w:rPr>
        <w:t xml:space="preserve">Disadvantages: cannot take biopsies; flat lesions (&lt;6mm) can be missed; requires bowel preparation</w:t>
      </w:r>
    </w:p>
    <w:p>
      <w:pPr>
        <w:pStyle w:val="ListParagraph"/>
        <w:numPr>
          <w:ilvl w:val="0"/>
          <w:numId w:val="2"/>
        </w:numPr>
        <w:spacing w:after="80"/>
      </w:pPr>
      <w:r>
        <w:rPr>
          <w:rFonts w:ascii="Arial" w:cs="Arial" w:eastAsia="Arial" w:hAnsi="Arial"/>
          <w:sz w:val="22"/>
          <w:szCs w:val="22"/>
        </w:rPr>
        <w:t xml:space="preserve">Common use cases: elderly or frail patients unable to tolerate colonoscopy; incomplete colonoscopy requiring assessment of the proximal colon; patients on anticoagulants</w:t>
      </w:r>
    </w:p>
    <w:p>
      <w:pPr>
        <w:spacing w:after="80"/>
      </w:pPr>
      <w:r>
        <w:t xml:space="preserve"/>
      </w:r>
    </w:p>
    <w:p>
      <w:pPr>
        <w:pStyle w:val="Heading2"/>
        <w:spacing w:before="280" w:after="160"/>
      </w:pPr>
      <w:r>
        <w:rPr>
          <w:rFonts w:ascii="Arial" w:cs="Arial" w:eastAsia="Arial" w:hAnsi="Arial"/>
          <w:b/>
          <w:bCs/>
          <w:sz w:val="28"/>
          <w:szCs w:val="28"/>
        </w:rPr>
        <w:t xml:space="preserve">2.3 Biopsy and Histopathology</w:t>
      </w:r>
    </w:p>
    <w:p>
      <w:pPr>
        <w:spacing w:after="120"/>
      </w:pPr>
      <w:r>
        <w:rPr>
          <w:rFonts w:ascii="Arial" w:cs="Arial" w:eastAsia="Arial" w:hAnsi="Arial"/>
          <w:sz w:val="22"/>
          <w:szCs w:val="22"/>
        </w:rPr>
        <w:t xml:space="preserve">When a suspicious lesion is seen at endoscopy, biopsy specimens are taken and sent to pathology. The histopathology report is a central document in MDT decision-making.</w:t>
      </w:r>
    </w:p>
    <w:p>
      <w:pPr>
        <w:pStyle w:val="Heading3"/>
        <w:spacing w:before="240" w:after="120"/>
      </w:pPr>
      <w:r>
        <w:rPr>
          <w:rFonts w:ascii="Arial" w:cs="Arial" w:eastAsia="Arial" w:hAnsi="Arial"/>
          <w:b/>
          <w:bCs/>
          <w:sz w:val="26"/>
          <w:szCs w:val="26"/>
        </w:rPr>
        <w:t xml:space="preserve">What a Biopsy Report Contains</w:t>
      </w:r>
    </w:p>
    <w:p>
      <w:pPr>
        <w:pStyle w:val="ListParagraph"/>
        <w:numPr>
          <w:ilvl w:val="0"/>
          <w:numId w:val="2"/>
        </w:numPr>
        <w:spacing w:after="80"/>
      </w:pPr>
      <w:r>
        <w:rPr>
          <w:rFonts w:ascii="Arial" w:cs="Arial" w:eastAsia="Arial" w:hAnsi="Arial"/>
          <w:b/>
          <w:bCs/>
          <w:sz w:val="22"/>
          <w:szCs w:val="22"/>
        </w:rPr>
        <w:t xml:space="preserve">Clinical information</w:t>
      </w:r>
      <w:r>
        <w:rPr>
          <w:rFonts w:ascii="Arial" w:cs="Arial" w:eastAsia="Arial" w:hAnsi="Arial"/>
          <w:sz w:val="22"/>
          <w:szCs w:val="22"/>
        </w:rPr>
        <w:t xml:space="preserve">: Reason for biopsy, endoscopic appearance, site, patient demographics.</w:t>
      </w:r>
    </w:p>
    <w:p>
      <w:pPr>
        <w:pStyle w:val="ListParagraph"/>
        <w:numPr>
          <w:ilvl w:val="0"/>
          <w:numId w:val="2"/>
        </w:numPr>
        <w:spacing w:after="80"/>
      </w:pPr>
      <w:r>
        <w:rPr>
          <w:rFonts w:ascii="Arial" w:cs="Arial" w:eastAsia="Arial" w:hAnsi="Arial"/>
          <w:b/>
          <w:bCs/>
          <w:sz w:val="22"/>
          <w:szCs w:val="22"/>
        </w:rPr>
        <w:t xml:space="preserve">Macroscopic description</w:t>
      </w:r>
      <w:r>
        <w:rPr>
          <w:rFonts w:ascii="Arial" w:cs="Arial" w:eastAsia="Arial" w:hAnsi="Arial"/>
          <w:sz w:val="22"/>
          <w:szCs w:val="22"/>
        </w:rPr>
        <w:t xml:space="preserve">: Size, colour, and gross appearance of the biopsy pieces.</w:t>
      </w:r>
    </w:p>
    <w:p>
      <w:pPr>
        <w:pStyle w:val="ListParagraph"/>
        <w:numPr>
          <w:ilvl w:val="0"/>
          <w:numId w:val="2"/>
        </w:numPr>
        <w:spacing w:after="80"/>
      </w:pPr>
      <w:r>
        <w:rPr>
          <w:rFonts w:ascii="Arial" w:cs="Arial" w:eastAsia="Arial" w:hAnsi="Arial"/>
          <w:b/>
          <w:bCs/>
          <w:sz w:val="22"/>
          <w:szCs w:val="22"/>
        </w:rPr>
        <w:t xml:space="preserve">Histological findings</w:t>
      </w:r>
      <w:r>
        <w:rPr>
          <w:rFonts w:ascii="Arial" w:cs="Arial" w:eastAsia="Arial" w:hAnsi="Arial"/>
          <w:sz w:val="22"/>
          <w:szCs w:val="22"/>
        </w:rPr>
        <w:t xml:space="preserve">: Tissue type, degree of differentiation, dysplasia grade.</w:t>
      </w:r>
    </w:p>
    <w:p>
      <w:pPr>
        <w:pStyle w:val="ListParagraph"/>
        <w:numPr>
          <w:ilvl w:val="0"/>
          <w:numId w:val="2"/>
        </w:numPr>
        <w:spacing w:after="80"/>
      </w:pPr>
      <w:r>
        <w:rPr>
          <w:rFonts w:ascii="Arial" w:cs="Arial" w:eastAsia="Arial" w:hAnsi="Arial"/>
          <w:b/>
          <w:bCs/>
          <w:sz w:val="22"/>
          <w:szCs w:val="22"/>
        </w:rPr>
        <w:t xml:space="preserve">Diagnosis</w:t>
      </w:r>
      <w:r>
        <w:rPr>
          <w:rFonts w:ascii="Arial" w:cs="Arial" w:eastAsia="Arial" w:hAnsi="Arial"/>
          <w:sz w:val="22"/>
          <w:szCs w:val="22"/>
        </w:rPr>
        <w:t xml:space="preserve">: Tumour type and grade (e.g. 'moderately differentiated adenocarcinoma').</w:t>
      </w:r>
    </w:p>
    <w:p>
      <w:pPr>
        <w:pStyle w:val="ListParagraph"/>
        <w:numPr>
          <w:ilvl w:val="0"/>
          <w:numId w:val="2"/>
        </w:numPr>
        <w:spacing w:after="80"/>
      </w:pPr>
      <w:r>
        <w:rPr>
          <w:rFonts w:ascii="Arial" w:cs="Arial" w:eastAsia="Arial" w:hAnsi="Arial"/>
          <w:b/>
          <w:bCs/>
          <w:sz w:val="22"/>
          <w:szCs w:val="22"/>
        </w:rPr>
        <w:t xml:space="preserve">Additional studies</w:t>
      </w:r>
      <w:r>
        <w:rPr>
          <w:rFonts w:ascii="Arial" w:cs="Arial" w:eastAsia="Arial" w:hAnsi="Arial"/>
          <w:sz w:val="22"/>
          <w:szCs w:val="22"/>
        </w:rPr>
        <w:t xml:space="preserve">: MMR status by IHC, MSI testing, KRAS/NRAS/BRAF mutation results if sent.</w:t>
      </w:r>
    </w:p>
    <w:p>
      <w:pPr>
        <w:pStyle w:val="ListParagraph"/>
        <w:numPr>
          <w:ilvl w:val="0"/>
          <w:numId w:val="2"/>
        </w:numPr>
        <w:spacing w:after="80"/>
      </w:pPr>
      <w:r>
        <w:rPr>
          <w:rFonts w:ascii="Arial" w:cs="Arial" w:eastAsia="Arial" w:hAnsi="Arial"/>
          <w:b/>
          <w:bCs/>
          <w:sz w:val="22"/>
          <w:szCs w:val="22"/>
        </w:rPr>
        <w:t xml:space="preserve">SNOMED code</w:t>
      </w:r>
      <w:r>
        <w:rPr>
          <w:rFonts w:ascii="Arial" w:cs="Arial" w:eastAsia="Arial" w:hAnsi="Arial"/>
          <w:sz w:val="22"/>
          <w:szCs w:val="22"/>
        </w:rPr>
        <w:t xml:space="preserve">: Standardised pathology coding system used in UK labs.</w:t>
      </w:r>
    </w:p>
    <w:p>
      <w:pPr>
        <w:pStyle w:val="Heading3"/>
        <w:spacing w:before="240" w:after="120"/>
      </w:pPr>
      <w:r>
        <w:rPr>
          <w:rFonts w:ascii="Arial" w:cs="Arial" w:eastAsia="Arial" w:hAnsi="Arial"/>
          <w:b/>
          <w:bCs/>
          <w:sz w:val="26"/>
          <w:szCs w:val="26"/>
        </w:rPr>
        <w:t xml:space="preserve">Differentiation Grade in Pathology Reports</w:t>
      </w:r>
    </w:p>
    <w:p>
      <w:pPr>
        <w:spacing w:after="120"/>
      </w:pPr>
      <w:r>
        <w:rPr>
          <w:rFonts w:ascii="Arial" w:cs="Arial" w:eastAsia="Arial" w:hAnsi="Arial"/>
          <w:sz w:val="22"/>
          <w:szCs w:val="22"/>
        </w:rPr>
        <w:t xml:space="preserve">See Section 1.5 above. The biopsy grade may differ from the resection specimen grade because biopsies sample only part of the tumour.</w:t>
      </w:r>
    </w:p>
    <w:p>
      <w:pPr>
        <w:pStyle w:val="Heading3"/>
        <w:spacing w:before="240" w:after="120"/>
      </w:pPr>
      <w:r>
        <w:rPr>
          <w:rFonts w:ascii="Arial" w:cs="Arial" w:eastAsia="Arial" w:hAnsi="Arial"/>
          <w:b/>
          <w:bCs/>
          <w:sz w:val="26"/>
          <w:szCs w:val="26"/>
        </w:rPr>
        <w:t xml:space="preserve">MMR (Mismatch Repair) Status</w:t>
      </w:r>
    </w:p>
    <w:p>
      <w:pPr>
        <w:spacing w:after="120"/>
      </w:pPr>
      <w:r>
        <w:rPr>
          <w:rFonts w:ascii="Arial" w:cs="Arial" w:eastAsia="Arial" w:hAnsi="Arial"/>
          <w:b/>
          <w:bCs/>
          <w:sz w:val="22"/>
          <w:szCs w:val="22"/>
        </w:rPr>
        <w:t xml:space="preserve">DNA mismatch repair (MMR)</w:t>
      </w:r>
      <w:r>
        <w:rPr>
          <w:rFonts w:ascii="Arial" w:cs="Arial" w:eastAsia="Arial" w:hAnsi="Arial"/>
          <w:sz w:val="22"/>
          <w:szCs w:val="22"/>
        </w:rPr>
        <w:t xml:space="preserve"> is a cellular mechanism that corrects errors in DNA replication. The key MMR proteins are </w:t>
      </w:r>
      <w:r>
        <w:rPr>
          <w:rFonts w:ascii="Arial" w:cs="Arial" w:eastAsia="Arial" w:hAnsi="Arial"/>
          <w:b/>
          <w:bCs/>
          <w:sz w:val="22"/>
          <w:szCs w:val="22"/>
        </w:rPr>
        <w:t xml:space="preserve">MLH1</w:t>
      </w:r>
      <w:r>
        <w:rPr>
          <w:rFonts w:ascii="Arial" w:cs="Arial" w:eastAsia="Arial" w:hAnsi="Arial"/>
          <w:sz w:val="22"/>
          <w:szCs w:val="22"/>
        </w:rPr>
        <w:t xml:space="preserve">, </w:t>
      </w:r>
      <w:r>
        <w:rPr>
          <w:rFonts w:ascii="Arial" w:cs="Arial" w:eastAsia="Arial" w:hAnsi="Arial"/>
          <w:b/>
          <w:bCs/>
          <w:sz w:val="22"/>
          <w:szCs w:val="22"/>
        </w:rPr>
        <w:t xml:space="preserve">MSH2</w:t>
      </w:r>
      <w:r>
        <w:rPr>
          <w:rFonts w:ascii="Arial" w:cs="Arial" w:eastAsia="Arial" w:hAnsi="Arial"/>
          <w:sz w:val="22"/>
          <w:szCs w:val="22"/>
        </w:rPr>
        <w:t xml:space="preserve">, </w:t>
      </w:r>
      <w:r>
        <w:rPr>
          <w:rFonts w:ascii="Arial" w:cs="Arial" w:eastAsia="Arial" w:hAnsi="Arial"/>
          <w:b/>
          <w:bCs/>
          <w:sz w:val="22"/>
          <w:szCs w:val="22"/>
        </w:rPr>
        <w:t xml:space="preserve">MSH6</w:t>
      </w:r>
      <w:r>
        <w:rPr>
          <w:rFonts w:ascii="Arial" w:cs="Arial" w:eastAsia="Arial" w:hAnsi="Arial"/>
          <w:sz w:val="22"/>
          <w:szCs w:val="22"/>
        </w:rPr>
        <w:t xml:space="preserve">, and </w:t>
      </w:r>
      <w:r>
        <w:rPr>
          <w:rFonts w:ascii="Arial" w:cs="Arial" w:eastAsia="Arial" w:hAnsi="Arial"/>
          <w:b/>
          <w:bCs/>
          <w:sz w:val="22"/>
          <w:szCs w:val="22"/>
        </w:rPr>
        <w:t xml:space="preserve">PMS2</w:t>
      </w:r>
      <w:r>
        <w:rPr>
          <w:rFonts w:ascii="Arial" w:cs="Arial" w:eastAsia="Arial" w:hAnsi="Arial"/>
          <w:sz w:val="22"/>
          <w:szCs w:val="22"/>
        </w:rPr>
        <w:t xml:space="preserve">.</w:t>
      </w:r>
    </w:p>
    <w:p>
      <w:pPr>
        <w:spacing w:after="120"/>
      </w:pPr>
      <w:r>
        <w:rPr>
          <w:rFonts w:ascii="Arial" w:cs="Arial" w:eastAsia="Arial" w:hAnsi="Arial"/>
          <w:b/>
          <w:bCs/>
          <w:sz w:val="22"/>
          <w:szCs w:val="22"/>
        </w:rPr>
        <w:t xml:space="preserve">MMR-proficient (pMMR)</w:t>
      </w:r>
      <w:r>
        <w:rPr>
          <w:rFonts w:ascii="Arial" w:cs="Arial" w:eastAsia="Arial" w:hAnsi="Arial"/>
          <w:sz w:val="22"/>
          <w:szCs w:val="22"/>
        </w:rPr>
        <w:t xml:space="preserve">: all four MMR proteins are present and functional. The DNA replication fidelity system is intact. Most (~85%) colorectal cancers are pMMR.</w:t>
      </w:r>
    </w:p>
    <w:p>
      <w:pPr>
        <w:spacing w:after="120"/>
      </w:pPr>
      <w:r>
        <w:rPr>
          <w:rFonts w:ascii="Arial" w:cs="Arial" w:eastAsia="Arial" w:hAnsi="Arial"/>
          <w:b/>
          <w:bCs/>
          <w:sz w:val="22"/>
          <w:szCs w:val="22"/>
        </w:rPr>
        <w:t xml:space="preserve">MMR-deficient (dMMR)</w:t>
      </w:r>
      <w:r>
        <w:rPr>
          <w:rFonts w:ascii="Arial" w:cs="Arial" w:eastAsia="Arial" w:hAnsi="Arial"/>
          <w:sz w:val="22"/>
          <w:szCs w:val="22"/>
        </w:rPr>
        <w:t xml:space="preserve">: one or more MMR proteins are absent or non-functional. This causes widespread mutation accumulation (especially at short repeated DNA sequences called microsatellites), resulting in </w:t>
      </w:r>
      <w:r>
        <w:rPr>
          <w:rFonts w:ascii="Arial" w:cs="Arial" w:eastAsia="Arial" w:hAnsi="Arial"/>
          <w:b/>
          <w:bCs/>
          <w:sz w:val="22"/>
          <w:szCs w:val="22"/>
        </w:rPr>
        <w:t xml:space="preserve">microsatellite instability (MSI)</w:t>
      </w:r>
    </w:p>
    <w:p>
      <w:pPr>
        <w:spacing w:after="120"/>
      </w:pPr>
      <w:r>
        <w:rPr>
          <w:rFonts w:ascii="Arial" w:cs="Arial" w:eastAsia="Arial" w:hAnsi="Arial"/>
          <w:b/>
          <w:bCs/>
          <w:sz w:val="22"/>
          <w:szCs w:val="22"/>
        </w:rPr>
        <w:t xml:space="preserve">Why MMR status matters:</w:t>
      </w:r>
    </w:p>
    <w:p>
      <w:pPr>
        <w:pStyle w:val="ListParagraph"/>
        <w:numPr>
          <w:ilvl w:val="0"/>
          <w:numId w:val="2"/>
        </w:numPr>
        <w:spacing w:after="80"/>
      </w:pPr>
      <w:r>
        <w:rPr>
          <w:rFonts w:ascii="Arial" w:cs="Arial" w:eastAsia="Arial" w:hAnsi="Arial"/>
          <w:b/>
          <w:bCs/>
          <w:sz w:val="22"/>
          <w:szCs w:val="22"/>
        </w:rPr>
        <w:t xml:space="preserve">Stage II (node-negative) disease</w:t>
      </w:r>
      <w:r>
        <w:rPr>
          <w:rFonts w:ascii="Arial" w:cs="Arial" w:eastAsia="Arial" w:hAnsi="Arial"/>
          <w:sz w:val="22"/>
          <w:szCs w:val="22"/>
        </w:rPr>
        <w:t xml:space="preserve">: dMMR/MSI-H is associated with a better prognosis and, importantly, does NOT benefit from adjuvant fluoropyrimidine monotherapy. In fact, adjuvant 5-FU may be harmful in this group. This is a critical decision point for the oncologist.</w:t>
      </w:r>
    </w:p>
    <w:p>
      <w:pPr>
        <w:pStyle w:val="ListParagraph"/>
        <w:numPr>
          <w:ilvl w:val="0"/>
          <w:numId w:val="2"/>
        </w:numPr>
        <w:spacing w:after="80"/>
      </w:pPr>
      <w:r>
        <w:rPr>
          <w:rFonts w:ascii="Arial" w:cs="Arial" w:eastAsia="Arial" w:hAnsi="Arial"/>
          <w:b/>
          <w:bCs/>
          <w:sz w:val="22"/>
          <w:szCs w:val="22"/>
        </w:rPr>
        <w:t xml:space="preserve">Immunotherapy eligibility</w:t>
      </w:r>
      <w:r>
        <w:rPr>
          <w:rFonts w:ascii="Arial" w:cs="Arial" w:eastAsia="Arial" w:hAnsi="Arial"/>
          <w:sz w:val="22"/>
          <w:szCs w:val="22"/>
        </w:rPr>
        <w:t xml:space="preserve">: dMMR/MSI-H tumours are highly immunogenic (due to high mutational burden) and respond to immune checkpoint inhibitors (pembrolizumab, nivolumab). This is a game-changer in metastatic disease — dMMR/MSI-H patients are now offered pembrolizumab as first-line treatment instead of or before cytotoxic chemotherapy.</w:t>
      </w:r>
    </w:p>
    <w:p>
      <w:pPr>
        <w:pStyle w:val="ListParagraph"/>
        <w:numPr>
          <w:ilvl w:val="0"/>
          <w:numId w:val="2"/>
        </w:numPr>
        <w:spacing w:after="80"/>
      </w:pPr>
      <w:r>
        <w:rPr>
          <w:rFonts w:ascii="Arial" w:cs="Arial" w:eastAsia="Arial" w:hAnsi="Arial"/>
          <w:b/>
          <w:bCs/>
          <w:sz w:val="22"/>
          <w:szCs w:val="22"/>
        </w:rPr>
        <w:t xml:space="preserve">Lynch syndrome screening</w:t>
      </w:r>
      <w:r>
        <w:rPr>
          <w:rFonts w:ascii="Arial" w:cs="Arial" w:eastAsia="Arial" w:hAnsi="Arial"/>
          <w:sz w:val="22"/>
          <w:szCs w:val="22"/>
        </w:rPr>
        <w:t xml:space="preserve">: dMMR in a younger patient (especially MLH1 loss) triggers germline testing to identify Lynch syndrome, with implications for the patient's family.</w:t>
      </w:r>
    </w:p>
    <w:p>
      <w:pPr>
        <w:pStyle w:val="Heading3"/>
        <w:spacing w:before="240" w:after="120"/>
      </w:pPr>
      <w:r>
        <w:rPr>
          <w:rFonts w:ascii="Arial" w:cs="Arial" w:eastAsia="Arial" w:hAnsi="Arial"/>
          <w:b/>
          <w:bCs/>
          <w:sz w:val="26"/>
          <w:szCs w:val="26"/>
        </w:rPr>
        <w:t xml:space="preserve">MSI (Microsatellite Instability) and Its Relationship to MMR</w:t>
      </w:r>
    </w:p>
    <w:p>
      <w:pPr>
        <w:spacing w:after="120"/>
      </w:pPr>
      <w:r>
        <w:rPr>
          <w:rFonts w:ascii="Arial" w:cs="Arial" w:eastAsia="Arial" w:hAnsi="Arial"/>
          <w:b/>
          <w:bCs/>
          <w:sz w:val="22"/>
          <w:szCs w:val="22"/>
        </w:rPr>
        <w:t xml:space="preserve">Microsatellites</w:t>
      </w:r>
      <w:r>
        <w:rPr>
          <w:rFonts w:ascii="Arial" w:cs="Arial" w:eastAsia="Arial" w:hAnsi="Arial"/>
          <w:sz w:val="22"/>
          <w:szCs w:val="22"/>
        </w:rPr>
        <w:t xml:space="preserve"> are short repetitive DNA sequences scattered throughout the genome (e.g. CACACACACA). In dMMR cells, errors at these repeats go uncorrected, causing insertions or deletions that alter the length of the repeat sequences.</w:t>
      </w:r>
    </w:p>
    <w:p>
      <w:pPr>
        <w:pStyle w:val="ListParagraph"/>
        <w:numPr>
          <w:ilvl w:val="0"/>
          <w:numId w:val="2"/>
        </w:numPr>
        <w:spacing w:after="80"/>
      </w:pPr>
      <w:r>
        <w:rPr>
          <w:rFonts w:ascii="Arial" w:cs="Arial" w:eastAsia="Arial" w:hAnsi="Arial"/>
          <w:b/>
          <w:bCs/>
          <w:sz w:val="22"/>
          <w:szCs w:val="22"/>
        </w:rPr>
        <w:t xml:space="preserve">MSI-H (Microsatellite Instability — High)</w:t>
      </w:r>
      <w:r>
        <w:rPr>
          <w:rFonts w:ascii="Arial" w:cs="Arial" w:eastAsia="Arial" w:hAnsi="Arial"/>
          <w:sz w:val="22"/>
          <w:szCs w:val="22"/>
        </w:rPr>
        <w:t xml:space="preserve">: instability at 2 or more of the standard 5 microsatellite loci tested by PCR; strongly associated with dMMR status</w:t>
      </w:r>
    </w:p>
    <w:p>
      <w:pPr>
        <w:pStyle w:val="ListParagraph"/>
        <w:numPr>
          <w:ilvl w:val="0"/>
          <w:numId w:val="2"/>
        </w:numPr>
        <w:spacing w:after="80"/>
      </w:pPr>
      <w:r>
        <w:rPr>
          <w:rFonts w:ascii="Arial" w:cs="Arial" w:eastAsia="Arial" w:hAnsi="Arial"/>
          <w:b/>
          <w:bCs/>
          <w:sz w:val="22"/>
          <w:szCs w:val="22"/>
        </w:rPr>
        <w:t xml:space="preserve">MSI-L (MSI — Low)</w:t>
      </w:r>
      <w:r>
        <w:rPr>
          <w:rFonts w:ascii="Arial" w:cs="Arial" w:eastAsia="Arial" w:hAnsi="Arial"/>
          <w:sz w:val="22"/>
          <w:szCs w:val="22"/>
        </w:rPr>
        <w:t xml:space="preserve">: instability at only 1 locus; generally behaves clinically more like MSS</w:t>
      </w:r>
    </w:p>
    <w:p>
      <w:pPr>
        <w:pStyle w:val="ListParagraph"/>
        <w:numPr>
          <w:ilvl w:val="0"/>
          <w:numId w:val="2"/>
        </w:numPr>
        <w:spacing w:after="80"/>
      </w:pPr>
      <w:r>
        <w:rPr>
          <w:rFonts w:ascii="Arial" w:cs="Arial" w:eastAsia="Arial" w:hAnsi="Arial"/>
          <w:b/>
          <w:bCs/>
          <w:sz w:val="22"/>
          <w:szCs w:val="22"/>
        </w:rPr>
        <w:t xml:space="preserve">MSS (Microsatellite Stable)</w:t>
      </w:r>
      <w:r>
        <w:rPr>
          <w:rFonts w:ascii="Arial" w:cs="Arial" w:eastAsia="Arial" w:hAnsi="Arial"/>
          <w:sz w:val="22"/>
          <w:szCs w:val="22"/>
        </w:rPr>
        <w:t xml:space="preserve">: no instability detected; equivalent to pMMR</w:t>
      </w:r>
    </w:p>
    <w:p>
      <w:pPr>
        <w:spacing w:after="120"/>
      </w:pPr>
      <w:r>
        <w:rPr>
          <w:rFonts w:ascii="Arial" w:cs="Arial" w:eastAsia="Arial" w:hAnsi="Arial"/>
          <w:sz w:val="22"/>
          <w:szCs w:val="22"/>
        </w:rPr>
        <w:t xml:space="preserve">MMR testing (by IHC) and MSI testing (by PCR) are largely concordant (~95%) but test different things — IHC tests for protein presence/absence; MSI testing looks at the functional consequence at the DNA level. Both are used in clinical practice; IHC is more widely available.</w:t>
      </w:r>
    </w:p>
    <w:p>
      <w:pPr>
        <w:pStyle w:val="Heading3"/>
        <w:spacing w:before="240" w:after="120"/>
      </w:pPr>
      <w:r>
        <w:rPr>
          <w:rFonts w:ascii="Arial" w:cs="Arial" w:eastAsia="Arial" w:hAnsi="Arial"/>
          <w:b/>
          <w:bCs/>
          <w:sz w:val="26"/>
          <w:szCs w:val="26"/>
        </w:rPr>
        <w:t xml:space="preserve">IHC (Immunohistochemistry)</w:t>
      </w:r>
    </w:p>
    <w:p>
      <w:pPr>
        <w:spacing w:after="120"/>
      </w:pPr>
      <w:r>
        <w:rPr>
          <w:rFonts w:ascii="Arial" w:cs="Arial" w:eastAsia="Arial" w:hAnsi="Arial"/>
          <w:b/>
          <w:bCs/>
          <w:sz w:val="22"/>
          <w:szCs w:val="22"/>
        </w:rPr>
        <w:t xml:space="preserve">Immunohistochemistry (IHC)</w:t>
      </w:r>
      <w:r>
        <w:rPr>
          <w:rFonts w:ascii="Arial" w:cs="Arial" w:eastAsia="Arial" w:hAnsi="Arial"/>
          <w:sz w:val="22"/>
          <w:szCs w:val="22"/>
        </w:rPr>
        <w:t xml:space="preserve"> uses antibodies labelled with a dye to detect specific proteins in tissue sections under the microscope. In colorectal cancer it is used for:</w:t>
      </w:r>
    </w:p>
    <w:p>
      <w:pPr>
        <w:pStyle w:val="ListParagraph"/>
        <w:numPr>
          <w:ilvl w:val="0"/>
          <w:numId w:val="2"/>
        </w:numPr>
        <w:spacing w:after="80"/>
      </w:pPr>
      <w:r>
        <w:rPr>
          <w:rFonts w:ascii="Arial" w:cs="Arial" w:eastAsia="Arial" w:hAnsi="Arial"/>
          <w:sz w:val="22"/>
          <w:szCs w:val="22"/>
        </w:rPr>
        <w:t xml:space="preserve">MMR protein expression (MLH1, MSH2, MSH6, PMS2) — each reported as 'retained' or 'lost'</w:t>
      </w:r>
    </w:p>
    <w:p>
      <w:pPr>
        <w:pStyle w:val="ListParagraph"/>
        <w:numPr>
          <w:ilvl w:val="0"/>
          <w:numId w:val="2"/>
        </w:numPr>
        <w:spacing w:after="80"/>
      </w:pPr>
      <w:r>
        <w:rPr>
          <w:rFonts w:ascii="Arial" w:cs="Arial" w:eastAsia="Arial" w:hAnsi="Arial"/>
          <w:sz w:val="22"/>
          <w:szCs w:val="22"/>
        </w:rPr>
        <w:t xml:space="preserve">HER2 expression — in metastatic CRC, HER2 amplification is an emerging targetable biomarker</w:t>
      </w:r>
    </w:p>
    <w:p>
      <w:pPr>
        <w:pStyle w:val="ListParagraph"/>
        <w:numPr>
          <w:ilvl w:val="0"/>
          <w:numId w:val="2"/>
        </w:numPr>
        <w:spacing w:after="80"/>
      </w:pPr>
      <w:r>
        <w:rPr>
          <w:rFonts w:ascii="Arial" w:cs="Arial" w:eastAsia="Arial" w:hAnsi="Arial"/>
          <w:sz w:val="22"/>
          <w:szCs w:val="22"/>
        </w:rPr>
        <w:t xml:space="preserve">CDX2 expression — a marker of colorectal origin useful in cancers of unknown primary</w:t>
      </w:r>
    </w:p>
    <w:p>
      <w:pPr>
        <w:pStyle w:val="ListParagraph"/>
        <w:numPr>
          <w:ilvl w:val="0"/>
          <w:numId w:val="2"/>
        </w:numPr>
        <w:spacing w:after="80"/>
      </w:pPr>
      <w:r>
        <w:rPr>
          <w:rFonts w:ascii="Arial" w:cs="Arial" w:eastAsia="Arial" w:hAnsi="Arial"/>
          <w:sz w:val="22"/>
          <w:szCs w:val="22"/>
        </w:rPr>
        <w:t xml:space="preserve">SATB2 expression — another marker of lower gastrointestinal origin</w:t>
      </w:r>
    </w:p>
    <w:p>
      <w:pPr>
        <w:pStyle w:val="Heading3"/>
        <w:spacing w:before="240" w:after="120"/>
      </w:pPr>
      <w:r>
        <w:rPr>
          <w:rFonts w:ascii="Arial" w:cs="Arial" w:eastAsia="Arial" w:hAnsi="Arial"/>
          <w:b/>
          <w:bCs/>
          <w:sz w:val="26"/>
          <w:szCs w:val="26"/>
        </w:rPr>
        <w:t xml:space="preserve">Molecular Mutation Testing: KRAS, NRAS, BRAF</w:t>
      </w:r>
    </w:p>
    <w:p>
      <w:pPr>
        <w:spacing w:after="120"/>
      </w:pPr>
      <w:r>
        <w:rPr>
          <w:rFonts w:ascii="Arial" w:cs="Arial" w:eastAsia="Arial" w:hAnsi="Arial"/>
          <w:sz w:val="22"/>
          <w:szCs w:val="22"/>
        </w:rPr>
        <w:t xml:space="preserve">These tests are performed on resection specimens or biopsy material from metastatic disease. They are typically sent as a 'RAS/BRAF panel' by the oncologist when the patient has metastatic disease and is being considered for biological agents.</w:t>
      </w:r>
    </w:p>
    <w:p>
      <w:pPr>
        <w:pStyle w:val="ListParagraph"/>
        <w:numPr>
          <w:ilvl w:val="0"/>
          <w:numId w:val="2"/>
        </w:numPr>
        <w:spacing w:after="80"/>
      </w:pPr>
      <w:r>
        <w:rPr>
          <w:rFonts w:ascii="Arial" w:cs="Arial" w:eastAsia="Arial" w:hAnsi="Arial"/>
          <w:b/>
          <w:bCs/>
          <w:sz w:val="22"/>
          <w:szCs w:val="22"/>
        </w:rPr>
        <w:t xml:space="preserve">KRAS (Kirsten RAS)</w:t>
      </w:r>
      <w:r>
        <w:rPr>
          <w:rFonts w:ascii="Arial" w:cs="Arial" w:eastAsia="Arial" w:hAnsi="Arial"/>
          <w:sz w:val="22"/>
          <w:szCs w:val="22"/>
        </w:rPr>
        <w:t xml:space="preserve">: The most commonly mutated oncogene in CRC (~40–45% of cases, predominantly codon 12 and 13 of exon 2). KRAS mutation is a </w:t>
      </w:r>
      <w:r>
        <w:rPr>
          <w:rFonts w:ascii="Arial" w:cs="Arial" w:eastAsia="Arial" w:hAnsi="Arial"/>
          <w:b/>
          <w:bCs/>
          <w:sz w:val="22"/>
          <w:szCs w:val="22"/>
        </w:rPr>
        <w:t xml:space="preserve">negative predictor</w:t>
      </w:r>
      <w:r>
        <w:rPr>
          <w:rFonts w:ascii="Arial" w:cs="Arial" w:eastAsia="Arial" w:hAnsi="Arial"/>
          <w:sz w:val="22"/>
          <w:szCs w:val="22"/>
        </w:rPr>
        <w:t xml:space="preserve"> for anti-EGFR therapy (cetuximab, panitumumab) — these drugs will not work if KRAS is mutated. Historically, only exon 2 was tested ('KRAS'), but extended RAS testing (all KRAS and NRAS exons) is now standard.</w:t>
      </w:r>
    </w:p>
    <w:p>
      <w:pPr>
        <w:pStyle w:val="ListParagraph"/>
        <w:numPr>
          <w:ilvl w:val="0"/>
          <w:numId w:val="2"/>
        </w:numPr>
        <w:spacing w:after="80"/>
      </w:pPr>
      <w:r>
        <w:rPr>
          <w:rFonts w:ascii="Arial" w:cs="Arial" w:eastAsia="Arial" w:hAnsi="Arial"/>
          <w:b/>
          <w:bCs/>
          <w:sz w:val="22"/>
          <w:szCs w:val="22"/>
        </w:rPr>
        <w:t xml:space="preserve">NRAS (Neuroblastoma RAS)</w:t>
      </w:r>
      <w:r>
        <w:rPr>
          <w:rFonts w:ascii="Arial" w:cs="Arial" w:eastAsia="Arial" w:hAnsi="Arial"/>
          <w:sz w:val="22"/>
          <w:szCs w:val="22"/>
        </w:rPr>
        <w:t xml:space="preserve">: Mutated in ~5% of CRC. Also predicts resistance to anti-EGFR therapy. Must be tested ('extended RAS') before prescribing cetuximab or panitumumab. Anti-EGFR agents should only be used if both KRAS and NRAS are </w:t>
      </w:r>
      <w:r>
        <w:rPr>
          <w:rFonts w:ascii="Arial" w:cs="Arial" w:eastAsia="Arial" w:hAnsi="Arial"/>
          <w:b/>
          <w:bCs/>
          <w:sz w:val="22"/>
          <w:szCs w:val="22"/>
        </w:rPr>
        <w:t xml:space="preserve">wild-type (unmutated)</w:t>
      </w:r>
    </w:p>
    <w:p>
      <w:pPr>
        <w:pStyle w:val="ListParagraph"/>
        <w:numPr>
          <w:ilvl w:val="0"/>
          <w:numId w:val="2"/>
        </w:numPr>
        <w:spacing w:after="80"/>
      </w:pPr>
      <w:r>
        <w:rPr>
          <w:rFonts w:ascii="Arial" w:cs="Arial" w:eastAsia="Arial" w:hAnsi="Arial"/>
          <w:b/>
          <w:bCs/>
          <w:sz w:val="22"/>
          <w:szCs w:val="22"/>
        </w:rPr>
        <w:t xml:space="preserve">BRAF</w:t>
      </w:r>
      <w:r>
        <w:rPr>
          <w:rFonts w:ascii="Arial" w:cs="Arial" w:eastAsia="Arial" w:hAnsi="Arial"/>
          <w:sz w:val="22"/>
          <w:szCs w:val="22"/>
        </w:rPr>
        <w:t xml:space="preserve">: The BRAF V600E mutation occurs in ~8–12% of metastatic CRC, almost exclusively in MSI-H or microsatellite stable tumours with right-sided primary. It is a </w:t>
      </w:r>
      <w:r>
        <w:rPr>
          <w:rFonts w:ascii="Arial" w:cs="Arial" w:eastAsia="Arial" w:hAnsi="Arial"/>
          <w:b/>
          <w:bCs/>
          <w:sz w:val="22"/>
          <w:szCs w:val="22"/>
        </w:rPr>
        <w:t xml:space="preserve">very poor prognostic marker</w:t>
      </w:r>
      <w:r>
        <w:rPr>
          <w:rFonts w:ascii="Arial" w:cs="Arial" w:eastAsia="Arial" w:hAnsi="Arial"/>
          <w:sz w:val="22"/>
          <w:szCs w:val="22"/>
        </w:rPr>
        <w:t xml:space="preserve"> in metastatic disease. BRAF-mutated CRC responds poorly to standard chemotherapy. However, the BEACON CRC trial demonstrated benefit from the combination of encorafenib (BRAF inhibitor) + cetuximab (anti-EGFR) in BRAF V600E-mutated metastatic CRC. Also important: BRAF V600E mutation essentially excludes Lynch syndrome — it is associated with sporadic MLH1 silencing via promoter methylation rather than germline MMR mutation.</w:t>
      </w:r>
    </w:p>
    <w:p>
      <w:pPr>
        <w:spacing w:after="80"/>
      </w:pPr>
      <w:r>
        <w:t xml:space="preserve"/>
      </w:r>
    </w:p>
    <w:p>
      <w:pPr>
        <w:pStyle w:val="Heading2"/>
        <w:spacing w:before="280" w:after="160"/>
      </w:pPr>
      <w:r>
        <w:rPr>
          <w:rFonts w:ascii="Arial" w:cs="Arial" w:eastAsia="Arial" w:hAnsi="Arial"/>
          <w:b/>
          <w:bCs/>
          <w:sz w:val="28"/>
          <w:szCs w:val="28"/>
        </w:rPr>
        <w:t xml:space="preserve">2.4 Blood Tests: CEA (Carcinoembryonic Antigen)</w:t>
      </w:r>
    </w:p>
    <w:p>
      <w:pPr>
        <w:spacing w:after="120"/>
      </w:pPr>
      <w:r>
        <w:rPr>
          <w:rFonts w:ascii="Arial" w:cs="Arial" w:eastAsia="Arial" w:hAnsi="Arial"/>
          <w:b/>
          <w:bCs/>
          <w:sz w:val="22"/>
          <w:szCs w:val="22"/>
        </w:rPr>
        <w:t xml:space="preserve">CEA (Carcinoembryonic Antigen)</w:t>
      </w:r>
      <w:r>
        <w:rPr>
          <w:rFonts w:ascii="Arial" w:cs="Arial" w:eastAsia="Arial" w:hAnsi="Arial"/>
          <w:sz w:val="22"/>
          <w:szCs w:val="22"/>
        </w:rPr>
        <w:t xml:space="preserve"> is a glycoprotein produced by fetal gastrointestinal tissue that is re-expressed by many colorectal tumour cells. It is the most widely used serum tumour marker in colorectal cancer.</w:t>
      </w:r>
    </w:p>
    <w:p>
      <w:pPr>
        <w:pStyle w:val="ListParagraph"/>
        <w:numPr>
          <w:ilvl w:val="0"/>
          <w:numId w:val="2"/>
        </w:numPr>
        <w:spacing w:after="80"/>
      </w:pPr>
      <w:r>
        <w:rPr>
          <w:rFonts w:ascii="Arial" w:cs="Arial" w:eastAsia="Arial" w:hAnsi="Arial"/>
          <w:b/>
          <w:bCs/>
          <w:sz w:val="22"/>
          <w:szCs w:val="22"/>
        </w:rPr>
        <w:t xml:space="preserve">Normal range</w:t>
      </w:r>
      <w:r>
        <w:rPr>
          <w:rFonts w:ascii="Arial" w:cs="Arial" w:eastAsia="Arial" w:hAnsi="Arial"/>
          <w:sz w:val="22"/>
          <w:szCs w:val="22"/>
        </w:rPr>
        <w:t xml:space="preserve">: &lt;5 ng/mL in non-smokers; &lt;10 ng/mL in smokers (laboratory reference ranges vary slightly)</w:t>
      </w:r>
    </w:p>
    <w:p>
      <w:pPr>
        <w:pStyle w:val="ListParagraph"/>
        <w:numPr>
          <w:ilvl w:val="0"/>
          <w:numId w:val="2"/>
        </w:numPr>
        <w:spacing w:after="80"/>
      </w:pPr>
      <w:r>
        <w:rPr>
          <w:rFonts w:ascii="Arial" w:cs="Arial" w:eastAsia="Arial" w:hAnsi="Arial"/>
          <w:b/>
          <w:bCs/>
          <w:sz w:val="22"/>
          <w:szCs w:val="22"/>
        </w:rPr>
        <w:t xml:space="preserve">Uses</w:t>
      </w:r>
      <w:r>
        <w:rPr>
          <w:rFonts w:ascii="Arial" w:cs="Arial" w:eastAsia="Arial" w:hAnsi="Arial"/>
          <w:sz w:val="22"/>
          <w:szCs w:val="22"/>
        </w:rPr>
        <w:t xml:space="preserve">: (1) Baseline CEA before surgery predicts prognosis — elevated preoperative CEA is an independent poor prognostic marker. (2) Post-operative surveillance — a rising CEA during follow-up is often the first sign of recurrence. (3) Monitoring response to chemotherapy in metastatic disease.</w:t>
      </w:r>
    </w:p>
    <w:p>
      <w:pPr>
        <w:pStyle w:val="ListParagraph"/>
        <w:numPr>
          <w:ilvl w:val="0"/>
          <w:numId w:val="2"/>
        </w:numPr>
        <w:spacing w:after="80"/>
      </w:pPr>
      <w:r>
        <w:rPr>
          <w:rFonts w:ascii="Arial" w:cs="Arial" w:eastAsia="Arial" w:hAnsi="Arial"/>
          <w:b/>
          <w:bCs/>
          <w:sz w:val="22"/>
          <w:szCs w:val="22"/>
        </w:rPr>
        <w:t xml:space="preserve">Limitations</w:t>
      </w:r>
      <w:r>
        <w:rPr>
          <w:rFonts w:ascii="Arial" w:cs="Arial" w:eastAsia="Arial" w:hAnsi="Arial"/>
          <w:sz w:val="22"/>
          <w:szCs w:val="22"/>
        </w:rPr>
        <w:t xml:space="preserve">: CEA is elevated in only 60–70% of CRC at presentation and in fewer patients with localised disease. It is also non-specific — raised in liver disease, smoking, inflammatory bowel disease, lung cancer, breast cancer, and benign conditions. A normal CEA does not exclude CRC.</w:t>
      </w:r>
    </w:p>
    <w:p>
      <w:pPr>
        <w:pStyle w:val="ListParagraph"/>
        <w:numPr>
          <w:ilvl w:val="0"/>
          <w:numId w:val="2"/>
        </w:numPr>
        <w:spacing w:after="80"/>
      </w:pPr>
      <w:r>
        <w:rPr>
          <w:rFonts w:ascii="Arial" w:cs="Arial" w:eastAsia="Arial" w:hAnsi="Arial"/>
          <w:b/>
          <w:bCs/>
          <w:sz w:val="22"/>
          <w:szCs w:val="22"/>
        </w:rPr>
        <w:t xml:space="preserve">Clinical context</w:t>
      </w:r>
      <w:r>
        <w:rPr>
          <w:rFonts w:ascii="Arial" w:cs="Arial" w:eastAsia="Arial" w:hAnsi="Arial"/>
          <w:sz w:val="22"/>
          <w:szCs w:val="22"/>
        </w:rPr>
        <w:t xml:space="preserve">: MDT proformas will always include a space for the preoperative CEA value. A CEA of, say, 150 ng/mL in a patient with newly diagnosed rectal cancer suggests a high tumour burden; a CEA of 2 ng/mL does not reassure the clinician that there is no disease.</w:t>
      </w:r>
    </w:p>
    <w:p>
      <w:pPr>
        <w:spacing w:after="80"/>
      </w:pPr>
      <w:r>
        <w:t xml:space="preserve"/>
      </w:r>
    </w:p>
    <w:p>
      <w:pPr>
        <w:spacing w:after="120"/>
      </w:pPr>
      <w:r>
        <w:rPr>
          <w:rFonts w:ascii="Arial" w:cs="Arial" w:eastAsia="Arial" w:hAnsi="Arial"/>
          <w:sz w:val="22"/>
          <w:szCs w:val="22"/>
        </w:rPr>
        <w:t xml:space="preserve">Other relevant blood tests in CRC workup include:</w:t>
      </w:r>
    </w:p>
    <w:p>
      <w:pPr>
        <w:pStyle w:val="ListParagraph"/>
        <w:numPr>
          <w:ilvl w:val="0"/>
          <w:numId w:val="2"/>
        </w:numPr>
        <w:spacing w:after="80"/>
      </w:pPr>
      <w:r>
        <w:rPr>
          <w:rFonts w:ascii="Arial" w:cs="Arial" w:eastAsia="Arial" w:hAnsi="Arial"/>
          <w:sz w:val="22"/>
          <w:szCs w:val="22"/>
        </w:rPr>
        <w:t xml:space="preserve">FBC (full blood count) — anaemia, thrombocytosis</w:t>
      </w:r>
    </w:p>
    <w:p>
      <w:pPr>
        <w:pStyle w:val="ListParagraph"/>
        <w:numPr>
          <w:ilvl w:val="0"/>
          <w:numId w:val="2"/>
        </w:numPr>
        <w:spacing w:after="80"/>
      </w:pPr>
      <w:r>
        <w:rPr>
          <w:rFonts w:ascii="Arial" w:cs="Arial" w:eastAsia="Arial" w:hAnsi="Arial"/>
          <w:sz w:val="22"/>
          <w:szCs w:val="22"/>
        </w:rPr>
        <w:t xml:space="preserve">LFTs (liver function tests) — liver metastases</w:t>
      </w:r>
    </w:p>
    <w:p>
      <w:pPr>
        <w:pStyle w:val="ListParagraph"/>
        <w:numPr>
          <w:ilvl w:val="0"/>
          <w:numId w:val="2"/>
        </w:numPr>
        <w:spacing w:after="80"/>
      </w:pPr>
      <w:r>
        <w:rPr>
          <w:rFonts w:ascii="Arial" w:cs="Arial" w:eastAsia="Arial" w:hAnsi="Arial"/>
          <w:sz w:val="22"/>
          <w:szCs w:val="22"/>
        </w:rPr>
        <w:t xml:space="preserve">Renal function / eGFR — relevant before chemotherapy and contrast CT</w:t>
      </w:r>
    </w:p>
    <w:p>
      <w:pPr>
        <w:pStyle w:val="ListParagraph"/>
        <w:numPr>
          <w:ilvl w:val="0"/>
          <w:numId w:val="2"/>
        </w:numPr>
        <w:spacing w:after="80"/>
      </w:pPr>
      <w:r>
        <w:rPr>
          <w:rFonts w:ascii="Arial" w:cs="Arial" w:eastAsia="Arial" w:hAnsi="Arial"/>
          <w:sz w:val="22"/>
          <w:szCs w:val="22"/>
        </w:rPr>
        <w:t xml:space="preserve">Coagulation — relevant pre-operatively</w:t>
      </w:r>
    </w:p>
    <w:p>
      <w:pPr>
        <w:pStyle w:val="ListParagraph"/>
        <w:numPr>
          <w:ilvl w:val="0"/>
          <w:numId w:val="2"/>
        </w:numPr>
        <w:spacing w:after="80"/>
      </w:pPr>
      <w:r>
        <w:rPr>
          <w:rFonts w:ascii="Arial" w:cs="Arial" w:eastAsia="Arial" w:hAnsi="Arial"/>
          <w:sz w:val="22"/>
          <w:szCs w:val="22"/>
        </w:rPr>
        <w:t xml:space="preserve">CA 19-9 — occasionally used alongside CEA as a secondary marker</w:t>
      </w:r>
    </w:p>
    <w:p>
      <w:r>
        <w:br w:type="page"/>
      </w:r>
    </w:p>
    <w:p>
      <w:pPr>
        <w:pStyle w:val="Heading1"/>
        <w:spacing w:before="360" w:after="200"/>
      </w:pPr>
      <w:r>
        <w:rPr>
          <w:rFonts w:ascii="Arial" w:cs="Arial" w:eastAsia="Arial" w:hAnsi="Arial"/>
          <w:b/>
          <w:bCs/>
          <w:sz w:val="32"/>
          <w:szCs w:val="32"/>
        </w:rPr>
        <w:t xml:space="preserve">Section 3: Staging</w:t>
      </w:r>
    </w:p>
    <w:p>
      <w:pPr>
        <w:pStyle w:val="Heading2"/>
        <w:spacing w:before="280" w:after="160"/>
      </w:pPr>
      <w:r>
        <w:rPr>
          <w:rFonts w:ascii="Arial" w:cs="Arial" w:eastAsia="Arial" w:hAnsi="Arial"/>
          <w:b/>
          <w:bCs/>
          <w:sz w:val="28"/>
          <w:szCs w:val="28"/>
        </w:rPr>
        <w:t xml:space="preserve">3.1 The TNM Staging System</w:t>
      </w:r>
    </w:p>
    <w:p>
      <w:pPr>
        <w:spacing w:after="120"/>
      </w:pPr>
      <w:r>
        <w:rPr>
          <w:rFonts w:ascii="Arial" w:cs="Arial" w:eastAsia="Arial" w:hAnsi="Arial"/>
          <w:b/>
          <w:bCs/>
          <w:sz w:val="22"/>
          <w:szCs w:val="22"/>
        </w:rPr>
        <w:t xml:space="preserve">TNM staging</w:t>
      </w:r>
      <w:r>
        <w:rPr>
          <w:rFonts w:ascii="Arial" w:cs="Arial" w:eastAsia="Arial" w:hAnsi="Arial"/>
          <w:sz w:val="22"/>
          <w:szCs w:val="22"/>
        </w:rPr>
        <w:t xml:space="preserve"> is the universal system for describing the anatomical extent of a solid tumour. It is maintained by the </w:t>
      </w:r>
      <w:r>
        <w:rPr>
          <w:rFonts w:ascii="Arial" w:cs="Arial" w:eastAsia="Arial" w:hAnsi="Arial"/>
          <w:b/>
          <w:bCs/>
          <w:sz w:val="22"/>
          <w:szCs w:val="22"/>
        </w:rPr>
        <w:t xml:space="preserve">UICC (Union for International Cancer Control)</w:t>
      </w:r>
      <w:r>
        <w:rPr>
          <w:rFonts w:ascii="Arial" w:cs="Arial" w:eastAsia="Arial" w:hAnsi="Arial"/>
          <w:sz w:val="22"/>
          <w:szCs w:val="22"/>
        </w:rPr>
        <w:t xml:space="preserve"> and the </w:t>
      </w:r>
      <w:r>
        <w:rPr>
          <w:rFonts w:ascii="Arial" w:cs="Arial" w:eastAsia="Arial" w:hAnsi="Arial"/>
          <w:b/>
          <w:bCs/>
          <w:sz w:val="22"/>
          <w:szCs w:val="22"/>
        </w:rPr>
        <w:t xml:space="preserve">AJCC (American Joint Committee on Cancer)</w:t>
      </w:r>
      <w:r>
        <w:rPr>
          <w:rFonts w:ascii="Arial" w:cs="Arial" w:eastAsia="Arial" w:hAnsi="Arial"/>
          <w:sz w:val="22"/>
          <w:szCs w:val="22"/>
        </w:rPr>
        <w:t xml:space="preserve">. The current edition for colorectal cancer is TNM 8 (8th edition, 2017). Every MDT proforma will contain a TNM stage.</w:t>
      </w:r>
    </w:p>
    <w:p>
      <w:pPr>
        <w:spacing w:after="120"/>
      </w:pPr>
      <w:r>
        <w:rPr>
          <w:rFonts w:ascii="Arial" w:cs="Arial" w:eastAsia="Arial" w:hAnsi="Arial"/>
          <w:sz w:val="22"/>
          <w:szCs w:val="22"/>
        </w:rPr>
        <w:t xml:space="preserve">TNM has three axes:</w:t>
      </w:r>
    </w:p>
    <w:p>
      <w:pPr>
        <w:pStyle w:val="ListParagraph"/>
        <w:numPr>
          <w:ilvl w:val="0"/>
          <w:numId w:val="2"/>
        </w:numPr>
        <w:spacing w:after="80"/>
      </w:pPr>
      <w:r>
        <w:rPr>
          <w:rFonts w:ascii="Arial" w:cs="Arial" w:eastAsia="Arial" w:hAnsi="Arial"/>
          <w:b/>
          <w:bCs/>
          <w:sz w:val="22"/>
          <w:szCs w:val="22"/>
        </w:rPr>
        <w:t xml:space="preserve">T (primary Tumour)</w:t>
      </w:r>
      <w:r>
        <w:rPr>
          <w:rFonts w:ascii="Arial" w:cs="Arial" w:eastAsia="Arial" w:hAnsi="Arial"/>
          <w:sz w:val="22"/>
          <w:szCs w:val="22"/>
        </w:rPr>
        <w:t xml:space="preserve">: depth of invasion through the bowel wall</w:t>
      </w:r>
    </w:p>
    <w:p>
      <w:pPr>
        <w:pStyle w:val="ListParagraph"/>
        <w:numPr>
          <w:ilvl w:val="0"/>
          <w:numId w:val="2"/>
        </w:numPr>
        <w:spacing w:after="80"/>
      </w:pPr>
      <w:r>
        <w:rPr>
          <w:rFonts w:ascii="Arial" w:cs="Arial" w:eastAsia="Arial" w:hAnsi="Arial"/>
          <w:b/>
          <w:bCs/>
          <w:sz w:val="22"/>
          <w:szCs w:val="22"/>
        </w:rPr>
        <w:t xml:space="preserve">N (regional lymph Nodes)</w:t>
      </w:r>
      <w:r>
        <w:rPr>
          <w:rFonts w:ascii="Arial" w:cs="Arial" w:eastAsia="Arial" w:hAnsi="Arial"/>
          <w:sz w:val="22"/>
          <w:szCs w:val="22"/>
        </w:rPr>
        <w:t xml:space="preserve">: nodal involvement</w:t>
      </w:r>
    </w:p>
    <w:p>
      <w:pPr>
        <w:pStyle w:val="ListParagraph"/>
        <w:numPr>
          <w:ilvl w:val="0"/>
          <w:numId w:val="2"/>
        </w:numPr>
        <w:spacing w:after="80"/>
      </w:pPr>
      <w:r>
        <w:rPr>
          <w:rFonts w:ascii="Arial" w:cs="Arial" w:eastAsia="Arial" w:hAnsi="Arial"/>
          <w:b/>
          <w:bCs/>
          <w:sz w:val="22"/>
          <w:szCs w:val="22"/>
        </w:rPr>
        <w:t xml:space="preserve">M (distant Metastases)</w:t>
      </w:r>
      <w:r>
        <w:rPr>
          <w:rFonts w:ascii="Arial" w:cs="Arial" w:eastAsia="Arial" w:hAnsi="Arial"/>
          <w:sz w:val="22"/>
          <w:szCs w:val="22"/>
        </w:rPr>
        <w:t xml:space="preserve">: distant spread</w:t>
      </w:r>
    </w:p>
    <w:p>
      <w:pPr>
        <w:pStyle w:val="Heading3"/>
        <w:spacing w:before="240" w:after="120"/>
      </w:pPr>
      <w:r>
        <w:rPr>
          <w:rFonts w:ascii="Arial" w:cs="Arial" w:eastAsia="Arial" w:hAnsi="Arial"/>
          <w:b/>
          <w:bCs/>
          <w:sz w:val="26"/>
          <w:szCs w:val="26"/>
        </w:rPr>
        <w:t xml:space="preserve">T Stage (Primary Tumour)</w:t>
      </w:r>
    </w:p>
    <w:p>
      <w:pPr>
        <w:pStyle w:val="ListParagraph"/>
        <w:numPr>
          <w:ilvl w:val="0"/>
          <w:numId w:val="2"/>
        </w:numPr>
        <w:spacing w:after="80"/>
      </w:pPr>
      <w:r>
        <w:rPr>
          <w:rFonts w:ascii="Arial" w:cs="Arial" w:eastAsia="Arial" w:hAnsi="Arial"/>
          <w:b/>
          <w:bCs/>
          <w:sz w:val="22"/>
          <w:szCs w:val="22"/>
        </w:rPr>
        <w:t xml:space="preserve">TX</w:t>
      </w:r>
      <w:r>
        <w:rPr>
          <w:rFonts w:ascii="Arial" w:cs="Arial" w:eastAsia="Arial" w:hAnsi="Arial"/>
          <w:sz w:val="22"/>
          <w:szCs w:val="22"/>
        </w:rPr>
        <w:t xml:space="preserve">: Primary tumour cannot be assessed</w:t>
      </w:r>
    </w:p>
    <w:p>
      <w:pPr>
        <w:pStyle w:val="ListParagraph"/>
        <w:numPr>
          <w:ilvl w:val="0"/>
          <w:numId w:val="2"/>
        </w:numPr>
        <w:spacing w:after="80"/>
      </w:pPr>
      <w:r>
        <w:rPr>
          <w:rFonts w:ascii="Arial" w:cs="Arial" w:eastAsia="Arial" w:hAnsi="Arial"/>
          <w:b/>
          <w:bCs/>
          <w:sz w:val="22"/>
          <w:szCs w:val="22"/>
        </w:rPr>
        <w:t xml:space="preserve">T0</w:t>
      </w:r>
      <w:r>
        <w:rPr>
          <w:rFonts w:ascii="Arial" w:cs="Arial" w:eastAsia="Arial" w:hAnsi="Arial"/>
          <w:sz w:val="22"/>
          <w:szCs w:val="22"/>
        </w:rPr>
        <w:t xml:space="preserve">: No evidence of primary tumour</w:t>
      </w:r>
    </w:p>
    <w:p>
      <w:pPr>
        <w:pStyle w:val="ListParagraph"/>
        <w:numPr>
          <w:ilvl w:val="0"/>
          <w:numId w:val="2"/>
        </w:numPr>
        <w:spacing w:after="80"/>
      </w:pPr>
      <w:r>
        <w:rPr>
          <w:rFonts w:ascii="Arial" w:cs="Arial" w:eastAsia="Arial" w:hAnsi="Arial"/>
          <w:b/>
          <w:bCs/>
          <w:sz w:val="22"/>
          <w:szCs w:val="22"/>
        </w:rPr>
        <w:t xml:space="preserve">Tis</w:t>
      </w:r>
      <w:r>
        <w:rPr>
          <w:rFonts w:ascii="Arial" w:cs="Arial" w:eastAsia="Arial" w:hAnsi="Arial"/>
          <w:sz w:val="22"/>
          <w:szCs w:val="22"/>
        </w:rPr>
        <w:t xml:space="preserve">: Carcinoma in situ — intramucosal carcinoma (within the mucosa, not breaching muscularis mucosae)</w:t>
      </w:r>
    </w:p>
    <w:p>
      <w:pPr>
        <w:pStyle w:val="ListParagraph"/>
        <w:numPr>
          <w:ilvl w:val="0"/>
          <w:numId w:val="2"/>
        </w:numPr>
        <w:spacing w:after="80"/>
      </w:pPr>
      <w:r>
        <w:rPr>
          <w:rFonts w:ascii="Arial" w:cs="Arial" w:eastAsia="Arial" w:hAnsi="Arial"/>
          <w:b/>
          <w:bCs/>
          <w:sz w:val="22"/>
          <w:szCs w:val="22"/>
        </w:rPr>
        <w:t xml:space="preserve">T1</w:t>
      </w:r>
      <w:r>
        <w:rPr>
          <w:rFonts w:ascii="Arial" w:cs="Arial" w:eastAsia="Arial" w:hAnsi="Arial"/>
          <w:sz w:val="22"/>
          <w:szCs w:val="22"/>
        </w:rPr>
        <w:t xml:space="preserve">: Tumour invades the submucosa (beyond the muscularis mucosae but not into the muscularis propria)</w:t>
      </w:r>
    </w:p>
    <w:p>
      <w:pPr>
        <w:pStyle w:val="ListParagraph"/>
        <w:numPr>
          <w:ilvl w:val="1"/>
          <w:numId w:val="2"/>
        </w:numPr>
        <w:spacing w:after="80"/>
      </w:pPr>
      <w:r>
        <w:rPr>
          <w:rFonts w:ascii="Arial" w:cs="Arial" w:eastAsia="Arial" w:hAnsi="Arial"/>
          <w:b/>
          <w:bCs/>
          <w:sz w:val="22"/>
          <w:szCs w:val="22"/>
        </w:rPr>
        <w:t xml:space="preserve">  T1 sm1</w:t>
      </w:r>
      <w:r>
        <w:rPr>
          <w:rFonts w:ascii="Arial" w:cs="Arial" w:eastAsia="Arial" w:hAnsi="Arial"/>
          <w:sz w:val="22"/>
          <w:szCs w:val="22"/>
        </w:rPr>
        <w:t xml:space="preserve">: Superficial third of the submucosa — the critical division for endoscopic vs surgical management of early rectal/colonic cancer. Used especially in polypectomy/local excision specimens.</w:t>
      </w:r>
    </w:p>
    <w:p>
      <w:pPr>
        <w:pStyle w:val="ListParagraph"/>
        <w:numPr>
          <w:ilvl w:val="1"/>
          <w:numId w:val="2"/>
        </w:numPr>
        <w:spacing w:after="80"/>
      </w:pPr>
      <w:r>
        <w:rPr>
          <w:rFonts w:ascii="Arial" w:cs="Arial" w:eastAsia="Arial" w:hAnsi="Arial"/>
          <w:b/>
          <w:bCs/>
          <w:sz w:val="22"/>
          <w:szCs w:val="22"/>
        </w:rPr>
        <w:t xml:space="preserve">  T1 sm2</w:t>
      </w:r>
      <w:r>
        <w:rPr>
          <w:rFonts w:ascii="Arial" w:cs="Arial" w:eastAsia="Arial" w:hAnsi="Arial"/>
          <w:sz w:val="22"/>
          <w:szCs w:val="22"/>
        </w:rPr>
        <w:t xml:space="preserve">: Middle third of submucosa</w:t>
      </w:r>
    </w:p>
    <w:p>
      <w:pPr>
        <w:pStyle w:val="ListParagraph"/>
        <w:numPr>
          <w:ilvl w:val="1"/>
          <w:numId w:val="2"/>
        </w:numPr>
        <w:spacing w:after="80"/>
      </w:pPr>
      <w:r>
        <w:rPr>
          <w:rFonts w:ascii="Arial" w:cs="Arial" w:eastAsia="Arial" w:hAnsi="Arial"/>
          <w:b/>
          <w:bCs/>
          <w:sz w:val="22"/>
          <w:szCs w:val="22"/>
        </w:rPr>
        <w:t xml:space="preserve">  T1 sm3</w:t>
      </w:r>
      <w:r>
        <w:rPr>
          <w:rFonts w:ascii="Arial" w:cs="Arial" w:eastAsia="Arial" w:hAnsi="Arial"/>
          <w:sz w:val="22"/>
          <w:szCs w:val="22"/>
        </w:rPr>
        <w:t xml:space="preserve">: Deep third of submucosa (sm3 has significantly higher lymph node metastasis rate ~20–25% and is generally not amenable to local excision alone)</w:t>
      </w:r>
    </w:p>
    <w:p>
      <w:pPr>
        <w:pStyle w:val="ListParagraph"/>
        <w:numPr>
          <w:ilvl w:val="0"/>
          <w:numId w:val="2"/>
        </w:numPr>
        <w:spacing w:after="80"/>
      </w:pPr>
      <w:r>
        <w:rPr>
          <w:rFonts w:ascii="Arial" w:cs="Arial" w:eastAsia="Arial" w:hAnsi="Arial"/>
          <w:b/>
          <w:bCs/>
          <w:sz w:val="22"/>
          <w:szCs w:val="22"/>
        </w:rPr>
        <w:t xml:space="preserve">T2</w:t>
      </w:r>
      <w:r>
        <w:rPr>
          <w:rFonts w:ascii="Arial" w:cs="Arial" w:eastAsia="Arial" w:hAnsi="Arial"/>
          <w:sz w:val="22"/>
          <w:szCs w:val="22"/>
        </w:rPr>
        <w:t xml:space="preserve">: Tumour invades the muscularis propria (the main muscle layer of the bowel wall) but does not extend beyond it</w:t>
      </w:r>
    </w:p>
    <w:p>
      <w:pPr>
        <w:pStyle w:val="ListParagraph"/>
        <w:numPr>
          <w:ilvl w:val="0"/>
          <w:numId w:val="2"/>
        </w:numPr>
        <w:spacing w:after="80"/>
      </w:pPr>
      <w:r>
        <w:rPr>
          <w:rFonts w:ascii="Arial" w:cs="Arial" w:eastAsia="Arial" w:hAnsi="Arial"/>
          <w:b/>
          <w:bCs/>
          <w:sz w:val="22"/>
          <w:szCs w:val="22"/>
        </w:rPr>
        <w:t xml:space="preserve">T3</w:t>
      </w:r>
      <w:r>
        <w:rPr>
          <w:rFonts w:ascii="Arial" w:cs="Arial" w:eastAsia="Arial" w:hAnsi="Arial"/>
          <w:sz w:val="22"/>
          <w:szCs w:val="22"/>
        </w:rPr>
        <w:t xml:space="preserve">: Tumour invades through the muscularis propria into the pericolorectal tissues (subserosa or pericolic/perirectal fat)</w:t>
      </w:r>
    </w:p>
    <w:p>
      <w:pPr>
        <w:pStyle w:val="ListParagraph"/>
        <w:numPr>
          <w:ilvl w:val="1"/>
          <w:numId w:val="2"/>
        </w:numPr>
        <w:spacing w:after="80"/>
      </w:pPr>
      <w:r>
        <w:rPr>
          <w:rFonts w:ascii="Arial" w:cs="Arial" w:eastAsia="Arial" w:hAnsi="Arial"/>
          <w:b/>
          <w:bCs/>
          <w:sz w:val="22"/>
          <w:szCs w:val="22"/>
        </w:rPr>
        <w:t xml:space="preserve">  T3a</w:t>
      </w:r>
      <w:r>
        <w:rPr>
          <w:rFonts w:ascii="Arial" w:cs="Arial" w:eastAsia="Arial" w:hAnsi="Arial"/>
          <w:sz w:val="22"/>
          <w:szCs w:val="22"/>
        </w:rPr>
        <w:t xml:space="preserve">: &lt; 1 mm beyond muscularis propria</w:t>
      </w:r>
    </w:p>
    <w:p>
      <w:pPr>
        <w:pStyle w:val="ListParagraph"/>
        <w:numPr>
          <w:ilvl w:val="1"/>
          <w:numId w:val="2"/>
        </w:numPr>
        <w:spacing w:after="80"/>
      </w:pPr>
      <w:r>
        <w:rPr>
          <w:rFonts w:ascii="Arial" w:cs="Arial" w:eastAsia="Arial" w:hAnsi="Arial"/>
          <w:b/>
          <w:bCs/>
          <w:sz w:val="22"/>
          <w:szCs w:val="22"/>
        </w:rPr>
        <w:t xml:space="preserve">  T3b</w:t>
      </w:r>
      <w:r>
        <w:rPr>
          <w:rFonts w:ascii="Arial" w:cs="Arial" w:eastAsia="Arial" w:hAnsi="Arial"/>
          <w:sz w:val="22"/>
          <w:szCs w:val="22"/>
        </w:rPr>
        <w:t xml:space="preserve">: 1–5 mm beyond muscularis propria</w:t>
      </w:r>
    </w:p>
    <w:p>
      <w:pPr>
        <w:pStyle w:val="ListParagraph"/>
        <w:numPr>
          <w:ilvl w:val="1"/>
          <w:numId w:val="2"/>
        </w:numPr>
        <w:spacing w:after="80"/>
      </w:pPr>
      <w:r>
        <w:rPr>
          <w:rFonts w:ascii="Arial" w:cs="Arial" w:eastAsia="Arial" w:hAnsi="Arial"/>
          <w:b/>
          <w:bCs/>
          <w:sz w:val="22"/>
          <w:szCs w:val="22"/>
        </w:rPr>
        <w:t xml:space="preserve">  T3c</w:t>
      </w:r>
      <w:r>
        <w:rPr>
          <w:rFonts w:ascii="Arial" w:cs="Arial" w:eastAsia="Arial" w:hAnsi="Arial"/>
          <w:sz w:val="22"/>
          <w:szCs w:val="22"/>
        </w:rPr>
        <w:t xml:space="preserve">: 5–15 mm beyond muscularis propria</w:t>
      </w:r>
    </w:p>
    <w:p>
      <w:pPr>
        <w:pStyle w:val="ListParagraph"/>
        <w:numPr>
          <w:ilvl w:val="1"/>
          <w:numId w:val="2"/>
        </w:numPr>
        <w:spacing w:after="80"/>
      </w:pPr>
      <w:r>
        <w:rPr>
          <w:rFonts w:ascii="Arial" w:cs="Arial" w:eastAsia="Arial" w:hAnsi="Arial"/>
          <w:b/>
          <w:bCs/>
          <w:sz w:val="22"/>
          <w:szCs w:val="22"/>
        </w:rPr>
        <w:t xml:space="preserve">  T3d</w:t>
      </w:r>
      <w:r>
        <w:rPr>
          <w:rFonts w:ascii="Arial" w:cs="Arial" w:eastAsia="Arial" w:hAnsi="Arial"/>
          <w:sz w:val="22"/>
          <w:szCs w:val="22"/>
        </w:rPr>
        <w:t xml:space="preserve">: &gt; 15 mm beyond muscularis propria</w:t>
      </w:r>
    </w:p>
    <w:p>
      <w:pPr>
        <w:pStyle w:val="ListParagraph"/>
        <w:numPr>
          <w:ilvl w:val="0"/>
          <w:numId w:val="2"/>
        </w:numPr>
        <w:spacing w:after="80"/>
      </w:pPr>
      <w:r>
        <w:rPr>
          <w:rFonts w:ascii="Arial" w:cs="Arial" w:eastAsia="Arial" w:hAnsi="Arial"/>
          <w:b/>
          <w:bCs/>
          <w:sz w:val="22"/>
          <w:szCs w:val="22"/>
        </w:rPr>
        <w:t xml:space="preserve">T4</w:t>
      </w:r>
      <w:r>
        <w:rPr>
          <w:rFonts w:ascii="Arial" w:cs="Arial" w:eastAsia="Arial" w:hAnsi="Arial"/>
          <w:sz w:val="22"/>
          <w:szCs w:val="22"/>
        </w:rPr>
        <w:t xml:space="preserve">: Tumour invades through the visceral peritoneum (T4a) or invades or adheres to adjacent organs or structures (T4b)</w:t>
      </w:r>
    </w:p>
    <w:p>
      <w:pPr>
        <w:pStyle w:val="ListParagraph"/>
        <w:numPr>
          <w:ilvl w:val="1"/>
          <w:numId w:val="2"/>
        </w:numPr>
        <w:spacing w:after="80"/>
      </w:pPr>
      <w:r>
        <w:rPr>
          <w:rFonts w:ascii="Arial" w:cs="Arial" w:eastAsia="Arial" w:hAnsi="Arial"/>
          <w:b/>
          <w:bCs/>
          <w:sz w:val="22"/>
          <w:szCs w:val="22"/>
        </w:rPr>
        <w:t xml:space="preserve">  T4a</w:t>
      </w:r>
      <w:r>
        <w:rPr>
          <w:rFonts w:ascii="Arial" w:cs="Arial" w:eastAsia="Arial" w:hAnsi="Arial"/>
          <w:sz w:val="22"/>
          <w:szCs w:val="22"/>
        </w:rPr>
        <w:t xml:space="preserve">: Tumour penetrates to the surface of the visceral peritoneum</w:t>
      </w:r>
    </w:p>
    <w:p>
      <w:pPr>
        <w:pStyle w:val="ListParagraph"/>
        <w:numPr>
          <w:ilvl w:val="1"/>
          <w:numId w:val="2"/>
        </w:numPr>
        <w:spacing w:after="80"/>
      </w:pPr>
      <w:r>
        <w:rPr>
          <w:rFonts w:ascii="Arial" w:cs="Arial" w:eastAsia="Arial" w:hAnsi="Arial"/>
          <w:b/>
          <w:bCs/>
          <w:sz w:val="22"/>
          <w:szCs w:val="22"/>
        </w:rPr>
        <w:t xml:space="preserve">  T4b</w:t>
      </w:r>
      <w:r>
        <w:rPr>
          <w:rFonts w:ascii="Arial" w:cs="Arial" w:eastAsia="Arial" w:hAnsi="Arial"/>
          <w:sz w:val="22"/>
          <w:szCs w:val="22"/>
        </w:rPr>
        <w:t xml:space="preserve">: Tumour directly invades or is adherent to other organs or structures (bladder, uterus, small bowel, abdominal wall)</w:t>
      </w:r>
    </w:p>
    <w:p>
      <w:pPr>
        <w:pStyle w:val="Heading3"/>
        <w:spacing w:before="240" w:after="120"/>
      </w:pPr>
      <w:r>
        <w:rPr>
          <w:rFonts w:ascii="Arial" w:cs="Arial" w:eastAsia="Arial" w:hAnsi="Arial"/>
          <w:b/>
          <w:bCs/>
          <w:sz w:val="26"/>
          <w:szCs w:val="26"/>
        </w:rPr>
        <w:t xml:space="preserve">N Stage (Regional Lymph Nodes)</w:t>
      </w:r>
    </w:p>
    <w:p>
      <w:pPr>
        <w:pStyle w:val="ListParagraph"/>
        <w:numPr>
          <w:ilvl w:val="0"/>
          <w:numId w:val="2"/>
        </w:numPr>
        <w:spacing w:after="80"/>
      </w:pPr>
      <w:r>
        <w:rPr>
          <w:rFonts w:ascii="Arial" w:cs="Arial" w:eastAsia="Arial" w:hAnsi="Arial"/>
          <w:b/>
          <w:bCs/>
          <w:sz w:val="22"/>
          <w:szCs w:val="22"/>
        </w:rPr>
        <w:t xml:space="preserve">NX</w:t>
      </w:r>
      <w:r>
        <w:rPr>
          <w:rFonts w:ascii="Arial" w:cs="Arial" w:eastAsia="Arial" w:hAnsi="Arial"/>
          <w:sz w:val="22"/>
          <w:szCs w:val="22"/>
        </w:rPr>
        <w:t xml:space="preserve">: Regional lymph nodes cannot be assessed</w:t>
      </w:r>
    </w:p>
    <w:p>
      <w:pPr>
        <w:pStyle w:val="ListParagraph"/>
        <w:numPr>
          <w:ilvl w:val="0"/>
          <w:numId w:val="2"/>
        </w:numPr>
        <w:spacing w:after="80"/>
      </w:pPr>
      <w:r>
        <w:rPr>
          <w:rFonts w:ascii="Arial" w:cs="Arial" w:eastAsia="Arial" w:hAnsi="Arial"/>
          <w:b/>
          <w:bCs/>
          <w:sz w:val="22"/>
          <w:szCs w:val="22"/>
        </w:rPr>
        <w:t xml:space="preserve">N0</w:t>
      </w:r>
      <w:r>
        <w:rPr>
          <w:rFonts w:ascii="Arial" w:cs="Arial" w:eastAsia="Arial" w:hAnsi="Arial"/>
          <w:sz w:val="22"/>
          <w:szCs w:val="22"/>
        </w:rPr>
        <w:t xml:space="preserve">: No regional lymph node metastasis (note: at least 12 lymph nodes must be examined pathologically to adequately stage the nodal basin)</w:t>
      </w:r>
    </w:p>
    <w:p>
      <w:pPr>
        <w:pStyle w:val="ListParagraph"/>
        <w:numPr>
          <w:ilvl w:val="0"/>
          <w:numId w:val="2"/>
        </w:numPr>
        <w:spacing w:after="80"/>
      </w:pPr>
      <w:r>
        <w:rPr>
          <w:rFonts w:ascii="Arial" w:cs="Arial" w:eastAsia="Arial" w:hAnsi="Arial"/>
          <w:b/>
          <w:bCs/>
          <w:sz w:val="22"/>
          <w:szCs w:val="22"/>
        </w:rPr>
        <w:t xml:space="preserve">N1</w:t>
      </w:r>
      <w:r>
        <w:rPr>
          <w:rFonts w:ascii="Arial" w:cs="Arial" w:eastAsia="Arial" w:hAnsi="Arial"/>
          <w:sz w:val="22"/>
          <w:szCs w:val="22"/>
        </w:rPr>
        <w:t xml:space="preserve">: 1–3 regional lymph nodes involved</w:t>
      </w:r>
    </w:p>
    <w:p>
      <w:pPr>
        <w:pStyle w:val="ListParagraph"/>
        <w:numPr>
          <w:ilvl w:val="1"/>
          <w:numId w:val="2"/>
        </w:numPr>
        <w:spacing w:after="80"/>
      </w:pPr>
      <w:r>
        <w:rPr>
          <w:rFonts w:ascii="Arial" w:cs="Arial" w:eastAsia="Arial" w:hAnsi="Arial"/>
          <w:b/>
          <w:bCs/>
          <w:sz w:val="22"/>
          <w:szCs w:val="22"/>
        </w:rPr>
        <w:t xml:space="preserve">  N1a</w:t>
      </w:r>
      <w:r>
        <w:rPr>
          <w:rFonts w:ascii="Arial" w:cs="Arial" w:eastAsia="Arial" w:hAnsi="Arial"/>
          <w:sz w:val="22"/>
          <w:szCs w:val="22"/>
        </w:rPr>
        <w:t xml:space="preserve">: 1 positive lymph node</w:t>
      </w:r>
    </w:p>
    <w:p>
      <w:pPr>
        <w:pStyle w:val="ListParagraph"/>
        <w:numPr>
          <w:ilvl w:val="1"/>
          <w:numId w:val="2"/>
        </w:numPr>
        <w:spacing w:after="80"/>
      </w:pPr>
      <w:r>
        <w:rPr>
          <w:rFonts w:ascii="Arial" w:cs="Arial" w:eastAsia="Arial" w:hAnsi="Arial"/>
          <w:b/>
          <w:bCs/>
          <w:sz w:val="22"/>
          <w:szCs w:val="22"/>
        </w:rPr>
        <w:t xml:space="preserve">  N1b</w:t>
      </w:r>
      <w:r>
        <w:rPr>
          <w:rFonts w:ascii="Arial" w:cs="Arial" w:eastAsia="Arial" w:hAnsi="Arial"/>
          <w:sz w:val="22"/>
          <w:szCs w:val="22"/>
        </w:rPr>
        <w:t xml:space="preserve">: 2–3 positive lymph nodes</w:t>
      </w:r>
    </w:p>
    <w:p>
      <w:pPr>
        <w:pStyle w:val="ListParagraph"/>
        <w:numPr>
          <w:ilvl w:val="1"/>
          <w:numId w:val="2"/>
        </w:numPr>
        <w:spacing w:after="80"/>
      </w:pPr>
      <w:r>
        <w:rPr>
          <w:rFonts w:ascii="Arial" w:cs="Arial" w:eastAsia="Arial" w:hAnsi="Arial"/>
          <w:b/>
          <w:bCs/>
          <w:sz w:val="22"/>
          <w:szCs w:val="22"/>
        </w:rPr>
        <w:t xml:space="preserve">  N1c</w:t>
      </w:r>
      <w:r>
        <w:rPr>
          <w:rFonts w:ascii="Arial" w:cs="Arial" w:eastAsia="Arial" w:hAnsi="Arial"/>
          <w:sz w:val="22"/>
          <w:szCs w:val="22"/>
        </w:rPr>
        <w:t xml:space="preserve">: No positive nodes, but tumour deposit(s) in pericolorectal adipose tissue — tumour deposits without identifiable residual nodal architecture (formerly called 'satellite nodules')</w:t>
      </w:r>
    </w:p>
    <w:p>
      <w:pPr>
        <w:pStyle w:val="ListParagraph"/>
        <w:numPr>
          <w:ilvl w:val="0"/>
          <w:numId w:val="2"/>
        </w:numPr>
        <w:spacing w:after="80"/>
      </w:pPr>
      <w:r>
        <w:rPr>
          <w:rFonts w:ascii="Arial" w:cs="Arial" w:eastAsia="Arial" w:hAnsi="Arial"/>
          <w:b/>
          <w:bCs/>
          <w:sz w:val="22"/>
          <w:szCs w:val="22"/>
        </w:rPr>
        <w:t xml:space="preserve">N2</w:t>
      </w:r>
      <w:r>
        <w:rPr>
          <w:rFonts w:ascii="Arial" w:cs="Arial" w:eastAsia="Arial" w:hAnsi="Arial"/>
          <w:sz w:val="22"/>
          <w:szCs w:val="22"/>
        </w:rPr>
        <w:t xml:space="preserve">: ≥4 regional lymph nodes involved</w:t>
      </w:r>
    </w:p>
    <w:p>
      <w:pPr>
        <w:pStyle w:val="ListParagraph"/>
        <w:numPr>
          <w:ilvl w:val="1"/>
          <w:numId w:val="2"/>
        </w:numPr>
        <w:spacing w:after="80"/>
      </w:pPr>
      <w:r>
        <w:rPr>
          <w:rFonts w:ascii="Arial" w:cs="Arial" w:eastAsia="Arial" w:hAnsi="Arial"/>
          <w:b/>
          <w:bCs/>
          <w:sz w:val="22"/>
          <w:szCs w:val="22"/>
        </w:rPr>
        <w:t xml:space="preserve">  N2a</w:t>
      </w:r>
      <w:r>
        <w:rPr>
          <w:rFonts w:ascii="Arial" w:cs="Arial" w:eastAsia="Arial" w:hAnsi="Arial"/>
          <w:sz w:val="22"/>
          <w:szCs w:val="22"/>
        </w:rPr>
        <w:t xml:space="preserve">: 4–6 positive lymph nodes</w:t>
      </w:r>
    </w:p>
    <w:p>
      <w:pPr>
        <w:pStyle w:val="ListParagraph"/>
        <w:numPr>
          <w:ilvl w:val="1"/>
          <w:numId w:val="2"/>
        </w:numPr>
        <w:spacing w:after="80"/>
      </w:pPr>
      <w:r>
        <w:rPr>
          <w:rFonts w:ascii="Arial" w:cs="Arial" w:eastAsia="Arial" w:hAnsi="Arial"/>
          <w:b/>
          <w:bCs/>
          <w:sz w:val="22"/>
          <w:szCs w:val="22"/>
        </w:rPr>
        <w:t xml:space="preserve">  N2b</w:t>
      </w:r>
      <w:r>
        <w:rPr>
          <w:rFonts w:ascii="Arial" w:cs="Arial" w:eastAsia="Arial" w:hAnsi="Arial"/>
          <w:sz w:val="22"/>
          <w:szCs w:val="22"/>
        </w:rPr>
        <w:t xml:space="preserve">: ≥7 positive lymph nodes</w:t>
      </w:r>
    </w:p>
    <w:p>
      <w:pPr>
        <w:pStyle w:val="Heading3"/>
        <w:spacing w:before="240" w:after="120"/>
      </w:pPr>
      <w:r>
        <w:rPr>
          <w:rFonts w:ascii="Arial" w:cs="Arial" w:eastAsia="Arial" w:hAnsi="Arial"/>
          <w:b/>
          <w:bCs/>
          <w:sz w:val="26"/>
          <w:szCs w:val="26"/>
        </w:rPr>
        <w:t xml:space="preserve">M Stage (Distant Metastases)</w:t>
      </w:r>
    </w:p>
    <w:p>
      <w:pPr>
        <w:pStyle w:val="ListParagraph"/>
        <w:numPr>
          <w:ilvl w:val="0"/>
          <w:numId w:val="2"/>
        </w:numPr>
        <w:spacing w:after="80"/>
      </w:pPr>
      <w:r>
        <w:rPr>
          <w:rFonts w:ascii="Arial" w:cs="Arial" w:eastAsia="Arial" w:hAnsi="Arial"/>
          <w:b/>
          <w:bCs/>
          <w:sz w:val="22"/>
          <w:szCs w:val="22"/>
        </w:rPr>
        <w:t xml:space="preserve">M0</w:t>
      </w:r>
      <w:r>
        <w:rPr>
          <w:rFonts w:ascii="Arial" w:cs="Arial" w:eastAsia="Arial" w:hAnsi="Arial"/>
          <w:sz w:val="22"/>
          <w:szCs w:val="22"/>
        </w:rPr>
        <w:t xml:space="preserve">: No distant metastases</w:t>
      </w:r>
    </w:p>
    <w:p>
      <w:pPr>
        <w:pStyle w:val="ListParagraph"/>
        <w:numPr>
          <w:ilvl w:val="0"/>
          <w:numId w:val="2"/>
        </w:numPr>
        <w:spacing w:after="80"/>
      </w:pPr>
      <w:r>
        <w:rPr>
          <w:rFonts w:ascii="Arial" w:cs="Arial" w:eastAsia="Arial" w:hAnsi="Arial"/>
          <w:b/>
          <w:bCs/>
          <w:sz w:val="22"/>
          <w:szCs w:val="22"/>
        </w:rPr>
        <w:t xml:space="preserve">M1</w:t>
      </w:r>
      <w:r>
        <w:rPr>
          <w:rFonts w:ascii="Arial" w:cs="Arial" w:eastAsia="Arial" w:hAnsi="Arial"/>
          <w:sz w:val="22"/>
          <w:szCs w:val="22"/>
        </w:rPr>
        <w:t xml:space="preserve">: Distant metastases present</w:t>
      </w:r>
    </w:p>
    <w:p>
      <w:pPr>
        <w:pStyle w:val="ListParagraph"/>
        <w:numPr>
          <w:ilvl w:val="1"/>
          <w:numId w:val="2"/>
        </w:numPr>
        <w:spacing w:after="80"/>
      </w:pPr>
      <w:r>
        <w:rPr>
          <w:rFonts w:ascii="Arial" w:cs="Arial" w:eastAsia="Arial" w:hAnsi="Arial"/>
          <w:b/>
          <w:bCs/>
          <w:sz w:val="22"/>
          <w:szCs w:val="22"/>
        </w:rPr>
        <w:t xml:space="preserve">  M1a</w:t>
      </w:r>
      <w:r>
        <w:rPr>
          <w:rFonts w:ascii="Arial" w:cs="Arial" w:eastAsia="Arial" w:hAnsi="Arial"/>
          <w:sz w:val="22"/>
          <w:szCs w:val="22"/>
        </w:rPr>
        <w:t xml:space="preserve">: Metastasis confined to one site or organ (e.g. liver only, lung only)</w:t>
      </w:r>
    </w:p>
    <w:p>
      <w:pPr>
        <w:pStyle w:val="ListParagraph"/>
        <w:numPr>
          <w:ilvl w:val="1"/>
          <w:numId w:val="2"/>
        </w:numPr>
        <w:spacing w:after="80"/>
      </w:pPr>
      <w:r>
        <w:rPr>
          <w:rFonts w:ascii="Arial" w:cs="Arial" w:eastAsia="Arial" w:hAnsi="Arial"/>
          <w:b/>
          <w:bCs/>
          <w:sz w:val="22"/>
          <w:szCs w:val="22"/>
        </w:rPr>
        <w:t xml:space="preserve">  M1b</w:t>
      </w:r>
      <w:r>
        <w:rPr>
          <w:rFonts w:ascii="Arial" w:cs="Arial" w:eastAsia="Arial" w:hAnsi="Arial"/>
          <w:sz w:val="22"/>
          <w:szCs w:val="22"/>
        </w:rPr>
        <w:t xml:space="preserve">: Metastases in two or more sites or organs without peritoneal metastasis</w:t>
      </w:r>
    </w:p>
    <w:p>
      <w:pPr>
        <w:pStyle w:val="ListParagraph"/>
        <w:numPr>
          <w:ilvl w:val="1"/>
          <w:numId w:val="2"/>
        </w:numPr>
        <w:spacing w:after="80"/>
      </w:pPr>
      <w:r>
        <w:rPr>
          <w:rFonts w:ascii="Arial" w:cs="Arial" w:eastAsia="Arial" w:hAnsi="Arial"/>
          <w:b/>
          <w:bCs/>
          <w:sz w:val="22"/>
          <w:szCs w:val="22"/>
        </w:rPr>
        <w:t xml:space="preserve">  M1c</w:t>
      </w:r>
      <w:r>
        <w:rPr>
          <w:rFonts w:ascii="Arial" w:cs="Arial" w:eastAsia="Arial" w:hAnsi="Arial"/>
          <w:sz w:val="22"/>
          <w:szCs w:val="22"/>
        </w:rPr>
        <w:t xml:space="preserve">: Peritoneal metastasis, with or without other organ metastasis — particularly poor prognosis; HIPEC may be considered for selected patients</w:t>
      </w:r>
    </w:p>
    <w:p>
      <w:pPr>
        <w:pStyle w:val="Heading3"/>
        <w:spacing w:before="240" w:after="120"/>
      </w:pPr>
      <w:r>
        <w:rPr>
          <w:rFonts w:ascii="Arial" w:cs="Arial" w:eastAsia="Arial" w:hAnsi="Arial"/>
          <w:b/>
          <w:bCs/>
          <w:sz w:val="26"/>
          <w:szCs w:val="26"/>
        </w:rPr>
        <w:t xml:space="preserve">TNM Prefixes — Critical for Understanding Reports</w:t>
      </w:r>
    </w:p>
    <w:p>
      <w:pPr>
        <w:pStyle w:val="ListParagraph"/>
        <w:numPr>
          <w:ilvl w:val="0"/>
          <w:numId w:val="2"/>
        </w:numPr>
        <w:spacing w:after="80"/>
      </w:pPr>
      <w:r>
        <w:rPr>
          <w:rFonts w:ascii="Arial" w:cs="Arial" w:eastAsia="Arial" w:hAnsi="Arial"/>
          <w:b/>
          <w:bCs/>
          <w:sz w:val="22"/>
          <w:szCs w:val="22"/>
        </w:rPr>
        <w:t xml:space="preserve">c (clinical)</w:t>
      </w:r>
      <w:r>
        <w:rPr>
          <w:rFonts w:ascii="Arial" w:cs="Arial" w:eastAsia="Arial" w:hAnsi="Arial"/>
          <w:sz w:val="22"/>
          <w:szCs w:val="22"/>
        </w:rPr>
        <w:t xml:space="preserve">: Stage based on clinical examination, imaging, and endoscopy before any treatment — e.g. cT3N1M0. This is the pre-treatment stage.</w:t>
      </w:r>
    </w:p>
    <w:p>
      <w:pPr>
        <w:pStyle w:val="ListParagraph"/>
        <w:numPr>
          <w:ilvl w:val="0"/>
          <w:numId w:val="2"/>
        </w:numPr>
        <w:spacing w:after="80"/>
      </w:pPr>
      <w:r>
        <w:rPr>
          <w:rFonts w:ascii="Arial" w:cs="Arial" w:eastAsia="Arial" w:hAnsi="Arial"/>
          <w:b/>
          <w:bCs/>
          <w:sz w:val="22"/>
          <w:szCs w:val="22"/>
        </w:rPr>
        <w:t xml:space="preserve">p (pathological)</w:t>
      </w:r>
      <w:r>
        <w:rPr>
          <w:rFonts w:ascii="Arial" w:cs="Arial" w:eastAsia="Arial" w:hAnsi="Arial"/>
          <w:sz w:val="22"/>
          <w:szCs w:val="22"/>
        </w:rPr>
        <w:t xml:space="preserve">: Stage based on examination of the surgical resection specimen — e.g. pT3N1M0. This is the definitive stage, available after surgery.</w:t>
      </w:r>
    </w:p>
    <w:p>
      <w:pPr>
        <w:pStyle w:val="ListParagraph"/>
        <w:numPr>
          <w:ilvl w:val="0"/>
          <w:numId w:val="2"/>
        </w:numPr>
        <w:spacing w:after="80"/>
      </w:pPr>
      <w:r>
        <w:rPr>
          <w:rFonts w:ascii="Arial" w:cs="Arial" w:eastAsia="Arial" w:hAnsi="Arial"/>
          <w:b/>
          <w:bCs/>
          <w:sz w:val="22"/>
          <w:szCs w:val="22"/>
        </w:rPr>
        <w:t xml:space="preserve">mr (MRI-based)</w:t>
      </w:r>
      <w:r>
        <w:rPr>
          <w:rFonts w:ascii="Arial" w:cs="Arial" w:eastAsia="Arial" w:hAnsi="Arial"/>
          <w:sz w:val="22"/>
          <w:szCs w:val="22"/>
        </w:rPr>
        <w:t xml:space="preserve">: Stage specifically derived from MRI imaging — used for rectal cancer staging. E.g. mrT3 N1 M0. MRI staging uses the same T/N/M categories but the prefix reminds you it is radiologically determined.</w:t>
      </w:r>
    </w:p>
    <w:p>
      <w:pPr>
        <w:pStyle w:val="ListParagraph"/>
        <w:numPr>
          <w:ilvl w:val="0"/>
          <w:numId w:val="2"/>
        </w:numPr>
        <w:spacing w:after="80"/>
      </w:pPr>
      <w:r>
        <w:rPr>
          <w:rFonts w:ascii="Arial" w:cs="Arial" w:eastAsia="Arial" w:hAnsi="Arial"/>
          <w:b/>
          <w:bCs/>
          <w:sz w:val="22"/>
          <w:szCs w:val="22"/>
        </w:rPr>
        <w:t xml:space="preserve">y (post-treatment)</w:t>
      </w:r>
      <w:r>
        <w:rPr>
          <w:rFonts w:ascii="Arial" w:cs="Arial" w:eastAsia="Arial" w:hAnsi="Arial"/>
          <w:sz w:val="22"/>
          <w:szCs w:val="22"/>
        </w:rPr>
        <w:t xml:space="preserve">: Stage after neoadjuvant therapy — e.g. ypT0N0M0 meaning no residual tumour after chemoradiotherapy (a pathological complete response). Written as 'yp' if pathological after treatment, 'yc' if clinical restaging after treatment.</w:t>
      </w:r>
    </w:p>
    <w:p>
      <w:pPr>
        <w:pStyle w:val="ListParagraph"/>
        <w:numPr>
          <w:ilvl w:val="0"/>
          <w:numId w:val="2"/>
        </w:numPr>
        <w:spacing w:after="80"/>
      </w:pPr>
      <w:r>
        <w:rPr>
          <w:rFonts w:ascii="Arial" w:cs="Arial" w:eastAsia="Arial" w:hAnsi="Arial"/>
          <w:b/>
          <w:bCs/>
          <w:sz w:val="22"/>
          <w:szCs w:val="22"/>
        </w:rPr>
        <w:t xml:space="preserve">r (recurrent)</w:t>
      </w:r>
      <w:r>
        <w:rPr>
          <w:rFonts w:ascii="Arial" w:cs="Arial" w:eastAsia="Arial" w:hAnsi="Arial"/>
          <w:sz w:val="22"/>
          <w:szCs w:val="22"/>
        </w:rPr>
        <w:t xml:space="preserve">: Staging of a recurrent tumour — e.g. rT3N1M0.</w:t>
      </w:r>
    </w:p>
    <w:p>
      <w:pPr>
        <w:spacing w:after="80"/>
      </w:pPr>
      <w:r>
        <w:t xml:space="preserve"/>
      </w:r>
    </w:p>
    <w:p>
      <w:pPr>
        <w:pStyle w:val="Heading2"/>
        <w:spacing w:before="280" w:after="160"/>
      </w:pPr>
      <w:r>
        <w:rPr>
          <w:rFonts w:ascii="Arial" w:cs="Arial" w:eastAsia="Arial" w:hAnsi="Arial"/>
          <w:b/>
          <w:bCs/>
          <w:sz w:val="28"/>
          <w:szCs w:val="28"/>
        </w:rPr>
        <w:t xml:space="preserve">3.2 Dukes Staging — Historical Context</w:t>
      </w:r>
    </w:p>
    <w:p>
      <w:pPr>
        <w:spacing w:after="120"/>
      </w:pPr>
      <w:r>
        <w:rPr>
          <w:rFonts w:ascii="Arial" w:cs="Arial" w:eastAsia="Arial" w:hAnsi="Arial"/>
          <w:b/>
          <w:bCs/>
          <w:sz w:val="22"/>
          <w:szCs w:val="22"/>
        </w:rPr>
        <w:t xml:space="preserve">Dukes staging</w:t>
      </w:r>
      <w:r>
        <w:rPr>
          <w:rFonts w:ascii="Arial" w:cs="Arial" w:eastAsia="Arial" w:hAnsi="Arial"/>
          <w:sz w:val="22"/>
          <w:szCs w:val="22"/>
        </w:rPr>
        <w:t xml:space="preserve"> was developed by Cuthbert Dukes at St Mark's Hospital in 1932. Although superseded by TNM, it still appears in older patient records, some clinical letters, and occasional conversations:</w:t>
      </w:r>
    </w:p>
    <w:p>
      <w:pPr>
        <w:pStyle w:val="ListParagraph"/>
        <w:numPr>
          <w:ilvl w:val="0"/>
          <w:numId w:val="2"/>
        </w:numPr>
        <w:spacing w:after="80"/>
      </w:pPr>
      <w:r>
        <w:rPr>
          <w:rFonts w:ascii="Arial" w:cs="Arial" w:eastAsia="Arial" w:hAnsi="Arial"/>
          <w:b/>
          <w:bCs/>
          <w:sz w:val="22"/>
          <w:szCs w:val="22"/>
        </w:rPr>
        <w:t xml:space="preserve">Dukes A</w:t>
      </w:r>
      <w:r>
        <w:rPr>
          <w:rFonts w:ascii="Arial" w:cs="Arial" w:eastAsia="Arial" w:hAnsi="Arial"/>
          <w:sz w:val="22"/>
          <w:szCs w:val="22"/>
        </w:rPr>
        <w:t xml:space="preserve">: Tumour confined to bowel wall, no nodal spread — corresponds approximately to TNM Stage I</w:t>
      </w:r>
    </w:p>
    <w:p>
      <w:pPr>
        <w:pStyle w:val="ListParagraph"/>
        <w:numPr>
          <w:ilvl w:val="0"/>
          <w:numId w:val="2"/>
        </w:numPr>
        <w:spacing w:after="80"/>
      </w:pPr>
      <w:r>
        <w:rPr>
          <w:rFonts w:ascii="Arial" w:cs="Arial" w:eastAsia="Arial" w:hAnsi="Arial"/>
          <w:b/>
          <w:bCs/>
          <w:sz w:val="22"/>
          <w:szCs w:val="22"/>
        </w:rPr>
        <w:t xml:space="preserve">Dukes B</w:t>
      </w:r>
      <w:r>
        <w:rPr>
          <w:rFonts w:ascii="Arial" w:cs="Arial" w:eastAsia="Arial" w:hAnsi="Arial"/>
          <w:sz w:val="22"/>
          <w:szCs w:val="22"/>
        </w:rPr>
        <w:t xml:space="preserve">: Tumour extends through bowel wall, no nodal spread — corresponds approximately to TNM Stage II</w:t>
      </w:r>
    </w:p>
    <w:p>
      <w:pPr>
        <w:pStyle w:val="ListParagraph"/>
        <w:numPr>
          <w:ilvl w:val="0"/>
          <w:numId w:val="2"/>
        </w:numPr>
        <w:spacing w:after="80"/>
      </w:pPr>
      <w:r>
        <w:rPr>
          <w:rFonts w:ascii="Arial" w:cs="Arial" w:eastAsia="Arial" w:hAnsi="Arial"/>
          <w:b/>
          <w:bCs/>
          <w:sz w:val="22"/>
          <w:szCs w:val="22"/>
        </w:rPr>
        <w:t xml:space="preserve">Dukes C</w:t>
      </w:r>
      <w:r>
        <w:rPr>
          <w:rFonts w:ascii="Arial" w:cs="Arial" w:eastAsia="Arial" w:hAnsi="Arial"/>
          <w:sz w:val="22"/>
          <w:szCs w:val="22"/>
        </w:rPr>
        <w:t xml:space="preserve">: Lymph node involvement, regardless of T stage — corresponds approximately to TNM Stage III</w:t>
      </w:r>
    </w:p>
    <w:p>
      <w:pPr>
        <w:pStyle w:val="ListParagraph"/>
        <w:numPr>
          <w:ilvl w:val="0"/>
          <w:numId w:val="2"/>
        </w:numPr>
        <w:spacing w:after="80"/>
      </w:pPr>
      <w:r>
        <w:rPr>
          <w:rFonts w:ascii="Arial" w:cs="Arial" w:eastAsia="Arial" w:hAnsi="Arial"/>
          <w:b/>
          <w:bCs/>
          <w:sz w:val="22"/>
          <w:szCs w:val="22"/>
        </w:rPr>
        <w:t xml:space="preserve">Dukes D</w:t>
      </w:r>
      <w:r>
        <w:rPr>
          <w:rFonts w:ascii="Arial" w:cs="Arial" w:eastAsia="Arial" w:hAnsi="Arial"/>
          <w:sz w:val="22"/>
          <w:szCs w:val="22"/>
        </w:rPr>
        <w:t xml:space="preserve">: Distant metastases — corresponds approximately to TNM Stage IV (added later by Turnbull, not by Dukes himself)</w:t>
      </w:r>
    </w:p>
    <w:p>
      <w:pPr>
        <w:spacing w:after="80"/>
      </w:pPr>
      <w:r>
        <w:t xml:space="preserve"/>
      </w:r>
    </w:p>
    <w:p>
      <w:pPr>
        <w:pStyle w:val="Heading2"/>
        <w:spacing w:before="280" w:after="160"/>
      </w:pPr>
      <w:r>
        <w:rPr>
          <w:rFonts w:ascii="Arial" w:cs="Arial" w:eastAsia="Arial" w:hAnsi="Arial"/>
          <w:b/>
          <w:bCs/>
          <w:sz w:val="28"/>
          <w:szCs w:val="28"/>
        </w:rPr>
        <w:t xml:space="preserve">3.3 Integrated TNM Stage Groupings</w:t>
      </w:r>
    </w:p>
    <w:p>
      <w:pPr>
        <w:spacing w:after="120"/>
      </w:pPr>
      <w:r>
        <w:rPr>
          <w:rFonts w:ascii="Arial" w:cs="Arial" w:eastAsia="Arial" w:hAnsi="Arial"/>
          <w:sz w:val="22"/>
          <w:szCs w:val="22"/>
        </w:rPr>
        <w:t xml:space="preserve">Individual T, N, and M values are combined into an overall Stage Group (I through IV), which is used for prognosis, treatment decision support, and clinical trial eligibility:</w:t>
      </w:r>
    </w:p>
    <w:p>
      <w:pPr>
        <w:pStyle w:val="ListParagraph"/>
        <w:numPr>
          <w:ilvl w:val="0"/>
          <w:numId w:val="2"/>
        </w:numPr>
        <w:spacing w:after="80"/>
      </w:pPr>
      <w:r>
        <w:rPr>
          <w:rFonts w:ascii="Arial" w:cs="Arial" w:eastAsia="Arial" w:hAnsi="Arial"/>
          <w:b/>
          <w:bCs/>
          <w:sz w:val="22"/>
          <w:szCs w:val="22"/>
        </w:rPr>
        <w:t xml:space="preserve">Stage I</w:t>
      </w:r>
      <w:r>
        <w:rPr>
          <w:rFonts w:ascii="Arial" w:cs="Arial" w:eastAsia="Arial" w:hAnsi="Arial"/>
          <w:sz w:val="22"/>
          <w:szCs w:val="22"/>
        </w:rPr>
        <w:t xml:space="preserve">: T1–2, N0, M0</w:t>
      </w:r>
    </w:p>
    <w:p>
      <w:pPr>
        <w:pStyle w:val="ListParagraph"/>
        <w:numPr>
          <w:ilvl w:val="0"/>
          <w:numId w:val="2"/>
        </w:numPr>
        <w:spacing w:after="80"/>
      </w:pPr>
      <w:r>
        <w:rPr>
          <w:rFonts w:ascii="Arial" w:cs="Arial" w:eastAsia="Arial" w:hAnsi="Arial"/>
          <w:b/>
          <w:bCs/>
          <w:sz w:val="22"/>
          <w:szCs w:val="22"/>
        </w:rPr>
        <w:t xml:space="preserve">Stage IIA</w:t>
      </w:r>
      <w:r>
        <w:rPr>
          <w:rFonts w:ascii="Arial" w:cs="Arial" w:eastAsia="Arial" w:hAnsi="Arial"/>
          <w:sz w:val="22"/>
          <w:szCs w:val="22"/>
        </w:rPr>
        <w:t xml:space="preserve">: T3, N0, M0</w:t>
      </w:r>
    </w:p>
    <w:p>
      <w:pPr>
        <w:pStyle w:val="ListParagraph"/>
        <w:numPr>
          <w:ilvl w:val="0"/>
          <w:numId w:val="2"/>
        </w:numPr>
        <w:spacing w:after="80"/>
      </w:pPr>
      <w:r>
        <w:rPr>
          <w:rFonts w:ascii="Arial" w:cs="Arial" w:eastAsia="Arial" w:hAnsi="Arial"/>
          <w:b/>
          <w:bCs/>
          <w:sz w:val="22"/>
          <w:szCs w:val="22"/>
        </w:rPr>
        <w:t xml:space="preserve">Stage IIB</w:t>
      </w:r>
      <w:r>
        <w:rPr>
          <w:rFonts w:ascii="Arial" w:cs="Arial" w:eastAsia="Arial" w:hAnsi="Arial"/>
          <w:sz w:val="22"/>
          <w:szCs w:val="22"/>
        </w:rPr>
        <w:t xml:space="preserve">: T4a, N0, M0</w:t>
      </w:r>
    </w:p>
    <w:p>
      <w:pPr>
        <w:pStyle w:val="ListParagraph"/>
        <w:numPr>
          <w:ilvl w:val="0"/>
          <w:numId w:val="2"/>
        </w:numPr>
        <w:spacing w:after="80"/>
      </w:pPr>
      <w:r>
        <w:rPr>
          <w:rFonts w:ascii="Arial" w:cs="Arial" w:eastAsia="Arial" w:hAnsi="Arial"/>
          <w:b/>
          <w:bCs/>
          <w:sz w:val="22"/>
          <w:szCs w:val="22"/>
        </w:rPr>
        <w:t xml:space="preserve">Stage IIC</w:t>
      </w:r>
      <w:r>
        <w:rPr>
          <w:rFonts w:ascii="Arial" w:cs="Arial" w:eastAsia="Arial" w:hAnsi="Arial"/>
          <w:sz w:val="22"/>
          <w:szCs w:val="22"/>
        </w:rPr>
        <w:t xml:space="preserve">: T4b, N0, M0</w:t>
      </w:r>
    </w:p>
    <w:p>
      <w:pPr>
        <w:pStyle w:val="ListParagraph"/>
        <w:numPr>
          <w:ilvl w:val="0"/>
          <w:numId w:val="2"/>
        </w:numPr>
        <w:spacing w:after="80"/>
      </w:pPr>
      <w:r>
        <w:rPr>
          <w:rFonts w:ascii="Arial" w:cs="Arial" w:eastAsia="Arial" w:hAnsi="Arial"/>
          <w:b/>
          <w:bCs/>
          <w:sz w:val="22"/>
          <w:szCs w:val="22"/>
        </w:rPr>
        <w:t xml:space="preserve">Stage IIIA</w:t>
      </w:r>
      <w:r>
        <w:rPr>
          <w:rFonts w:ascii="Arial" w:cs="Arial" w:eastAsia="Arial" w:hAnsi="Arial"/>
          <w:sz w:val="22"/>
          <w:szCs w:val="22"/>
        </w:rPr>
        <w:t xml:space="preserve">: T1–2 N1/N1c M0, or T1 N2a M0</w:t>
      </w:r>
    </w:p>
    <w:p>
      <w:pPr>
        <w:pStyle w:val="ListParagraph"/>
        <w:numPr>
          <w:ilvl w:val="0"/>
          <w:numId w:val="2"/>
        </w:numPr>
        <w:spacing w:after="80"/>
      </w:pPr>
      <w:r>
        <w:rPr>
          <w:rFonts w:ascii="Arial" w:cs="Arial" w:eastAsia="Arial" w:hAnsi="Arial"/>
          <w:b/>
          <w:bCs/>
          <w:sz w:val="22"/>
          <w:szCs w:val="22"/>
        </w:rPr>
        <w:t xml:space="preserve">Stage IIIB</w:t>
      </w:r>
      <w:r>
        <w:rPr>
          <w:rFonts w:ascii="Arial" w:cs="Arial" w:eastAsia="Arial" w:hAnsi="Arial"/>
          <w:sz w:val="22"/>
          <w:szCs w:val="22"/>
        </w:rPr>
        <w:t xml:space="preserve">: T3–4a N1/N1c M0, or T2–3 N2a M0, or T1–2 N2b M0</w:t>
      </w:r>
    </w:p>
    <w:p>
      <w:pPr>
        <w:pStyle w:val="ListParagraph"/>
        <w:numPr>
          <w:ilvl w:val="0"/>
          <w:numId w:val="2"/>
        </w:numPr>
        <w:spacing w:after="80"/>
      </w:pPr>
      <w:r>
        <w:rPr>
          <w:rFonts w:ascii="Arial" w:cs="Arial" w:eastAsia="Arial" w:hAnsi="Arial"/>
          <w:b/>
          <w:bCs/>
          <w:sz w:val="22"/>
          <w:szCs w:val="22"/>
        </w:rPr>
        <w:t xml:space="preserve">Stage IIIC</w:t>
      </w:r>
      <w:r>
        <w:rPr>
          <w:rFonts w:ascii="Arial" w:cs="Arial" w:eastAsia="Arial" w:hAnsi="Arial"/>
          <w:sz w:val="22"/>
          <w:szCs w:val="22"/>
        </w:rPr>
        <w:t xml:space="preserve">: T4a N2a M0, or T3–4a N2b M0, or T4b N1–2 M0</w:t>
      </w:r>
    </w:p>
    <w:p>
      <w:pPr>
        <w:pStyle w:val="ListParagraph"/>
        <w:numPr>
          <w:ilvl w:val="0"/>
          <w:numId w:val="2"/>
        </w:numPr>
        <w:spacing w:after="80"/>
      </w:pPr>
      <w:r>
        <w:rPr>
          <w:rFonts w:ascii="Arial" w:cs="Arial" w:eastAsia="Arial" w:hAnsi="Arial"/>
          <w:b/>
          <w:bCs/>
          <w:sz w:val="22"/>
          <w:szCs w:val="22"/>
        </w:rPr>
        <w:t xml:space="preserve">Stage IVA</w:t>
      </w:r>
      <w:r>
        <w:rPr>
          <w:rFonts w:ascii="Arial" w:cs="Arial" w:eastAsia="Arial" w:hAnsi="Arial"/>
          <w:sz w:val="22"/>
          <w:szCs w:val="22"/>
        </w:rPr>
        <w:t xml:space="preserve">: Any T, any N, M1a</w:t>
      </w:r>
    </w:p>
    <w:p>
      <w:pPr>
        <w:pStyle w:val="ListParagraph"/>
        <w:numPr>
          <w:ilvl w:val="0"/>
          <w:numId w:val="2"/>
        </w:numPr>
        <w:spacing w:after="80"/>
      </w:pPr>
      <w:r>
        <w:rPr>
          <w:rFonts w:ascii="Arial" w:cs="Arial" w:eastAsia="Arial" w:hAnsi="Arial"/>
          <w:b/>
          <w:bCs/>
          <w:sz w:val="22"/>
          <w:szCs w:val="22"/>
        </w:rPr>
        <w:t xml:space="preserve">Stage IVB</w:t>
      </w:r>
      <w:r>
        <w:rPr>
          <w:rFonts w:ascii="Arial" w:cs="Arial" w:eastAsia="Arial" w:hAnsi="Arial"/>
          <w:sz w:val="22"/>
          <w:szCs w:val="22"/>
        </w:rPr>
        <w:t xml:space="preserve">: Any T, any N, M1b</w:t>
      </w:r>
    </w:p>
    <w:p>
      <w:pPr>
        <w:pStyle w:val="ListParagraph"/>
        <w:numPr>
          <w:ilvl w:val="0"/>
          <w:numId w:val="2"/>
        </w:numPr>
        <w:spacing w:after="80"/>
      </w:pPr>
      <w:r>
        <w:rPr>
          <w:rFonts w:ascii="Arial" w:cs="Arial" w:eastAsia="Arial" w:hAnsi="Arial"/>
          <w:b/>
          <w:bCs/>
          <w:sz w:val="22"/>
          <w:szCs w:val="22"/>
        </w:rPr>
        <w:t xml:space="preserve">Stage IVC</w:t>
      </w:r>
      <w:r>
        <w:rPr>
          <w:rFonts w:ascii="Arial" w:cs="Arial" w:eastAsia="Arial" w:hAnsi="Arial"/>
          <w:sz w:val="22"/>
          <w:szCs w:val="22"/>
        </w:rPr>
        <w:t xml:space="preserve">: Any T, any N, M1c</w:t>
      </w:r>
    </w:p>
    <w:p>
      <w:pPr>
        <w:spacing w:after="80"/>
      </w:pPr>
      <w:r>
        <w:t xml:space="preserve"/>
      </w:r>
    </w:p>
    <w:p>
      <w:pPr>
        <w:pStyle w:val="Heading2"/>
        <w:spacing w:before="280" w:after="160"/>
      </w:pPr>
      <w:r>
        <w:rPr>
          <w:rFonts w:ascii="Arial" w:cs="Arial" w:eastAsia="Arial" w:hAnsi="Arial"/>
          <w:b/>
          <w:bCs/>
          <w:sz w:val="28"/>
          <w:szCs w:val="28"/>
        </w:rPr>
        <w:t xml:space="preserve">3.4 MRI-Specific Staging Parameters for Rectal Cancer</w:t>
      </w:r>
    </w:p>
    <w:p>
      <w:pPr>
        <w:spacing w:after="120"/>
      </w:pPr>
      <w:r>
        <w:rPr>
          <w:rFonts w:ascii="Arial" w:cs="Arial" w:eastAsia="Arial" w:hAnsi="Arial"/>
          <w:b/>
          <w:bCs/>
          <w:sz w:val="22"/>
          <w:szCs w:val="22"/>
        </w:rPr>
        <w:t xml:space="preserve">Rectal cancer staging</w:t>
      </w:r>
      <w:r>
        <w:rPr>
          <w:rFonts w:ascii="Arial" w:cs="Arial" w:eastAsia="Arial" w:hAnsi="Arial"/>
          <w:sz w:val="22"/>
          <w:szCs w:val="22"/>
        </w:rPr>
        <w:t xml:space="preserve"> requires high-resolution pelvic MRI in addition to standard CT staging. The MRI provides structural detail that CT cannot, particularly regarding the relationship of the tumour to the mesorectal fascia. The following parameters are specific to rectal cancer MRI and appear routinely in MDT documentation:</w:t>
      </w:r>
    </w:p>
    <w:p>
      <w:pPr>
        <w:pStyle w:val="Heading3"/>
        <w:spacing w:before="240" w:after="120"/>
      </w:pPr>
      <w:r>
        <w:rPr>
          <w:rFonts w:ascii="Arial" w:cs="Arial" w:eastAsia="Arial" w:hAnsi="Arial"/>
          <w:b/>
          <w:bCs/>
          <w:sz w:val="26"/>
          <w:szCs w:val="26"/>
        </w:rPr>
        <w:t xml:space="preserve">mrT and mrN (MRI-Derived T and N Stage)</w:t>
      </w:r>
    </w:p>
    <w:p>
      <w:pPr>
        <w:spacing w:after="120"/>
      </w:pPr>
      <w:r>
        <w:rPr>
          <w:rFonts w:ascii="Arial" w:cs="Arial" w:eastAsia="Arial" w:hAnsi="Arial"/>
          <w:b/>
          <w:bCs/>
          <w:sz w:val="22"/>
          <w:szCs w:val="22"/>
        </w:rPr>
        <w:t xml:space="preserve">mrT</w:t>
      </w:r>
      <w:r>
        <w:rPr>
          <w:rFonts w:ascii="Arial" w:cs="Arial" w:eastAsia="Arial" w:hAnsi="Arial"/>
          <w:sz w:val="22"/>
          <w:szCs w:val="22"/>
        </w:rPr>
        <w:t xml:space="preserve">: MRI-determined T stage, using the same T1–T4 categories as TNM. The radiologist reports the depth of invasion through the rectal wall based on signal characteristics. This is a </w:t>
      </w:r>
      <w:r>
        <w:rPr>
          <w:rFonts w:ascii="Arial" w:cs="Arial" w:eastAsia="Arial" w:hAnsi="Arial"/>
          <w:b/>
          <w:bCs/>
          <w:sz w:val="22"/>
          <w:szCs w:val="22"/>
        </w:rPr>
        <w:t xml:space="preserve">pre-treatment</w:t>
      </w:r>
      <w:r>
        <w:rPr>
          <w:rFonts w:ascii="Arial" w:cs="Arial" w:eastAsia="Arial" w:hAnsi="Arial"/>
          <w:sz w:val="22"/>
          <w:szCs w:val="22"/>
        </w:rPr>
        <w:t xml:space="preserve"> clinical staging parameter. It informs the decision of whether neoadjuvant treatment is needed.</w:t>
      </w:r>
    </w:p>
    <w:p>
      <w:pPr>
        <w:spacing w:after="120"/>
      </w:pPr>
      <w:r>
        <w:rPr>
          <w:rFonts w:ascii="Arial" w:cs="Arial" w:eastAsia="Arial" w:hAnsi="Arial"/>
          <w:b/>
          <w:bCs/>
          <w:sz w:val="22"/>
          <w:szCs w:val="22"/>
        </w:rPr>
        <w:t xml:space="preserve">mrN</w:t>
      </w:r>
      <w:r>
        <w:rPr>
          <w:rFonts w:ascii="Arial" w:cs="Arial" w:eastAsia="Arial" w:hAnsi="Arial"/>
          <w:sz w:val="22"/>
          <w:szCs w:val="22"/>
        </w:rPr>
        <w:t xml:space="preserve">: MRI-determined N stage. Lymph nodes are assessed by size, border (smooth vs irregular/spiculated), signal (heterogeneous vs homogeneous), and morphology. A borderline-size node with an irregular border is more suspicious than a large node with smooth borders. MRI N staging is imperfect (~70% accuracy).</w:t>
      </w:r>
    </w:p>
    <w:p>
      <w:pPr>
        <w:pStyle w:val="Heading3"/>
        <w:spacing w:before="240" w:after="120"/>
      </w:pPr>
      <w:r>
        <w:rPr>
          <w:rFonts w:ascii="Arial" w:cs="Arial" w:eastAsia="Arial" w:hAnsi="Arial"/>
          <w:b/>
          <w:bCs/>
          <w:sz w:val="26"/>
          <w:szCs w:val="26"/>
        </w:rPr>
        <w:t xml:space="preserve">CRM (Circumferential Resection Margin)</w:t>
      </w:r>
    </w:p>
    <w:p>
      <w:pPr>
        <w:spacing w:after="120"/>
      </w:pPr>
      <w:r>
        <w:rPr>
          <w:rFonts w:ascii="Arial" w:cs="Arial" w:eastAsia="Arial" w:hAnsi="Arial"/>
          <w:b/>
          <w:bCs/>
          <w:sz w:val="22"/>
          <w:szCs w:val="22"/>
        </w:rPr>
        <w:t xml:space="preserve">The circumferential resection margin (CRM)</w:t>
      </w:r>
      <w:r>
        <w:rPr>
          <w:rFonts w:ascii="Arial" w:cs="Arial" w:eastAsia="Arial" w:hAnsi="Arial"/>
          <w:sz w:val="22"/>
          <w:szCs w:val="22"/>
        </w:rPr>
        <w:t xml:space="preserve"> is the radial surgical margin of the mesorectal excision specimen — the outermost lateral surface of tissue removed around the rectum. It corresponds to the </w:t>
      </w:r>
      <w:r>
        <w:rPr>
          <w:rFonts w:ascii="Arial" w:cs="Arial" w:eastAsia="Arial" w:hAnsi="Arial"/>
          <w:b/>
          <w:bCs/>
          <w:sz w:val="22"/>
          <w:szCs w:val="22"/>
        </w:rPr>
        <w:t xml:space="preserve">mesorectal fascia</w:t>
      </w:r>
      <w:r>
        <w:rPr>
          <w:rFonts w:ascii="Arial" w:cs="Arial" w:eastAsia="Arial" w:hAnsi="Arial"/>
          <w:sz w:val="22"/>
          <w:szCs w:val="22"/>
        </w:rPr>
        <w:t xml:space="preserve">, the natural anatomical plane of dissection used in total mesorectal excision (TME) surgery.</w:t>
      </w:r>
    </w:p>
    <w:p>
      <w:pPr>
        <w:spacing w:after="120"/>
      </w:pPr>
      <w:r>
        <w:rPr>
          <w:rFonts w:ascii="Arial" w:cs="Arial" w:eastAsia="Arial" w:hAnsi="Arial"/>
          <w:sz w:val="22"/>
          <w:szCs w:val="22"/>
        </w:rPr>
        <w:t xml:space="preserve">The radiologist measures the distance between the tumour (or any involved lymph node or EMVI deposit) and the mesorectal fascia on MRI:</w:t>
      </w:r>
    </w:p>
    <w:p>
      <w:pPr>
        <w:pStyle w:val="ListParagraph"/>
        <w:numPr>
          <w:ilvl w:val="0"/>
          <w:numId w:val="2"/>
        </w:numPr>
        <w:spacing w:after="80"/>
      </w:pPr>
      <w:r>
        <w:rPr>
          <w:rFonts w:ascii="Arial" w:cs="Arial" w:eastAsia="Arial" w:hAnsi="Arial"/>
          <w:b/>
          <w:bCs/>
          <w:sz w:val="22"/>
          <w:szCs w:val="22"/>
        </w:rPr>
        <w:t xml:space="preserve">CRM clear (negative)</w:t>
      </w:r>
      <w:r>
        <w:rPr>
          <w:rFonts w:ascii="Arial" w:cs="Arial" w:eastAsia="Arial" w:hAnsi="Arial"/>
          <w:sz w:val="22"/>
          <w:szCs w:val="22"/>
        </w:rPr>
        <w:t xml:space="preserve">: Tumour &gt;1 mm from the mesorectal fascia — predicts a clear surgical margin and lower local recurrence rate.</w:t>
      </w:r>
    </w:p>
    <w:p>
      <w:pPr>
        <w:pStyle w:val="ListParagraph"/>
        <w:numPr>
          <w:ilvl w:val="0"/>
          <w:numId w:val="2"/>
        </w:numPr>
        <w:spacing w:after="80"/>
      </w:pPr>
      <w:r>
        <w:rPr>
          <w:rFonts w:ascii="Arial" w:cs="Arial" w:eastAsia="Arial" w:hAnsi="Arial"/>
          <w:b/>
          <w:bCs/>
          <w:sz w:val="22"/>
          <w:szCs w:val="22"/>
        </w:rPr>
        <w:t xml:space="preserve">CRM threatened</w:t>
      </w:r>
      <w:r>
        <w:rPr>
          <w:rFonts w:ascii="Arial" w:cs="Arial" w:eastAsia="Arial" w:hAnsi="Arial"/>
          <w:sz w:val="22"/>
          <w:szCs w:val="22"/>
        </w:rPr>
        <w:t xml:space="preserve">: Tumour ≤1 mm from the mesorectal fascia but not penetrating it — indicates that neoadjuvant treatment is needed to shrink the tumour away from the margin before surgery.</w:t>
      </w:r>
    </w:p>
    <w:p>
      <w:pPr>
        <w:pStyle w:val="ListParagraph"/>
        <w:numPr>
          <w:ilvl w:val="0"/>
          <w:numId w:val="2"/>
        </w:numPr>
        <w:spacing w:after="80"/>
      </w:pPr>
      <w:r>
        <w:rPr>
          <w:rFonts w:ascii="Arial" w:cs="Arial" w:eastAsia="Arial" w:hAnsi="Arial"/>
          <w:b/>
          <w:bCs/>
          <w:sz w:val="22"/>
          <w:szCs w:val="22"/>
        </w:rPr>
        <w:t xml:space="preserve">CRM involved (positive)</w:t>
      </w:r>
      <w:r>
        <w:rPr>
          <w:rFonts w:ascii="Arial" w:cs="Arial" w:eastAsia="Arial" w:hAnsi="Arial"/>
          <w:sz w:val="22"/>
          <w:szCs w:val="22"/>
        </w:rPr>
        <w:t xml:space="preserve">: Tumour directly contacts or extends beyond the mesorectal fascia — indicates the tumour would not be completely excised by standard TME and requires aggressive neoadjuvant treatment, or consideration of extended surgery.</w:t>
      </w:r>
    </w:p>
    <w:p>
      <w:pPr>
        <w:spacing w:after="120"/>
      </w:pPr>
      <w:r>
        <w:rPr>
          <w:rFonts w:ascii="Arial" w:cs="Arial" w:eastAsia="Arial" w:hAnsi="Arial"/>
          <w:b/>
          <w:bCs/>
          <w:sz w:val="22"/>
          <w:szCs w:val="22"/>
        </w:rPr>
        <w:t xml:space="preserve">mrCRM</w:t>
      </w:r>
      <w:r>
        <w:rPr>
          <w:rFonts w:ascii="Arial" w:cs="Arial" w:eastAsia="Arial" w:hAnsi="Arial"/>
          <w:sz w:val="22"/>
          <w:szCs w:val="22"/>
        </w:rPr>
        <w:t xml:space="preserve">: MRI-reported CRM measurement, e.g. 'mrCRM 0.3 mm — threatened' or 'mrCRM &gt;5 mm — clear'. A positive or threatened mrCRM is a </w:t>
      </w:r>
      <w:r>
        <w:rPr>
          <w:rFonts w:ascii="Arial" w:cs="Arial" w:eastAsia="Arial" w:hAnsi="Arial"/>
          <w:b/>
          <w:bCs/>
          <w:sz w:val="22"/>
          <w:szCs w:val="22"/>
        </w:rPr>
        <w:t xml:space="preserve">key trigger for neoadjuvant chemoradiotherapy</w:t>
      </w:r>
      <w:r>
        <w:rPr>
          <w:rFonts w:ascii="Arial" w:cs="Arial" w:eastAsia="Arial" w:hAnsi="Arial"/>
          <w:sz w:val="22"/>
          <w:szCs w:val="22"/>
        </w:rPr>
        <w:t xml:space="preserve"> in rectal cancer management.</w:t>
      </w:r>
    </w:p>
    <w:p>
      <w:pPr>
        <w:pStyle w:val="Heading3"/>
        <w:spacing w:before="240" w:after="120"/>
      </w:pPr>
      <w:r>
        <w:rPr>
          <w:rFonts w:ascii="Arial" w:cs="Arial" w:eastAsia="Arial" w:hAnsi="Arial"/>
          <w:b/>
          <w:bCs/>
          <w:sz w:val="26"/>
          <w:szCs w:val="26"/>
        </w:rPr>
        <w:t xml:space="preserve">EMVI (Extramural Vascular Invasion)</w:t>
      </w:r>
    </w:p>
    <w:p>
      <w:pPr>
        <w:spacing w:after="120"/>
      </w:pPr>
      <w:r>
        <w:rPr>
          <w:rFonts w:ascii="Arial" w:cs="Arial" w:eastAsia="Arial" w:hAnsi="Arial"/>
          <w:b/>
          <w:bCs/>
          <w:sz w:val="22"/>
          <w:szCs w:val="22"/>
        </w:rPr>
        <w:t xml:space="preserve">EMVI (Extramural Vascular Invasion)</w:t>
      </w:r>
      <w:r>
        <w:rPr>
          <w:rFonts w:ascii="Arial" w:cs="Arial" w:eastAsia="Arial" w:hAnsi="Arial"/>
          <w:sz w:val="22"/>
          <w:szCs w:val="22"/>
        </w:rPr>
        <w:t xml:space="preserve"> refers to the presence of tumour cells within blood vessels or lymphatics in the perirectal fat beyond the muscularis propria — i.e. outside the bowel wall. It is detected on MRI as expansion or tumour signal within a vessel alongside the tumour.</w:t>
      </w:r>
    </w:p>
    <w:p>
      <w:pPr>
        <w:pStyle w:val="ListParagraph"/>
        <w:numPr>
          <w:ilvl w:val="0"/>
          <w:numId w:val="2"/>
        </w:numPr>
        <w:spacing w:after="80"/>
      </w:pPr>
      <w:r>
        <w:rPr>
          <w:rFonts w:ascii="Arial" w:cs="Arial" w:eastAsia="Arial" w:hAnsi="Arial"/>
          <w:b/>
          <w:bCs/>
          <w:sz w:val="22"/>
          <w:szCs w:val="22"/>
        </w:rPr>
        <w:t xml:space="preserve">mrEMVI positive</w:t>
      </w:r>
      <w:r>
        <w:rPr>
          <w:rFonts w:ascii="Arial" w:cs="Arial" w:eastAsia="Arial" w:hAnsi="Arial"/>
          <w:sz w:val="22"/>
          <w:szCs w:val="22"/>
        </w:rPr>
        <w:t xml:space="preserve">: Tumour signal seen within an extramural vessel — associated with significantly higher rates of systemic metastases and poorer prognosis. Prompts consideration of more aggressive systemic therapy.</w:t>
      </w:r>
    </w:p>
    <w:p>
      <w:pPr>
        <w:pStyle w:val="ListParagraph"/>
        <w:numPr>
          <w:ilvl w:val="0"/>
          <w:numId w:val="2"/>
        </w:numPr>
        <w:spacing w:after="80"/>
      </w:pPr>
      <w:r>
        <w:rPr>
          <w:rFonts w:ascii="Arial" w:cs="Arial" w:eastAsia="Arial" w:hAnsi="Arial"/>
          <w:b/>
          <w:bCs/>
          <w:sz w:val="22"/>
          <w:szCs w:val="22"/>
        </w:rPr>
        <w:t xml:space="preserve">mrEMVI negative</w:t>
      </w:r>
      <w:r>
        <w:rPr>
          <w:rFonts w:ascii="Arial" w:cs="Arial" w:eastAsia="Arial" w:hAnsi="Arial"/>
          <w:sz w:val="22"/>
          <w:szCs w:val="22"/>
        </w:rPr>
        <w:t xml:space="preserve">: No extramural vascular invasion identified.</w:t>
      </w:r>
    </w:p>
    <w:p>
      <w:pPr>
        <w:spacing w:after="120"/>
      </w:pPr>
      <w:r>
        <w:rPr>
          <w:rFonts w:ascii="Arial" w:cs="Arial" w:eastAsia="Arial" w:hAnsi="Arial"/>
          <w:sz w:val="22"/>
          <w:szCs w:val="22"/>
        </w:rPr>
        <w:t xml:space="preserve">EMVI can also be reported on the pathological specimen as pEMVI. Both are independently prognostic.</w:t>
      </w:r>
    </w:p>
    <w:p>
      <w:pPr>
        <w:pStyle w:val="Heading3"/>
        <w:spacing w:before="240" w:after="120"/>
      </w:pPr>
      <w:r>
        <w:rPr>
          <w:rFonts w:ascii="Arial" w:cs="Arial" w:eastAsia="Arial" w:hAnsi="Arial"/>
          <w:b/>
          <w:bCs/>
          <w:sz w:val="26"/>
          <w:szCs w:val="26"/>
        </w:rPr>
        <w:t xml:space="preserve">ISP (Intersphincteric Plane)</w:t>
      </w:r>
    </w:p>
    <w:p>
      <w:pPr>
        <w:spacing w:after="120"/>
      </w:pPr>
      <w:r>
        <w:rPr>
          <w:rFonts w:ascii="Arial" w:cs="Arial" w:eastAsia="Arial" w:hAnsi="Arial"/>
          <w:b/>
          <w:bCs/>
          <w:sz w:val="22"/>
          <w:szCs w:val="22"/>
        </w:rPr>
        <w:t xml:space="preserve">The intersphincteric plane</w:t>
      </w:r>
      <w:r>
        <w:rPr>
          <w:rFonts w:ascii="Arial" w:cs="Arial" w:eastAsia="Arial" w:hAnsi="Arial"/>
          <w:sz w:val="22"/>
          <w:szCs w:val="22"/>
        </w:rPr>
        <w:t xml:space="preserve"> is the anatomical space between the internal anal sphincter (smooth muscle, continuation of the bowel wall) and the external anal sphincter (skeletal muscle, part of the pelvic floor). It is a potential surgical dissection plane for very low rectal tumours.</w:t>
      </w:r>
    </w:p>
    <w:p>
      <w:pPr>
        <w:spacing w:after="120"/>
      </w:pPr>
      <w:r>
        <w:rPr>
          <w:rFonts w:ascii="Arial" w:cs="Arial" w:eastAsia="Arial" w:hAnsi="Arial"/>
          <w:sz w:val="22"/>
          <w:szCs w:val="22"/>
        </w:rPr>
        <w:t xml:space="preserve">Involvement of the ISP on MRI (signified as 'ISP involved' or 'tumour in intersphincteric plane') is important because:</w:t>
      </w:r>
    </w:p>
    <w:p>
      <w:pPr>
        <w:pStyle w:val="ListParagraph"/>
        <w:numPr>
          <w:ilvl w:val="0"/>
          <w:numId w:val="2"/>
        </w:numPr>
        <w:spacing w:after="80"/>
      </w:pPr>
      <w:r>
        <w:rPr>
          <w:rFonts w:ascii="Arial" w:cs="Arial" w:eastAsia="Arial" w:hAnsi="Arial"/>
          <w:sz w:val="22"/>
          <w:szCs w:val="22"/>
        </w:rPr>
        <w:t xml:space="preserve">It indicates that sphincter-preserving surgery may be impossible or oncologically unsafe</w:t>
      </w:r>
    </w:p>
    <w:p>
      <w:pPr>
        <w:pStyle w:val="ListParagraph"/>
        <w:numPr>
          <w:ilvl w:val="0"/>
          <w:numId w:val="2"/>
        </w:numPr>
        <w:spacing w:after="80"/>
      </w:pPr>
      <w:r>
        <w:rPr>
          <w:rFonts w:ascii="Arial" w:cs="Arial" w:eastAsia="Arial" w:hAnsi="Arial"/>
          <w:sz w:val="22"/>
          <w:szCs w:val="22"/>
        </w:rPr>
        <w:t xml:space="preserve">It may require an intersphincteric resection (ISR) — a complex surgical technique removing the internal sphincter while preserving the external sphincter and thus avoiding a permanent stoma</w:t>
      </w:r>
    </w:p>
    <w:p>
      <w:pPr>
        <w:pStyle w:val="ListParagraph"/>
        <w:numPr>
          <w:ilvl w:val="0"/>
          <w:numId w:val="2"/>
        </w:numPr>
        <w:spacing w:after="80"/>
      </w:pPr>
      <w:r>
        <w:rPr>
          <w:rFonts w:ascii="Arial" w:cs="Arial" w:eastAsia="Arial" w:hAnsi="Arial"/>
          <w:sz w:val="22"/>
          <w:szCs w:val="22"/>
        </w:rPr>
        <w:t xml:space="preserve">Extensive ISP involvement or external sphincter invasion will necessitate an abdominoperineal excision (ELAPE/APE)</w:t>
      </w:r>
    </w:p>
    <w:p>
      <w:pPr>
        <w:pStyle w:val="Heading3"/>
        <w:spacing w:before="240" w:after="120"/>
      </w:pPr>
      <w:r>
        <w:rPr>
          <w:rFonts w:ascii="Arial" w:cs="Arial" w:eastAsia="Arial" w:hAnsi="Arial"/>
          <w:b/>
          <w:bCs/>
          <w:sz w:val="26"/>
          <w:szCs w:val="26"/>
        </w:rPr>
        <w:t xml:space="preserve">PSW / Presacral Space</w:t>
      </w:r>
    </w:p>
    <w:p>
      <w:pPr>
        <w:spacing w:after="120"/>
      </w:pPr>
      <w:r>
        <w:rPr>
          <w:rFonts w:ascii="Arial" w:cs="Arial" w:eastAsia="Arial" w:hAnsi="Arial"/>
          <w:b/>
          <w:bCs/>
          <w:sz w:val="22"/>
          <w:szCs w:val="22"/>
        </w:rPr>
        <w:t xml:space="preserve">PSW (Posterior Surgical Wall)</w:t>
      </w:r>
      <w:r>
        <w:rPr>
          <w:rFonts w:ascii="Arial" w:cs="Arial" w:eastAsia="Arial" w:hAnsi="Arial"/>
          <w:sz w:val="22"/>
          <w:szCs w:val="22"/>
        </w:rPr>
        <w:t xml:space="preserve"> or </w:t>
      </w:r>
      <w:r>
        <w:rPr>
          <w:rFonts w:ascii="Arial" w:cs="Arial" w:eastAsia="Arial" w:hAnsi="Arial"/>
          <w:b/>
          <w:bCs/>
          <w:sz w:val="22"/>
          <w:szCs w:val="22"/>
        </w:rPr>
        <w:t xml:space="preserve">presacral space</w:t>
      </w:r>
      <w:r>
        <w:rPr>
          <w:rFonts w:ascii="Arial" w:cs="Arial" w:eastAsia="Arial" w:hAnsi="Arial"/>
          <w:sz w:val="22"/>
          <w:szCs w:val="22"/>
        </w:rPr>
        <w:t xml:space="preserve"> refers to the plane between the posterior mesorectal fascia and the sacrum/coccyx. In TME surgery, dissection proceeds in the presacral space, behind the mesorectal fascia.</w:t>
      </w:r>
    </w:p>
    <w:p>
      <w:pPr>
        <w:spacing w:after="120"/>
      </w:pPr>
      <w:r>
        <w:rPr>
          <w:rFonts w:ascii="Arial" w:cs="Arial" w:eastAsia="Arial" w:hAnsi="Arial"/>
          <w:sz w:val="22"/>
          <w:szCs w:val="22"/>
        </w:rPr>
        <w:t xml:space="preserve">This space contains the presacral venous plexus and is the site of the 'holy plane' of TME dissection. On MRI:</w:t>
      </w:r>
    </w:p>
    <w:p>
      <w:pPr>
        <w:pStyle w:val="ListParagraph"/>
        <w:numPr>
          <w:ilvl w:val="0"/>
          <w:numId w:val="2"/>
        </w:numPr>
        <w:spacing w:after="80"/>
      </w:pPr>
      <w:r>
        <w:rPr>
          <w:rFonts w:ascii="Arial" w:cs="Arial" w:eastAsia="Arial" w:hAnsi="Arial"/>
          <w:sz w:val="22"/>
          <w:szCs w:val="22"/>
        </w:rPr>
        <w:t xml:space="preserve">Posterior CRM involvement may involve the presacral space</w:t>
      </w:r>
    </w:p>
    <w:p>
      <w:pPr>
        <w:pStyle w:val="ListParagraph"/>
        <w:numPr>
          <w:ilvl w:val="0"/>
          <w:numId w:val="2"/>
        </w:numPr>
        <w:spacing w:after="80"/>
      </w:pPr>
      <w:r>
        <w:rPr>
          <w:rFonts w:ascii="Arial" w:cs="Arial" w:eastAsia="Arial" w:hAnsi="Arial"/>
          <w:sz w:val="22"/>
          <w:szCs w:val="22"/>
        </w:rPr>
        <w:t xml:space="preserve">Sacral invasion (T4b) is important to identify preoperatively as it significantly complicates resection</w:t>
      </w:r>
    </w:p>
    <w:p>
      <w:pPr>
        <w:pStyle w:val="ListParagraph"/>
        <w:numPr>
          <w:ilvl w:val="0"/>
          <w:numId w:val="2"/>
        </w:numPr>
        <w:spacing w:after="80"/>
      </w:pPr>
      <w:r>
        <w:rPr>
          <w:rFonts w:ascii="Arial" w:cs="Arial" w:eastAsia="Arial" w:hAnsi="Arial"/>
          <w:sz w:val="22"/>
          <w:szCs w:val="22"/>
        </w:rPr>
        <w:t xml:space="preserve">Post-surgical or post-radiotherapy changes in the presacral space may mimic tumour on MRI (important when interpreting restaging MRIs)</w:t>
      </w:r>
    </w:p>
    <w:p>
      <w:pPr>
        <w:pStyle w:val="Heading3"/>
        <w:spacing w:before="240" w:after="120"/>
      </w:pPr>
      <w:r>
        <w:rPr>
          <w:rFonts w:ascii="Arial" w:cs="Arial" w:eastAsia="Arial" w:hAnsi="Arial"/>
          <w:b/>
          <w:bCs/>
          <w:sz w:val="26"/>
          <w:szCs w:val="26"/>
        </w:rPr>
        <w:t xml:space="preserve">Tumour Distance from Anal Verge and Rectal Level</w:t>
      </w:r>
    </w:p>
    <w:p>
      <w:pPr>
        <w:spacing w:after="120"/>
      </w:pPr>
      <w:r>
        <w:rPr>
          <w:rFonts w:ascii="Arial" w:cs="Arial" w:eastAsia="Arial" w:hAnsi="Arial"/>
          <w:sz w:val="22"/>
          <w:szCs w:val="22"/>
        </w:rPr>
        <w:t xml:space="preserve">Rectal tumour height is routinely recorded on the MRI report and in the MDT proforma:</w:t>
      </w:r>
    </w:p>
    <w:p>
      <w:pPr>
        <w:pStyle w:val="ListParagraph"/>
        <w:numPr>
          <w:ilvl w:val="0"/>
          <w:numId w:val="2"/>
        </w:numPr>
        <w:spacing w:after="80"/>
      </w:pPr>
      <w:r>
        <w:rPr>
          <w:rFonts w:ascii="Arial" w:cs="Arial" w:eastAsia="Arial" w:hAnsi="Arial"/>
          <w:b/>
          <w:bCs/>
          <w:sz w:val="22"/>
          <w:szCs w:val="22"/>
        </w:rPr>
        <w:t xml:space="preserve">Low rectal tumour</w:t>
      </w:r>
      <w:r>
        <w:rPr>
          <w:rFonts w:ascii="Arial" w:cs="Arial" w:eastAsia="Arial" w:hAnsi="Arial"/>
          <w:sz w:val="22"/>
          <w:szCs w:val="22"/>
        </w:rPr>
        <w:t xml:space="preserve">: 0–5 cm from the anal verge. Below the peritoneal reflection. High risk of positive CRM with standard surgery. Often requires APE or ELAPE. Sphincter preservation is challenging.</w:t>
      </w:r>
    </w:p>
    <w:p>
      <w:pPr>
        <w:pStyle w:val="ListParagraph"/>
        <w:numPr>
          <w:ilvl w:val="0"/>
          <w:numId w:val="2"/>
        </w:numPr>
        <w:spacing w:after="80"/>
      </w:pPr>
      <w:r>
        <w:rPr>
          <w:rFonts w:ascii="Arial" w:cs="Arial" w:eastAsia="Arial" w:hAnsi="Arial"/>
          <w:b/>
          <w:bCs/>
          <w:sz w:val="22"/>
          <w:szCs w:val="22"/>
        </w:rPr>
        <w:t xml:space="preserve">Mid rectal tumour</w:t>
      </w:r>
      <w:r>
        <w:rPr>
          <w:rFonts w:ascii="Arial" w:cs="Arial" w:eastAsia="Arial" w:hAnsi="Arial"/>
          <w:sz w:val="22"/>
          <w:szCs w:val="22"/>
        </w:rPr>
        <w:t xml:space="preserve">: 5–10 cm from the anal verge. Below the peritoneal reflection. Can usually be resected with TME and a low anterior resection (LAR) if tumour is not bulky or encroaching the sphincter complex.</w:t>
      </w:r>
    </w:p>
    <w:p>
      <w:pPr>
        <w:pStyle w:val="ListParagraph"/>
        <w:numPr>
          <w:ilvl w:val="0"/>
          <w:numId w:val="2"/>
        </w:numPr>
        <w:spacing w:after="80"/>
      </w:pPr>
      <w:r>
        <w:rPr>
          <w:rFonts w:ascii="Arial" w:cs="Arial" w:eastAsia="Arial" w:hAnsi="Arial"/>
          <w:b/>
          <w:bCs/>
          <w:sz w:val="22"/>
          <w:szCs w:val="22"/>
        </w:rPr>
        <w:t xml:space="preserve">Upper rectal tumour</w:t>
      </w:r>
      <w:r>
        <w:rPr>
          <w:rFonts w:ascii="Arial" w:cs="Arial" w:eastAsia="Arial" w:hAnsi="Arial"/>
          <w:sz w:val="22"/>
          <w:szCs w:val="22"/>
        </w:rPr>
        <w:t xml:space="preserve">: 10–15 cm from the anal verge. May be above the peritoneal reflection (no mesorectum anteriorly). Managed more like sigmoid colon cancer; may not require radiotherapy; TME to approximately 5 cm distal margin.</w:t>
      </w:r>
    </w:p>
    <w:p>
      <w:pPr>
        <w:pStyle w:val="Heading2"/>
        <w:spacing w:before="280" w:after="160"/>
      </w:pPr>
      <w:r>
        <w:rPr>
          <w:rFonts w:ascii="Arial" w:cs="Arial" w:eastAsia="Arial" w:hAnsi="Arial"/>
          <w:b/>
          <w:bCs/>
          <w:sz w:val="28"/>
          <w:szCs w:val="28"/>
        </w:rPr>
        <w:t xml:space="preserve">3.5 Colon Cancer Staging vs Rectal Cancer Staging</w:t>
      </w:r>
    </w:p>
    <w:p>
      <w:pPr>
        <w:spacing w:after="120"/>
      </w:pPr>
      <w:r>
        <w:rPr>
          <w:rFonts w:ascii="Arial" w:cs="Arial" w:eastAsia="Arial" w:hAnsi="Arial"/>
          <w:sz w:val="22"/>
          <w:szCs w:val="22"/>
        </w:rPr>
        <w:t xml:space="preserve">The fundamental distinction is that rectal cancer has unique staging parameters because of its anatomical position in the mesorectal envelope below the peritoneal reflection:</w:t>
      </w:r>
    </w:p>
    <w:p>
      <w:pPr>
        <w:pStyle w:val="ListParagraph"/>
        <w:numPr>
          <w:ilvl w:val="0"/>
          <w:numId w:val="2"/>
        </w:numPr>
        <w:spacing w:after="80"/>
      </w:pPr>
      <w:r>
        <w:rPr>
          <w:rFonts w:ascii="Arial" w:cs="Arial" w:eastAsia="Arial" w:hAnsi="Arial"/>
          <w:sz w:val="22"/>
          <w:szCs w:val="22"/>
        </w:rPr>
        <w:t xml:space="preserve">Colon cancer is staged by CT alone (CT TAP). No MRI is routinely required. The main staging parameters are the CT-determined T stage, N stage (mesenteric nodes), and M stage (liver, lung, peritoneal disease).</w:t>
      </w:r>
    </w:p>
    <w:p>
      <w:pPr>
        <w:pStyle w:val="ListParagraph"/>
        <w:numPr>
          <w:ilvl w:val="0"/>
          <w:numId w:val="2"/>
        </w:numPr>
        <w:spacing w:after="80"/>
      </w:pPr>
      <w:r>
        <w:rPr>
          <w:rFonts w:ascii="Arial" w:cs="Arial" w:eastAsia="Arial" w:hAnsi="Arial"/>
          <w:sz w:val="22"/>
          <w:szCs w:val="22"/>
        </w:rPr>
        <w:t xml:space="preserve">Rectal cancer requires high-resolution pelvic MRI in addition to CT TAP. The MRI provides the mrT stage, mrN stage, mrCRM, mrEMVI, intersphincteric plane assessment, and distance from anal verge. These parameters directly drive the decision to give neoadjuvant chemoradiotherapy.</w:t>
      </w:r>
    </w:p>
    <w:p>
      <w:pPr>
        <w:pStyle w:val="ListParagraph"/>
        <w:numPr>
          <w:ilvl w:val="0"/>
          <w:numId w:val="2"/>
        </w:numPr>
        <w:spacing w:after="80"/>
      </w:pPr>
      <w:r>
        <w:rPr>
          <w:rFonts w:ascii="Arial" w:cs="Arial" w:eastAsia="Arial" w:hAnsi="Arial"/>
          <w:sz w:val="22"/>
          <w:szCs w:val="22"/>
        </w:rPr>
        <w:t xml:space="preserve">Rectal cancer also frequently involves the radiation oncologist and a radiotherapy treatment decision before any surgery, which is not the case for colon cancer (except in exceptional circumstances such as locally unresectable disease).</w:t>
      </w:r>
    </w:p>
    <w:p>
      <w:r>
        <w:br w:type="page"/>
      </w:r>
    </w:p>
    <w:p>
      <w:pPr>
        <w:pStyle w:val="Heading1"/>
        <w:spacing w:before="360" w:after="200"/>
      </w:pPr>
      <w:r>
        <w:rPr>
          <w:rFonts w:ascii="Arial" w:cs="Arial" w:eastAsia="Arial" w:hAnsi="Arial"/>
          <w:b/>
          <w:bCs/>
          <w:sz w:val="32"/>
          <w:szCs w:val="32"/>
        </w:rPr>
        <w:t xml:space="preserve">Section 4: Imaging Modalities</w:t>
      </w:r>
    </w:p>
    <w:p>
      <w:pPr>
        <w:pStyle w:val="Heading2"/>
        <w:spacing w:before="280" w:after="160"/>
      </w:pPr>
      <w:r>
        <w:rPr>
          <w:rFonts w:ascii="Arial" w:cs="Arial" w:eastAsia="Arial" w:hAnsi="Arial"/>
          <w:b/>
          <w:bCs/>
          <w:sz w:val="28"/>
          <w:szCs w:val="28"/>
        </w:rPr>
        <w:t xml:space="preserve">4.1 CT (Computed Tomography)</w:t>
      </w:r>
    </w:p>
    <w:p>
      <w:pPr>
        <w:pStyle w:val="Heading3"/>
        <w:spacing w:before="240" w:after="120"/>
      </w:pPr>
      <w:r>
        <w:rPr>
          <w:rFonts w:ascii="Arial" w:cs="Arial" w:eastAsia="Arial" w:hAnsi="Arial"/>
          <w:b/>
          <w:bCs/>
          <w:sz w:val="26"/>
          <w:szCs w:val="26"/>
        </w:rPr>
        <w:t xml:space="preserve">CT TAP (Thorax, Abdomen, Pelvis)</w:t>
      </w:r>
    </w:p>
    <w:p>
      <w:pPr>
        <w:spacing w:after="120"/>
      </w:pPr>
      <w:r>
        <w:rPr>
          <w:rFonts w:ascii="Arial" w:cs="Arial" w:eastAsia="Arial" w:hAnsi="Arial"/>
          <w:b/>
          <w:bCs/>
          <w:sz w:val="22"/>
          <w:szCs w:val="22"/>
        </w:rPr>
        <w:t xml:space="preserve">CT TAP</w:t>
      </w:r>
      <w:r>
        <w:rPr>
          <w:rFonts w:ascii="Arial" w:cs="Arial" w:eastAsia="Arial" w:hAnsi="Arial"/>
          <w:sz w:val="22"/>
          <w:szCs w:val="22"/>
        </w:rPr>
        <w:t xml:space="preserve"> is the standard staging scan for colorectal cancer and is always performed before the MDT discussion. It uses intravenous contrast (typically iodinated contrast agent given by injection) and provides images of the thorax, abdomen, and pelvis in a single acquisition.</w:t>
      </w:r>
    </w:p>
    <w:p>
      <w:pPr>
        <w:spacing w:after="120"/>
      </w:pPr>
      <w:r>
        <w:rPr>
          <w:rFonts w:ascii="Arial" w:cs="Arial" w:eastAsia="Arial" w:hAnsi="Arial"/>
          <w:sz w:val="22"/>
          <w:szCs w:val="22"/>
        </w:rPr>
        <w:t xml:space="preserve">CT TAP is used to:</w:t>
      </w:r>
    </w:p>
    <w:p>
      <w:pPr>
        <w:pStyle w:val="ListParagraph"/>
        <w:numPr>
          <w:ilvl w:val="0"/>
          <w:numId w:val="2"/>
        </w:numPr>
        <w:spacing w:after="80"/>
      </w:pPr>
      <w:r>
        <w:rPr>
          <w:rFonts w:ascii="Arial" w:cs="Arial" w:eastAsia="Arial" w:hAnsi="Arial"/>
          <w:sz w:val="22"/>
          <w:szCs w:val="22"/>
        </w:rPr>
        <w:t xml:space="preserve">Assess the primary tumour (size, site, local invasion)</w:t>
      </w:r>
    </w:p>
    <w:p>
      <w:pPr>
        <w:pStyle w:val="ListParagraph"/>
        <w:numPr>
          <w:ilvl w:val="0"/>
          <w:numId w:val="2"/>
        </w:numPr>
        <w:spacing w:after="80"/>
      </w:pPr>
      <w:r>
        <w:rPr>
          <w:rFonts w:ascii="Arial" w:cs="Arial" w:eastAsia="Arial" w:hAnsi="Arial"/>
          <w:sz w:val="22"/>
          <w:szCs w:val="22"/>
        </w:rPr>
        <w:t xml:space="preserve">Identify regional lymphadenopathy (though lymph node characterisation is less accurate on CT than MRI)</w:t>
      </w:r>
    </w:p>
    <w:p>
      <w:pPr>
        <w:pStyle w:val="ListParagraph"/>
        <w:numPr>
          <w:ilvl w:val="0"/>
          <w:numId w:val="2"/>
        </w:numPr>
        <w:spacing w:after="80"/>
      </w:pPr>
      <w:r>
        <w:rPr>
          <w:rFonts w:ascii="Arial" w:cs="Arial" w:eastAsia="Arial" w:hAnsi="Arial"/>
          <w:sz w:val="22"/>
          <w:szCs w:val="22"/>
        </w:rPr>
        <w:t xml:space="preserve">Detect distant metastases — liver, lung, peritoneum, lymph nodes outside the regional basin</w:t>
      </w:r>
    </w:p>
    <w:p>
      <w:pPr>
        <w:pStyle w:val="ListParagraph"/>
        <w:numPr>
          <w:ilvl w:val="0"/>
          <w:numId w:val="2"/>
        </w:numPr>
        <w:spacing w:after="80"/>
      </w:pPr>
      <w:r>
        <w:rPr>
          <w:rFonts w:ascii="Arial" w:cs="Arial" w:eastAsia="Arial" w:hAnsi="Arial"/>
          <w:sz w:val="22"/>
          <w:szCs w:val="22"/>
        </w:rPr>
        <w:t xml:space="preserve">Provide an overview of other organs and incidental findings</w:t>
      </w:r>
    </w:p>
    <w:p>
      <w:pPr>
        <w:spacing w:after="80"/>
      </w:pPr>
      <w:r>
        <w:t xml:space="preserve"/>
      </w:r>
    </w:p>
    <w:p>
      <w:pPr>
        <w:spacing w:after="120"/>
      </w:pPr>
      <w:r>
        <w:rPr>
          <w:rFonts w:ascii="Arial" w:cs="Arial" w:eastAsia="Arial" w:hAnsi="Arial"/>
          <w:b/>
          <w:bCs/>
          <w:sz w:val="22"/>
          <w:szCs w:val="22"/>
        </w:rPr>
        <w:t xml:space="preserve">What to expect in a CT staging report for colorectal cancer:</w:t>
      </w:r>
      <w:r>
        <w:rPr>
          <w:rFonts w:ascii="Arial" w:cs="Arial" w:eastAsia="Arial" w:hAnsi="Arial"/>
          <w:sz w:val="22"/>
          <w:szCs w:val="22"/>
        </w:rPr>
        <w:t xml:space="preserve"> The radiology report will typically include:</w:t>
      </w:r>
    </w:p>
    <w:p>
      <w:pPr>
        <w:pStyle w:val="ListParagraph"/>
        <w:numPr>
          <w:ilvl w:val="0"/>
          <w:numId w:val="2"/>
        </w:numPr>
        <w:spacing w:after="80"/>
      </w:pPr>
      <w:r>
        <w:rPr>
          <w:rFonts w:ascii="Arial" w:cs="Arial" w:eastAsia="Arial" w:hAnsi="Arial"/>
          <w:sz w:val="22"/>
          <w:szCs w:val="22"/>
        </w:rPr>
        <w:t xml:space="preserve">Primary tumour: location, size, degree of mural thickening, extramural extension</w:t>
      </w:r>
    </w:p>
    <w:p>
      <w:pPr>
        <w:pStyle w:val="ListParagraph"/>
        <w:numPr>
          <w:ilvl w:val="0"/>
          <w:numId w:val="2"/>
        </w:numPr>
        <w:spacing w:after="80"/>
      </w:pPr>
      <w:r>
        <w:rPr>
          <w:rFonts w:ascii="Arial" w:cs="Arial" w:eastAsia="Arial" w:hAnsi="Arial"/>
          <w:sz w:val="22"/>
          <w:szCs w:val="22"/>
        </w:rPr>
        <w:t xml:space="preserve">Lymph nodes: size and number of regional lymph nodes — often characterised as 'borderline' (&lt;1 cm) or 'enlarged/suspicious' (&gt;1 cm, but note that size alone is an imperfect predictor of nodal involvement)</w:t>
      </w:r>
    </w:p>
    <w:p>
      <w:pPr>
        <w:pStyle w:val="ListParagraph"/>
        <w:numPr>
          <w:ilvl w:val="0"/>
          <w:numId w:val="2"/>
        </w:numPr>
        <w:spacing w:after="80"/>
      </w:pPr>
      <w:r>
        <w:rPr>
          <w:rFonts w:ascii="Arial" w:cs="Arial" w:eastAsia="Arial" w:hAnsi="Arial"/>
          <w:sz w:val="22"/>
          <w:szCs w:val="22"/>
        </w:rPr>
        <w:t xml:space="preserve">Liver: presence and number of metastases, sizes, lobe distribution, proximity to vessels. Liver metastases are described by segment (segments I–VIII using the Couinaud classification) which is surgically important</w:t>
      </w:r>
    </w:p>
    <w:p>
      <w:pPr>
        <w:pStyle w:val="ListParagraph"/>
        <w:numPr>
          <w:ilvl w:val="0"/>
          <w:numId w:val="2"/>
        </w:numPr>
        <w:spacing w:after="80"/>
      </w:pPr>
      <w:r>
        <w:rPr>
          <w:rFonts w:ascii="Arial" w:cs="Arial" w:eastAsia="Arial" w:hAnsi="Arial"/>
          <w:sz w:val="22"/>
          <w:szCs w:val="22"/>
        </w:rPr>
        <w:t xml:space="preserve">Lungs: pulmonary metastases — number, size, distribution. Small (&lt;6mm) lung nodules are common and may be indeterminate rather than definitely metastatic</w:t>
      </w:r>
    </w:p>
    <w:p>
      <w:pPr>
        <w:pStyle w:val="ListParagraph"/>
        <w:numPr>
          <w:ilvl w:val="0"/>
          <w:numId w:val="2"/>
        </w:numPr>
        <w:spacing w:after="80"/>
      </w:pPr>
      <w:r>
        <w:rPr>
          <w:rFonts w:ascii="Arial" w:cs="Arial" w:eastAsia="Arial" w:hAnsi="Arial"/>
          <w:sz w:val="22"/>
          <w:szCs w:val="22"/>
        </w:rPr>
        <w:t xml:space="preserve">Peritoneum: peritoneal nodules, omental caking, ascites — suggesting peritoneal carcinomatosis</w:t>
      </w:r>
    </w:p>
    <w:p>
      <w:pPr>
        <w:pStyle w:val="ListParagraph"/>
        <w:numPr>
          <w:ilvl w:val="0"/>
          <w:numId w:val="2"/>
        </w:numPr>
        <w:spacing w:after="80"/>
      </w:pPr>
      <w:r>
        <w:rPr>
          <w:rFonts w:ascii="Arial" w:cs="Arial" w:eastAsia="Arial" w:hAnsi="Arial"/>
          <w:sz w:val="22"/>
          <w:szCs w:val="22"/>
        </w:rPr>
        <w:t xml:space="preserve">Other findings as relevant</w:t>
      </w:r>
    </w:p>
    <w:p>
      <w:pPr>
        <w:pStyle w:val="Heading3"/>
        <w:spacing w:before="240" w:after="120"/>
      </w:pPr>
      <w:r>
        <w:rPr>
          <w:rFonts w:ascii="Arial" w:cs="Arial" w:eastAsia="Arial" w:hAnsi="Arial"/>
          <w:b/>
          <w:bCs/>
          <w:sz w:val="26"/>
          <w:szCs w:val="26"/>
        </w:rPr>
        <w:t xml:space="preserve">Incidental Findings</w:t>
      </w:r>
    </w:p>
    <w:p>
      <w:pPr>
        <w:spacing w:after="120"/>
      </w:pPr>
      <w:r>
        <w:rPr>
          <w:rFonts w:ascii="Arial" w:cs="Arial" w:eastAsia="Arial" w:hAnsi="Arial"/>
          <w:b/>
          <w:bCs/>
          <w:sz w:val="22"/>
          <w:szCs w:val="22"/>
        </w:rPr>
        <w:t xml:space="preserve">Incidental findings</w:t>
      </w:r>
      <w:r>
        <w:rPr>
          <w:rFonts w:ascii="Arial" w:cs="Arial" w:eastAsia="Arial" w:hAnsi="Arial"/>
          <w:sz w:val="22"/>
          <w:szCs w:val="22"/>
        </w:rPr>
        <w:t xml:space="preserve"> are radiological abnormalities discovered during staging imaging that are unrelated to the known cancer. They are extremely common on CT TAP (present in 30–50% of staging scans) and can include:</w:t>
      </w:r>
    </w:p>
    <w:p>
      <w:pPr>
        <w:pStyle w:val="ListParagraph"/>
        <w:numPr>
          <w:ilvl w:val="0"/>
          <w:numId w:val="2"/>
        </w:numPr>
        <w:spacing w:after="80"/>
      </w:pPr>
      <w:r>
        <w:rPr>
          <w:rFonts w:ascii="Arial" w:cs="Arial" w:eastAsia="Arial" w:hAnsi="Arial"/>
          <w:sz w:val="22"/>
          <w:szCs w:val="22"/>
        </w:rPr>
        <w:t xml:space="preserve">Adrenal adenomas (common benign incidental masses — important to distinguish from metastatic deposits)</w:t>
      </w:r>
    </w:p>
    <w:p>
      <w:pPr>
        <w:pStyle w:val="ListParagraph"/>
        <w:numPr>
          <w:ilvl w:val="0"/>
          <w:numId w:val="2"/>
        </w:numPr>
        <w:spacing w:after="80"/>
      </w:pPr>
      <w:r>
        <w:rPr>
          <w:rFonts w:ascii="Arial" w:cs="Arial" w:eastAsia="Arial" w:hAnsi="Arial"/>
          <w:sz w:val="22"/>
          <w:szCs w:val="22"/>
        </w:rPr>
        <w:t xml:space="preserve">Renal cysts (usually benign)</w:t>
      </w:r>
    </w:p>
    <w:p>
      <w:pPr>
        <w:pStyle w:val="ListParagraph"/>
        <w:numPr>
          <w:ilvl w:val="0"/>
          <w:numId w:val="2"/>
        </w:numPr>
        <w:spacing w:after="80"/>
      </w:pPr>
      <w:r>
        <w:rPr>
          <w:rFonts w:ascii="Arial" w:cs="Arial" w:eastAsia="Arial" w:hAnsi="Arial"/>
          <w:sz w:val="22"/>
          <w:szCs w:val="22"/>
        </w:rPr>
        <w:t xml:space="preserve">Pulmonary nodules (may require follow-up CT or PET to determine if metastatic)</w:t>
      </w:r>
    </w:p>
    <w:p>
      <w:pPr>
        <w:pStyle w:val="ListParagraph"/>
        <w:numPr>
          <w:ilvl w:val="0"/>
          <w:numId w:val="2"/>
        </w:numPr>
        <w:spacing w:after="80"/>
      </w:pPr>
      <w:r>
        <w:rPr>
          <w:rFonts w:ascii="Arial" w:cs="Arial" w:eastAsia="Arial" w:hAnsi="Arial"/>
          <w:sz w:val="22"/>
          <w:szCs w:val="22"/>
        </w:rPr>
        <w:t xml:space="preserve">Abdominal aortic aneurysm (AAA)</w:t>
      </w:r>
    </w:p>
    <w:p>
      <w:pPr>
        <w:pStyle w:val="ListParagraph"/>
        <w:numPr>
          <w:ilvl w:val="0"/>
          <w:numId w:val="2"/>
        </w:numPr>
        <w:spacing w:after="80"/>
      </w:pPr>
      <w:r>
        <w:rPr>
          <w:rFonts w:ascii="Arial" w:cs="Arial" w:eastAsia="Arial" w:hAnsi="Arial"/>
          <w:sz w:val="22"/>
          <w:szCs w:val="22"/>
        </w:rPr>
        <w:t xml:space="preserve">Incidental colonic polyps or other primary malignancies</w:t>
      </w:r>
    </w:p>
    <w:p>
      <w:pPr>
        <w:spacing w:after="120"/>
      </w:pPr>
      <w:r>
        <w:rPr>
          <w:rFonts w:ascii="Arial" w:cs="Arial" w:eastAsia="Arial" w:hAnsi="Arial"/>
          <w:sz w:val="22"/>
          <w:szCs w:val="22"/>
        </w:rPr>
        <w:t xml:space="preserve">Clinically significant incidental findings must be communicated to the MDT and may require additional investigation. They can delay or complicate the treatment pathway.</w:t>
      </w:r>
    </w:p>
    <w:p>
      <w:pPr>
        <w:pStyle w:val="Heading3"/>
        <w:spacing w:before="240" w:after="120"/>
      </w:pPr>
      <w:r>
        <w:rPr>
          <w:rFonts w:ascii="Arial" w:cs="Arial" w:eastAsia="Arial" w:hAnsi="Arial"/>
          <w:b/>
          <w:bCs/>
          <w:sz w:val="26"/>
          <w:szCs w:val="26"/>
        </w:rPr>
        <w:t xml:space="preserve">Metastatic Disease Patterns in CRC</w:t>
      </w:r>
    </w:p>
    <w:p>
      <w:pPr>
        <w:pStyle w:val="ListParagraph"/>
        <w:numPr>
          <w:ilvl w:val="0"/>
          <w:numId w:val="2"/>
        </w:numPr>
        <w:spacing w:after="80"/>
      </w:pPr>
      <w:r>
        <w:rPr>
          <w:rFonts w:ascii="Arial" w:cs="Arial" w:eastAsia="Arial" w:hAnsi="Arial"/>
          <w:b/>
          <w:bCs/>
          <w:sz w:val="22"/>
          <w:szCs w:val="22"/>
        </w:rPr>
        <w:t xml:space="preserve">Liver</w:t>
      </w:r>
      <w:r>
        <w:rPr>
          <w:rFonts w:ascii="Arial" w:cs="Arial" w:eastAsia="Arial" w:hAnsi="Arial"/>
          <w:sz w:val="22"/>
          <w:szCs w:val="22"/>
        </w:rPr>
        <w:t xml:space="preserve">: The most common site of distant metastases (~50% of patients with metastatic disease). The portal venous drainage of the colon and rectum means that tumour cells reach the liver first. Liver metastases appear as hypodense lesions on contrast CT. Arterial phase enhancement ('rim enhancement') is characteristic. Liver-only metastatic disease may be potentially resectable.</w:t>
      </w:r>
    </w:p>
    <w:p>
      <w:pPr>
        <w:pStyle w:val="ListParagraph"/>
        <w:numPr>
          <w:ilvl w:val="0"/>
          <w:numId w:val="2"/>
        </w:numPr>
        <w:spacing w:after="80"/>
      </w:pPr>
      <w:r>
        <w:rPr>
          <w:rFonts w:ascii="Arial" w:cs="Arial" w:eastAsia="Arial" w:hAnsi="Arial"/>
          <w:b/>
          <w:bCs/>
          <w:sz w:val="22"/>
          <w:szCs w:val="22"/>
        </w:rPr>
        <w:t xml:space="preserve">Lung</w:t>
      </w:r>
      <w:r>
        <w:rPr>
          <w:rFonts w:ascii="Arial" w:cs="Arial" w:eastAsia="Arial" w:hAnsi="Arial"/>
          <w:sz w:val="22"/>
          <w:szCs w:val="22"/>
        </w:rPr>
        <w:t xml:space="preserve">: Second most common site (~10–20%). Haematogenous spread via systemic circulation. Pulmonary metastases typically appear as well-defined nodules, often multiple and bilateral.</w:t>
      </w:r>
    </w:p>
    <w:p>
      <w:pPr>
        <w:pStyle w:val="ListParagraph"/>
        <w:numPr>
          <w:ilvl w:val="0"/>
          <w:numId w:val="2"/>
        </w:numPr>
        <w:spacing w:after="80"/>
      </w:pPr>
      <w:r>
        <w:rPr>
          <w:rFonts w:ascii="Arial" w:cs="Arial" w:eastAsia="Arial" w:hAnsi="Arial"/>
          <w:b/>
          <w:bCs/>
          <w:sz w:val="22"/>
          <w:szCs w:val="22"/>
        </w:rPr>
        <w:t xml:space="preserve">Peritoneum</w:t>
      </w:r>
      <w:r>
        <w:rPr>
          <w:rFonts w:ascii="Arial" w:cs="Arial" w:eastAsia="Arial" w:hAnsi="Arial"/>
          <w:sz w:val="22"/>
          <w:szCs w:val="22"/>
        </w:rPr>
        <w:t xml:space="preserve">: Peritoneal carcinomatosis (PC) in ~10–15%. Appears as peritoneal nodules, omental cake, and ascites. PC is generally associated with poor prognosis. Selected patients with limited peritoneal disease may be considered for cytoreductive surgery (CRS) and hyperthermic intraperitoneal chemotherapy (HIPEC).</w:t>
      </w:r>
    </w:p>
    <w:p>
      <w:pPr>
        <w:pStyle w:val="ListParagraph"/>
        <w:numPr>
          <w:ilvl w:val="0"/>
          <w:numId w:val="2"/>
        </w:numPr>
        <w:spacing w:after="80"/>
      </w:pPr>
      <w:r>
        <w:rPr>
          <w:rFonts w:ascii="Arial" w:cs="Arial" w:eastAsia="Arial" w:hAnsi="Arial"/>
          <w:b/>
          <w:bCs/>
          <w:sz w:val="22"/>
          <w:szCs w:val="22"/>
        </w:rPr>
        <w:t xml:space="preserve">Lymph nodes</w:t>
      </w:r>
      <w:r>
        <w:rPr>
          <w:rFonts w:ascii="Arial" w:cs="Arial" w:eastAsia="Arial" w:hAnsi="Arial"/>
          <w:sz w:val="22"/>
          <w:szCs w:val="22"/>
        </w:rPr>
        <w:t xml:space="preserve">: Para-aortic and iliac lymphadenopathy beyond the regional nodal basin.</w:t>
      </w:r>
    </w:p>
    <w:p>
      <w:pPr>
        <w:pStyle w:val="ListParagraph"/>
        <w:numPr>
          <w:ilvl w:val="0"/>
          <w:numId w:val="2"/>
        </w:numPr>
        <w:spacing w:after="80"/>
      </w:pPr>
      <w:r>
        <w:rPr>
          <w:rFonts w:ascii="Arial" w:cs="Arial" w:eastAsia="Arial" w:hAnsi="Arial"/>
          <w:b/>
          <w:bCs/>
          <w:sz w:val="22"/>
          <w:szCs w:val="22"/>
        </w:rPr>
        <w:t xml:space="preserve">Bone, brain</w:t>
      </w:r>
      <w:r>
        <w:rPr>
          <w:rFonts w:ascii="Arial" w:cs="Arial" w:eastAsia="Arial" w:hAnsi="Arial"/>
          <w:sz w:val="22"/>
          <w:szCs w:val="22"/>
        </w:rPr>
        <w:t xml:space="preserve">: Less common; more often seen in heavily pre-treated advanced disease.</w:t>
      </w:r>
    </w:p>
    <w:p>
      <w:pPr>
        <w:spacing w:after="80"/>
      </w:pPr>
      <w:r>
        <w:t xml:space="preserve"/>
      </w:r>
    </w:p>
    <w:p>
      <w:pPr>
        <w:pStyle w:val="Heading2"/>
        <w:spacing w:before="280" w:after="160"/>
      </w:pPr>
      <w:r>
        <w:rPr>
          <w:rFonts w:ascii="Arial" w:cs="Arial" w:eastAsia="Arial" w:hAnsi="Arial"/>
          <w:b/>
          <w:bCs/>
          <w:sz w:val="28"/>
          <w:szCs w:val="28"/>
        </w:rPr>
        <w:t xml:space="preserve">4.2 MRI (Magnetic Resonance Imaging)</w:t>
      </w:r>
    </w:p>
    <w:p>
      <w:pPr>
        <w:pStyle w:val="Heading3"/>
        <w:spacing w:before="240" w:after="120"/>
      </w:pPr>
      <w:r>
        <w:rPr>
          <w:rFonts w:ascii="Arial" w:cs="Arial" w:eastAsia="Arial" w:hAnsi="Arial"/>
          <w:b/>
          <w:bCs/>
          <w:sz w:val="26"/>
          <w:szCs w:val="26"/>
        </w:rPr>
        <w:t xml:space="preserve">Why MRI Is Preferred for Rectal Cancer Staging</w:t>
      </w:r>
    </w:p>
    <w:p>
      <w:pPr>
        <w:spacing w:after="120"/>
      </w:pPr>
      <w:r>
        <w:rPr>
          <w:rFonts w:ascii="Arial" w:cs="Arial" w:eastAsia="Arial" w:hAnsi="Arial"/>
          <w:b/>
          <w:bCs/>
          <w:sz w:val="22"/>
          <w:szCs w:val="22"/>
        </w:rPr>
        <w:t xml:space="preserve">MRI</w:t>
      </w:r>
      <w:r>
        <w:rPr>
          <w:rFonts w:ascii="Arial" w:cs="Arial" w:eastAsia="Arial" w:hAnsi="Arial"/>
          <w:sz w:val="22"/>
          <w:szCs w:val="22"/>
        </w:rPr>
        <w:t xml:space="preserve"> provides superior soft tissue contrast to CT and can delineate the layers of the rectal wall and the mesorectal fascia — structures that are invisible on CT. The key sequences used in high-resolution rectal MRI are:</w:t>
      </w:r>
    </w:p>
    <w:p>
      <w:pPr>
        <w:pStyle w:val="ListParagraph"/>
        <w:numPr>
          <w:ilvl w:val="0"/>
          <w:numId w:val="2"/>
        </w:numPr>
        <w:spacing w:after="80"/>
      </w:pPr>
      <w:r>
        <w:rPr>
          <w:rFonts w:ascii="Arial" w:cs="Arial" w:eastAsia="Arial" w:hAnsi="Arial"/>
          <w:b/>
          <w:bCs/>
          <w:sz w:val="22"/>
          <w:szCs w:val="22"/>
        </w:rPr>
        <w:t xml:space="preserve">T2-weighted imaging</w:t>
      </w:r>
      <w:r>
        <w:rPr>
          <w:rFonts w:ascii="Arial" w:cs="Arial" w:eastAsia="Arial" w:hAnsi="Arial"/>
          <w:sz w:val="22"/>
          <w:szCs w:val="22"/>
        </w:rPr>
        <w:t xml:space="preserve">: the workhorse sequence — provides exquisite detail of the rectal wall layers, the mesorectum, and the mesorectal fascia. Tumour appears as intermediate-low signal against the bright fat of the mesorectum.</w:t>
      </w:r>
    </w:p>
    <w:p>
      <w:pPr>
        <w:pStyle w:val="ListParagraph"/>
        <w:numPr>
          <w:ilvl w:val="0"/>
          <w:numId w:val="2"/>
        </w:numPr>
        <w:spacing w:after="80"/>
      </w:pPr>
      <w:r>
        <w:rPr>
          <w:rFonts w:ascii="Arial" w:cs="Arial" w:eastAsia="Arial" w:hAnsi="Arial"/>
          <w:b/>
          <w:bCs/>
          <w:sz w:val="22"/>
          <w:szCs w:val="22"/>
        </w:rPr>
        <w:t xml:space="preserve">DWI (Diffusion-Weighted Imaging)</w:t>
      </w:r>
      <w:r>
        <w:rPr>
          <w:rFonts w:ascii="Arial" w:cs="Arial" w:eastAsia="Arial" w:hAnsi="Arial"/>
          <w:sz w:val="22"/>
          <w:szCs w:val="22"/>
        </w:rPr>
        <w:t xml:space="preserve">: sensitive for detecting tumour tissue, particularly useful for assessing response to neoadjuvant treatment and identifying residual tumour vs fibrosis.</w:t>
      </w:r>
    </w:p>
    <w:p>
      <w:pPr>
        <w:pStyle w:val="ListParagraph"/>
        <w:numPr>
          <w:ilvl w:val="0"/>
          <w:numId w:val="2"/>
        </w:numPr>
        <w:spacing w:after="80"/>
      </w:pPr>
      <w:r>
        <w:rPr>
          <w:rFonts w:ascii="Arial" w:cs="Arial" w:eastAsia="Arial" w:hAnsi="Arial"/>
          <w:b/>
          <w:bCs/>
          <w:sz w:val="22"/>
          <w:szCs w:val="22"/>
        </w:rPr>
        <w:t xml:space="preserve">DCE (Dynamic Contrast Enhancement)</w:t>
      </w:r>
      <w:r>
        <w:rPr>
          <w:rFonts w:ascii="Arial" w:cs="Arial" w:eastAsia="Arial" w:hAnsi="Arial"/>
          <w:sz w:val="22"/>
          <w:szCs w:val="22"/>
        </w:rPr>
        <w:t xml:space="preserve">: gadolinium contrast sequences, used in some centres for perfusion assessment and tumour characterisation.</w:t>
      </w:r>
    </w:p>
    <w:p>
      <w:pPr>
        <w:pStyle w:val="Heading3"/>
        <w:spacing w:before="240" w:after="120"/>
      </w:pPr>
      <w:r>
        <w:rPr>
          <w:rFonts w:ascii="Arial" w:cs="Arial" w:eastAsia="Arial" w:hAnsi="Arial"/>
          <w:b/>
          <w:bCs/>
          <w:sz w:val="26"/>
          <w:szCs w:val="26"/>
        </w:rPr>
        <w:t xml:space="preserve">Low Signal on MRI — Clinical Significance</w:t>
      </w:r>
    </w:p>
    <w:p>
      <w:pPr>
        <w:spacing w:after="120"/>
      </w:pPr>
      <w:r>
        <w:rPr>
          <w:rFonts w:ascii="Arial" w:cs="Arial" w:eastAsia="Arial" w:hAnsi="Arial"/>
          <w:b/>
          <w:bCs/>
          <w:sz w:val="22"/>
          <w:szCs w:val="22"/>
        </w:rPr>
        <w:t xml:space="preserve">Low signal on T2-weighted MRI</w:t>
      </w:r>
      <w:r>
        <w:rPr>
          <w:rFonts w:ascii="Arial" w:cs="Arial" w:eastAsia="Arial" w:hAnsi="Arial"/>
          <w:sz w:val="22"/>
          <w:szCs w:val="22"/>
        </w:rPr>
        <w:t xml:space="preserve"> (appearing dark) in the context of a rectal tumour or post-treatment assessment has specific meaning:</w:t>
      </w:r>
    </w:p>
    <w:p>
      <w:pPr>
        <w:pStyle w:val="ListParagraph"/>
        <w:numPr>
          <w:ilvl w:val="0"/>
          <w:numId w:val="2"/>
        </w:numPr>
        <w:spacing w:after="80"/>
      </w:pPr>
      <w:r>
        <w:rPr>
          <w:rFonts w:ascii="Arial" w:cs="Arial" w:eastAsia="Arial" w:hAnsi="Arial"/>
          <w:sz w:val="22"/>
          <w:szCs w:val="22"/>
        </w:rPr>
        <w:t xml:space="preserve">Desmoplastic fibrosis — low signal intensity is the hallmark of fibrous tissue. After chemoradiotherapy, tumour cells are killed and replaced by fibrosis, which appears as low T2 signal. This is a favourable sign of treatment response.</w:t>
      </w:r>
    </w:p>
    <w:p>
      <w:pPr>
        <w:pStyle w:val="ListParagraph"/>
        <w:numPr>
          <w:ilvl w:val="0"/>
          <w:numId w:val="2"/>
        </w:numPr>
        <w:spacing w:after="80"/>
      </w:pPr>
      <w:r>
        <w:rPr>
          <w:rFonts w:ascii="Arial" w:cs="Arial" w:eastAsia="Arial" w:hAnsi="Arial"/>
          <w:sz w:val="22"/>
          <w:szCs w:val="22"/>
        </w:rPr>
        <w:t xml:space="preserve">Mucinous tumours — paradoxically, high T2 signal (appearing bright) in a rectal mass raises the possibility of a mucinous carcinoma. After CRT, persistent high T2 signal within a previously treated mucinous tumour may represent residual viable mucin pools or tumour — this is challenging to interpret and may require DWI and clinical correlation.</w:t>
      </w:r>
    </w:p>
    <w:p>
      <w:pPr>
        <w:pStyle w:val="ListParagraph"/>
        <w:numPr>
          <w:ilvl w:val="0"/>
          <w:numId w:val="2"/>
        </w:numPr>
        <w:spacing w:after="80"/>
      </w:pPr>
      <w:r>
        <w:rPr>
          <w:rFonts w:ascii="Arial" w:cs="Arial" w:eastAsia="Arial" w:hAnsi="Arial"/>
          <w:sz w:val="22"/>
          <w:szCs w:val="22"/>
        </w:rPr>
        <w:t xml:space="preserve">Calcification — very low (void) signal</w:t>
      </w:r>
    </w:p>
    <w:p>
      <w:pPr>
        <w:pStyle w:val="Heading3"/>
        <w:spacing w:before="240" w:after="120"/>
      </w:pPr>
      <w:r>
        <w:rPr>
          <w:rFonts w:ascii="Arial" w:cs="Arial" w:eastAsia="Arial" w:hAnsi="Arial"/>
          <w:b/>
          <w:bCs/>
          <w:sz w:val="26"/>
          <w:szCs w:val="26"/>
        </w:rPr>
        <w:t xml:space="preserve">Response Assessment MRI After Neoadjuvant Treatment</w:t>
      </w:r>
    </w:p>
    <w:p>
      <w:pPr>
        <w:spacing w:after="120"/>
      </w:pPr>
      <w:r>
        <w:rPr>
          <w:rFonts w:ascii="Arial" w:cs="Arial" w:eastAsia="Arial" w:hAnsi="Arial"/>
          <w:sz w:val="22"/>
          <w:szCs w:val="22"/>
        </w:rPr>
        <w:t xml:space="preserve">After neoadjuvant chemoradiotherapy (CRT) or short-course radiotherapy (SCRT), restaging MRI is performed to assess the tumour response before deciding on surgery or Watch and Wait. The timing:</w:t>
      </w:r>
    </w:p>
    <w:p>
      <w:pPr>
        <w:pStyle w:val="ListParagraph"/>
        <w:numPr>
          <w:ilvl w:val="0"/>
          <w:numId w:val="2"/>
        </w:numPr>
        <w:spacing w:after="80"/>
      </w:pPr>
      <w:r>
        <w:rPr>
          <w:rFonts w:ascii="Arial" w:cs="Arial" w:eastAsia="Arial" w:hAnsi="Arial"/>
          <w:b/>
          <w:bCs/>
          <w:sz w:val="22"/>
          <w:szCs w:val="22"/>
        </w:rPr>
        <w:t xml:space="preserve">6-week MRI post-CRT</w:t>
      </w:r>
      <w:r>
        <w:rPr>
          <w:rFonts w:ascii="Arial" w:cs="Arial" w:eastAsia="Arial" w:hAnsi="Arial"/>
          <w:sz w:val="22"/>
          <w:szCs w:val="22"/>
        </w:rPr>
        <w:t xml:space="preserve">: performed approximately 6 weeks after completion of long-course CRT. This is the standard restaging timepoint at most UK centres. Assesses ycT stage, ycN stage, and ycCRM. Guides surgery timing.</w:t>
      </w:r>
    </w:p>
    <w:p>
      <w:pPr>
        <w:pStyle w:val="ListParagraph"/>
        <w:numPr>
          <w:ilvl w:val="0"/>
          <w:numId w:val="2"/>
        </w:numPr>
        <w:spacing w:after="80"/>
      </w:pPr>
      <w:r>
        <w:rPr>
          <w:rFonts w:ascii="Arial" w:cs="Arial" w:eastAsia="Arial" w:hAnsi="Arial"/>
          <w:b/>
          <w:bCs/>
          <w:sz w:val="22"/>
          <w:szCs w:val="22"/>
        </w:rPr>
        <w:t xml:space="preserve">10-week MRI</w:t>
      </w:r>
      <w:r>
        <w:rPr>
          <w:rFonts w:ascii="Arial" w:cs="Arial" w:eastAsia="Arial" w:hAnsi="Arial"/>
          <w:sz w:val="22"/>
          <w:szCs w:val="22"/>
        </w:rPr>
        <w:t xml:space="preserve">: some centres (and the ARISTOTLE trial protocol) use a later restaging MRI at 8–12 weeks, because tumour continues to regress after CRT for several weeks. A longer interval may reveal more complete regression and identify more patients eligible for Watch and Wait. The ARISTOTLE trial specifically investigated outcomes for rectal cancer after CRT.</w:t>
      </w:r>
    </w:p>
    <w:p>
      <w:pPr>
        <w:pStyle w:val="ListParagraph"/>
        <w:numPr>
          <w:ilvl w:val="0"/>
          <w:numId w:val="2"/>
        </w:numPr>
        <w:spacing w:after="80"/>
      </w:pPr>
      <w:r>
        <w:rPr>
          <w:rFonts w:ascii="Arial" w:cs="Arial" w:eastAsia="Arial" w:hAnsi="Arial"/>
          <w:b/>
          <w:bCs/>
          <w:sz w:val="22"/>
          <w:szCs w:val="22"/>
        </w:rPr>
        <w:t xml:space="preserve">12-week MRI</w:t>
      </w:r>
      <w:r>
        <w:rPr>
          <w:rFonts w:ascii="Arial" w:cs="Arial" w:eastAsia="Arial" w:hAnsi="Arial"/>
          <w:sz w:val="22"/>
          <w:szCs w:val="22"/>
        </w:rPr>
        <w:t xml:space="preserve">: used in some W&amp;W protocols as part of the surveillance schedule, and in the OPRA trial investigating organ-preservation for rectal cancer.</w:t>
      </w:r>
    </w:p>
    <w:p>
      <w:pPr>
        <w:spacing w:after="120"/>
      </w:pPr>
      <w:r>
        <w:rPr>
          <w:rFonts w:ascii="Arial" w:cs="Arial" w:eastAsia="Arial" w:hAnsi="Arial"/>
          <w:sz w:val="22"/>
          <w:szCs w:val="22"/>
        </w:rPr>
        <w:t xml:space="preserve">The radiologist will report the degree of tumour regression using the</w:t>
      </w:r>
    </w:p>
    <w:p>
      <w:pPr>
        <w:spacing w:after="120"/>
      </w:pPr>
      <w:r>
        <w:rPr>
          <w:rFonts w:ascii="Arial" w:cs="Arial" w:eastAsia="Arial" w:hAnsi="Arial"/>
          <w:b/>
          <w:bCs/>
          <w:sz w:val="22"/>
          <w:szCs w:val="22"/>
        </w:rPr>
        <w:t xml:space="preserve">mrTRG (MRI Tumour Regression Grade)</w:t>
      </w:r>
      <w:r>
        <w:rPr>
          <w:rFonts w:ascii="Arial" w:cs="Arial" w:eastAsia="Arial" w:hAnsi="Arial"/>
          <w:sz w:val="22"/>
          <w:szCs w:val="22"/>
        </w:rPr>
        <w:t xml:space="preserve">: a 5-point scale analogous to the pathological TRG (tumour regression grade):</w:t>
      </w:r>
    </w:p>
    <w:p>
      <w:pPr>
        <w:pStyle w:val="ListParagraph"/>
        <w:numPr>
          <w:ilvl w:val="0"/>
          <w:numId w:val="2"/>
        </w:numPr>
        <w:spacing w:after="80"/>
      </w:pPr>
      <w:r>
        <w:rPr>
          <w:rFonts w:ascii="Arial" w:cs="Arial" w:eastAsia="Arial" w:hAnsi="Arial"/>
          <w:sz w:val="22"/>
          <w:szCs w:val="22"/>
        </w:rPr>
        <w:t xml:space="preserve">mrTRG 1 — complete response: only fibrosis, no residual tumour signal</w:t>
      </w:r>
    </w:p>
    <w:p>
      <w:pPr>
        <w:pStyle w:val="ListParagraph"/>
        <w:numPr>
          <w:ilvl w:val="0"/>
          <w:numId w:val="2"/>
        </w:numPr>
        <w:spacing w:after="80"/>
      </w:pPr>
      <w:r>
        <w:rPr>
          <w:rFonts w:ascii="Arial" w:cs="Arial" w:eastAsia="Arial" w:hAnsi="Arial"/>
          <w:sz w:val="22"/>
          <w:szCs w:val="22"/>
        </w:rPr>
        <w:t xml:space="preserve">mrTRG 2 — near-complete response: predominantly fibrosis with minimal tumour signal</w:t>
      </w:r>
    </w:p>
    <w:p>
      <w:pPr>
        <w:pStyle w:val="ListParagraph"/>
        <w:numPr>
          <w:ilvl w:val="0"/>
          <w:numId w:val="2"/>
        </w:numPr>
        <w:spacing w:after="80"/>
      </w:pPr>
      <w:r>
        <w:rPr>
          <w:rFonts w:ascii="Arial" w:cs="Arial" w:eastAsia="Arial" w:hAnsi="Arial"/>
          <w:sz w:val="22"/>
          <w:szCs w:val="22"/>
        </w:rPr>
        <w:t xml:space="preserve">mrTRG 3 — partial response: significant residual tumour with areas of fibrosis</w:t>
      </w:r>
    </w:p>
    <w:p>
      <w:pPr>
        <w:pStyle w:val="ListParagraph"/>
        <w:numPr>
          <w:ilvl w:val="0"/>
          <w:numId w:val="2"/>
        </w:numPr>
        <w:spacing w:after="80"/>
      </w:pPr>
      <w:r>
        <w:rPr>
          <w:rFonts w:ascii="Arial" w:cs="Arial" w:eastAsia="Arial" w:hAnsi="Arial"/>
          <w:sz w:val="22"/>
          <w:szCs w:val="22"/>
        </w:rPr>
        <w:t xml:space="preserve">mrTRG 4 — minimal response: predominantly residual tumour</w:t>
      </w:r>
    </w:p>
    <w:p>
      <w:pPr>
        <w:pStyle w:val="ListParagraph"/>
        <w:numPr>
          <w:ilvl w:val="0"/>
          <w:numId w:val="2"/>
        </w:numPr>
        <w:spacing w:after="80"/>
      </w:pPr>
      <w:r>
        <w:rPr>
          <w:rFonts w:ascii="Arial" w:cs="Arial" w:eastAsia="Arial" w:hAnsi="Arial"/>
          <w:sz w:val="22"/>
          <w:szCs w:val="22"/>
        </w:rPr>
        <w:t xml:space="preserve">mrTRG 5 — no response: same tumour or progression</w:t>
      </w:r>
    </w:p>
    <w:p>
      <w:pPr>
        <w:spacing w:after="80"/>
      </w:pPr>
      <w:r>
        <w:t xml:space="preserve"/>
      </w:r>
    </w:p>
    <w:p>
      <w:pPr>
        <w:pStyle w:val="Heading2"/>
        <w:spacing w:before="280" w:after="160"/>
      </w:pPr>
      <w:r>
        <w:rPr>
          <w:rFonts w:ascii="Arial" w:cs="Arial" w:eastAsia="Arial" w:hAnsi="Arial"/>
          <w:b/>
          <w:bCs/>
          <w:sz w:val="28"/>
          <w:szCs w:val="28"/>
        </w:rPr>
        <w:t xml:space="preserve">4.3 PET-CT (Positron Emission Tomography-CT)</w:t>
      </w:r>
    </w:p>
    <w:p>
      <w:pPr>
        <w:spacing w:after="120"/>
      </w:pPr>
      <w:r>
        <w:rPr>
          <w:rFonts w:ascii="Arial" w:cs="Arial" w:eastAsia="Arial" w:hAnsi="Arial"/>
          <w:b/>
          <w:bCs/>
          <w:sz w:val="22"/>
          <w:szCs w:val="22"/>
        </w:rPr>
        <w:t xml:space="preserve">PET-CT</w:t>
      </w:r>
      <w:r>
        <w:rPr>
          <w:rFonts w:ascii="Arial" w:cs="Arial" w:eastAsia="Arial" w:hAnsi="Arial"/>
          <w:sz w:val="22"/>
          <w:szCs w:val="22"/>
        </w:rPr>
        <w:t xml:space="preserve"> combines a metabolic scan (PET, using the radiotracer FDG — fluorodeoxyglucose, a glucose analogue taken up preferentially by metabolically active cells) with a structural CT scan. The combined image provides both anatomical and functional information.</w:t>
      </w:r>
    </w:p>
    <w:p>
      <w:pPr>
        <w:pStyle w:val="ListParagraph"/>
        <w:numPr>
          <w:ilvl w:val="0"/>
          <w:numId w:val="2"/>
        </w:numPr>
        <w:spacing w:after="80"/>
      </w:pPr>
      <w:r>
        <w:rPr>
          <w:rFonts w:ascii="Arial" w:cs="Arial" w:eastAsia="Arial" w:hAnsi="Arial"/>
          <w:b/>
          <w:bCs/>
          <w:sz w:val="22"/>
          <w:szCs w:val="22"/>
        </w:rPr>
        <w:t xml:space="preserve">FDG-avid</w:t>
      </w:r>
      <w:r>
        <w:rPr>
          <w:rFonts w:ascii="Arial" w:cs="Arial" w:eastAsia="Arial" w:hAnsi="Arial"/>
          <w:sz w:val="22"/>
          <w:szCs w:val="22"/>
        </w:rPr>
        <w:t xml:space="preserve">: A lesion is described as 'FDG-avid' when it shows increased uptake of the radiotracer, measured as </w:t>
      </w:r>
      <w:r>
        <w:rPr>
          <w:rFonts w:ascii="Arial" w:cs="Arial" w:eastAsia="Arial" w:hAnsi="Arial"/>
          <w:b/>
          <w:bCs/>
          <w:sz w:val="22"/>
          <w:szCs w:val="22"/>
        </w:rPr>
        <w:t xml:space="preserve">SUV (Standardised Uptake Value)</w:t>
      </w:r>
      <w:r>
        <w:rPr>
          <w:rFonts w:ascii="Arial" w:cs="Arial" w:eastAsia="Arial" w:hAnsi="Arial"/>
          <w:sz w:val="22"/>
          <w:szCs w:val="22"/>
        </w:rPr>
        <w:t xml:space="preserve">. FDG-avidity suggests metabolically active (often malignant) tissue. An FDG-avid lung nodule is therefore more likely to be a metastasis than an FDG-negative one.</w:t>
      </w:r>
    </w:p>
    <w:p>
      <w:pPr>
        <w:spacing w:after="120"/>
      </w:pPr>
      <w:r>
        <w:rPr>
          <w:rFonts w:ascii="Arial" w:cs="Arial" w:eastAsia="Arial" w:hAnsi="Arial"/>
          <w:b/>
          <w:bCs/>
          <w:sz w:val="22"/>
          <w:szCs w:val="22"/>
        </w:rPr>
        <w:t xml:space="preserve">When PET-CT is used in colorectal cancer:</w:t>
      </w:r>
    </w:p>
    <w:p>
      <w:pPr>
        <w:pStyle w:val="ListParagraph"/>
        <w:numPr>
          <w:ilvl w:val="0"/>
          <w:numId w:val="2"/>
        </w:numPr>
        <w:spacing w:after="80"/>
      </w:pPr>
      <w:r>
        <w:rPr>
          <w:rFonts w:ascii="Arial" w:cs="Arial" w:eastAsia="Arial" w:hAnsi="Arial"/>
          <w:sz w:val="22"/>
          <w:szCs w:val="22"/>
        </w:rPr>
        <w:t xml:space="preserve">Assessment of equivocal liver lesions on CT where resection is being considered</w:t>
      </w:r>
    </w:p>
    <w:p>
      <w:pPr>
        <w:pStyle w:val="ListParagraph"/>
        <w:numPr>
          <w:ilvl w:val="0"/>
          <w:numId w:val="2"/>
        </w:numPr>
        <w:spacing w:after="80"/>
      </w:pPr>
      <w:r>
        <w:rPr>
          <w:rFonts w:ascii="Arial" w:cs="Arial" w:eastAsia="Arial" w:hAnsi="Arial"/>
          <w:sz w:val="22"/>
          <w:szCs w:val="22"/>
        </w:rPr>
        <w:t xml:space="preserve">Staging before liver resection for colorectal liver metastases — PET identifies extra-hepatic disease that would change the surgical plan</w:t>
      </w:r>
    </w:p>
    <w:p>
      <w:pPr>
        <w:pStyle w:val="ListParagraph"/>
        <w:numPr>
          <w:ilvl w:val="0"/>
          <w:numId w:val="2"/>
        </w:numPr>
        <w:spacing w:after="80"/>
      </w:pPr>
      <w:r>
        <w:rPr>
          <w:rFonts w:ascii="Arial" w:cs="Arial" w:eastAsia="Arial" w:hAnsi="Arial"/>
          <w:sz w:val="22"/>
          <w:szCs w:val="22"/>
        </w:rPr>
        <w:t xml:space="preserve">Evaluation of suspected recurrence when standard imaging is inconclusive</w:t>
      </w:r>
    </w:p>
    <w:p>
      <w:pPr>
        <w:pStyle w:val="ListParagraph"/>
        <w:numPr>
          <w:ilvl w:val="0"/>
          <w:numId w:val="2"/>
        </w:numPr>
        <w:spacing w:after="80"/>
      </w:pPr>
      <w:r>
        <w:rPr>
          <w:rFonts w:ascii="Arial" w:cs="Arial" w:eastAsia="Arial" w:hAnsi="Arial"/>
          <w:sz w:val="22"/>
          <w:szCs w:val="22"/>
        </w:rPr>
        <w:t xml:space="preserve">Occasionally in complex locally recurrent rectal cancer to distinguish scar from viable tumour</w:t>
      </w:r>
    </w:p>
    <w:p>
      <w:pPr>
        <w:pStyle w:val="ListParagraph"/>
        <w:numPr>
          <w:ilvl w:val="0"/>
          <w:numId w:val="2"/>
        </w:numPr>
        <w:spacing w:after="80"/>
      </w:pPr>
      <w:r>
        <w:rPr>
          <w:rFonts w:ascii="Arial" w:cs="Arial" w:eastAsia="Arial" w:hAnsi="Arial"/>
          <w:sz w:val="22"/>
          <w:szCs w:val="22"/>
        </w:rPr>
        <w:t xml:space="preserve">Assessment of response after systemic therapy in metastatic disease</w:t>
      </w:r>
    </w:p>
    <w:p>
      <w:pPr>
        <w:spacing w:after="120"/>
      </w:pPr>
      <w:r>
        <w:rPr>
          <w:rFonts w:ascii="Arial" w:cs="Arial" w:eastAsia="Arial" w:hAnsi="Arial"/>
          <w:b/>
          <w:bCs/>
          <w:sz w:val="22"/>
          <w:szCs w:val="22"/>
        </w:rPr>
        <w:t xml:space="preserve">Limitations of PET-CT</w:t>
      </w:r>
      <w:r>
        <w:rPr>
          <w:rFonts w:ascii="Arial" w:cs="Arial" w:eastAsia="Arial" w:hAnsi="Arial"/>
          <w:sz w:val="22"/>
          <w:szCs w:val="22"/>
        </w:rPr>
        <w:t xml:space="preserve">: mucinous and signet ring carcinomas are often FDG-negative or weakly FDG-avid because they rely less on glycolysis. Well-differentiated neuroendocrine tumours are also typically FDG-negative. Small (&lt;5–8 mm) lesions are below the spatial resolution of PET.</w:t>
      </w:r>
    </w:p>
    <w:p>
      <w:pPr>
        <w:spacing w:after="80"/>
      </w:pPr>
      <w:r>
        <w:t xml:space="preserve"/>
      </w:r>
    </w:p>
    <w:p>
      <w:pPr>
        <w:pStyle w:val="Heading2"/>
        <w:spacing w:before="280" w:after="160"/>
      </w:pPr>
      <w:r>
        <w:rPr>
          <w:rFonts w:ascii="Arial" w:cs="Arial" w:eastAsia="Arial" w:hAnsi="Arial"/>
          <w:b/>
          <w:bCs/>
          <w:sz w:val="28"/>
          <w:szCs w:val="28"/>
        </w:rPr>
        <w:t xml:space="preserve">4.4 Ultrasound: ERUS (Endorectal Ultrasound)</w:t>
      </w:r>
    </w:p>
    <w:p>
      <w:pPr>
        <w:spacing w:after="120"/>
      </w:pPr>
      <w:r>
        <w:rPr>
          <w:rFonts w:ascii="Arial" w:cs="Arial" w:eastAsia="Arial" w:hAnsi="Arial"/>
          <w:b/>
          <w:bCs/>
          <w:sz w:val="22"/>
          <w:szCs w:val="22"/>
        </w:rPr>
        <w:t xml:space="preserve">ERUS (Endorectal Ultrasound)</w:t>
      </w:r>
      <w:r>
        <w:rPr>
          <w:rFonts w:ascii="Arial" w:cs="Arial" w:eastAsia="Arial" w:hAnsi="Arial"/>
          <w:sz w:val="22"/>
          <w:szCs w:val="22"/>
        </w:rPr>
        <w:t xml:space="preserve"> — also called endorectal ultrasound, TRUS (transrectal ultrasound), or rectal endosonography — uses an ultrasound probe inserted into the rectum to image the rectal wall in high resolution. It is particularly useful for:</w:t>
      </w:r>
    </w:p>
    <w:p>
      <w:pPr>
        <w:pStyle w:val="ListParagraph"/>
        <w:numPr>
          <w:ilvl w:val="0"/>
          <w:numId w:val="2"/>
        </w:numPr>
        <w:spacing w:after="80"/>
      </w:pPr>
      <w:r>
        <w:rPr>
          <w:rFonts w:ascii="Arial" w:cs="Arial" w:eastAsia="Arial" w:hAnsi="Arial"/>
          <w:sz w:val="22"/>
          <w:szCs w:val="22"/>
        </w:rPr>
        <w:t xml:space="preserve">Staging very early rectal tumours (T1/T2) where MRI resolution may be insufficient — ERUS can visualise the five layers of the rectal wall and determine whether a small tumour is confined to the submucosa (T1) or has invaded the muscularis propria (T2)</w:t>
      </w:r>
    </w:p>
    <w:p>
      <w:pPr>
        <w:pStyle w:val="ListParagraph"/>
        <w:numPr>
          <w:ilvl w:val="0"/>
          <w:numId w:val="2"/>
        </w:numPr>
        <w:spacing w:after="80"/>
      </w:pPr>
      <w:r>
        <w:rPr>
          <w:rFonts w:ascii="Arial" w:cs="Arial" w:eastAsia="Arial" w:hAnsi="Arial"/>
          <w:sz w:val="22"/>
          <w:szCs w:val="22"/>
        </w:rPr>
        <w:t xml:space="preserve">Pre-procedure assessment before local excision (TEM, TAMIS) — confirming T1 stage and absence of suspicious nodes</w:t>
      </w:r>
    </w:p>
    <w:p>
      <w:pPr>
        <w:pStyle w:val="ListParagraph"/>
        <w:numPr>
          <w:ilvl w:val="0"/>
          <w:numId w:val="2"/>
        </w:numPr>
        <w:spacing w:after="80"/>
      </w:pPr>
      <w:r>
        <w:rPr>
          <w:rFonts w:ascii="Arial" w:cs="Arial" w:eastAsia="Arial" w:hAnsi="Arial"/>
          <w:sz w:val="22"/>
          <w:szCs w:val="22"/>
        </w:rPr>
        <w:t xml:space="preserve">Assessment of sphincter integrity in patients with faecal incontinence</w:t>
      </w:r>
    </w:p>
    <w:p>
      <w:pPr>
        <w:spacing w:after="120"/>
      </w:pPr>
      <w:r>
        <w:rPr>
          <w:rFonts w:ascii="Arial" w:cs="Arial" w:eastAsia="Arial" w:hAnsi="Arial"/>
          <w:sz w:val="22"/>
          <w:szCs w:val="22"/>
        </w:rPr>
        <w:t xml:space="preserve">ERUS is less useful for T3/T4 tumours (where the tumour extends beyond the rectal wall, outside the focal zone of the probe) and is operator-dependent. It has largely been superseded by high-resolution MRI for standard rectal cancer staging but remains valuable for very early lesions.</w:t>
      </w:r>
    </w:p>
    <w:p>
      <w:r>
        <w:br w:type="page"/>
      </w:r>
    </w:p>
    <w:p>
      <w:pPr>
        <w:pStyle w:val="Heading1"/>
        <w:spacing w:before="360" w:after="200"/>
      </w:pPr>
      <w:r>
        <w:rPr>
          <w:rFonts w:ascii="Arial" w:cs="Arial" w:eastAsia="Arial" w:hAnsi="Arial"/>
          <w:b/>
          <w:bCs/>
          <w:sz w:val="32"/>
          <w:szCs w:val="32"/>
        </w:rPr>
        <w:t xml:space="preserve">Section 5: MDT (Multidisciplinary Team) Process</w:t>
      </w:r>
    </w:p>
    <w:p>
      <w:pPr>
        <w:pStyle w:val="Heading2"/>
        <w:spacing w:before="280" w:after="160"/>
      </w:pPr>
      <w:r>
        <w:rPr>
          <w:rFonts w:ascii="Arial" w:cs="Arial" w:eastAsia="Arial" w:hAnsi="Arial"/>
          <w:b/>
          <w:bCs/>
          <w:sz w:val="28"/>
          <w:szCs w:val="28"/>
        </w:rPr>
        <w:t xml:space="preserve">5.1 What Is an MDT?</w:t>
      </w:r>
    </w:p>
    <w:p>
      <w:pPr>
        <w:spacing w:after="120"/>
      </w:pPr>
      <w:r>
        <w:rPr>
          <w:rFonts w:ascii="Arial" w:cs="Arial" w:eastAsia="Arial" w:hAnsi="Arial"/>
          <w:b/>
          <w:bCs/>
          <w:sz w:val="22"/>
          <w:szCs w:val="22"/>
        </w:rPr>
        <w:t xml:space="preserve">A Multidisciplinary Team (MDT)</w:t>
      </w:r>
      <w:r>
        <w:rPr>
          <w:rFonts w:ascii="Arial" w:cs="Arial" w:eastAsia="Arial" w:hAnsi="Arial"/>
          <w:sz w:val="22"/>
          <w:szCs w:val="22"/>
        </w:rPr>
        <w:t xml:space="preserve"> is a regularly convened meeting of specialists from different disciplines who together discuss and agree management plans for cancer patients. MDT working is mandated by NICE and NHS England for all cancer diagnoses in the UK. Every patient with a new cancer diagnosis should be discussed at MDT before treatment.</w:t>
      </w:r>
    </w:p>
    <w:p>
      <w:pPr>
        <w:spacing w:after="120"/>
      </w:pPr>
      <w:r>
        <w:rPr>
          <w:rFonts w:ascii="Arial" w:cs="Arial" w:eastAsia="Arial" w:hAnsi="Arial"/>
          <w:b/>
          <w:bCs/>
          <w:sz w:val="22"/>
          <w:szCs w:val="22"/>
        </w:rPr>
        <w:t xml:space="preserve">Attendees at a colorectal cancer MDT typically include:</w:t>
      </w:r>
    </w:p>
    <w:p>
      <w:pPr>
        <w:pStyle w:val="ListParagraph"/>
        <w:numPr>
          <w:ilvl w:val="0"/>
          <w:numId w:val="2"/>
        </w:numPr>
        <w:spacing w:after="80"/>
      </w:pPr>
      <w:r>
        <w:rPr>
          <w:rFonts w:ascii="Arial" w:cs="Arial" w:eastAsia="Arial" w:hAnsi="Arial"/>
          <w:b/>
          <w:bCs/>
          <w:sz w:val="22"/>
          <w:szCs w:val="22"/>
        </w:rPr>
        <w:t xml:space="preserve">Colorectal surgeons</w:t>
      </w:r>
      <w:r>
        <w:rPr>
          <w:rFonts w:ascii="Arial" w:cs="Arial" w:eastAsia="Arial" w:hAnsi="Arial"/>
          <w:sz w:val="22"/>
          <w:szCs w:val="22"/>
        </w:rPr>
        <w:t xml:space="preserve">: discuss surgical options, technical resectability, stoma planning</w:t>
      </w:r>
    </w:p>
    <w:p>
      <w:pPr>
        <w:pStyle w:val="ListParagraph"/>
        <w:numPr>
          <w:ilvl w:val="0"/>
          <w:numId w:val="2"/>
        </w:numPr>
        <w:spacing w:after="80"/>
      </w:pPr>
      <w:r>
        <w:rPr>
          <w:rFonts w:ascii="Arial" w:cs="Arial" w:eastAsia="Arial" w:hAnsi="Arial"/>
          <w:b/>
          <w:bCs/>
          <w:sz w:val="22"/>
          <w:szCs w:val="22"/>
        </w:rPr>
        <w:t xml:space="preserve">Clinical oncologists / radiation oncologists</w:t>
      </w:r>
      <w:r>
        <w:rPr>
          <w:rFonts w:ascii="Arial" w:cs="Arial" w:eastAsia="Arial" w:hAnsi="Arial"/>
          <w:sz w:val="22"/>
          <w:szCs w:val="22"/>
        </w:rPr>
        <w:t xml:space="preserve">: discuss radiotherapy — fractionation, field design, timing</w:t>
      </w:r>
    </w:p>
    <w:p>
      <w:pPr>
        <w:pStyle w:val="ListParagraph"/>
        <w:numPr>
          <w:ilvl w:val="0"/>
          <w:numId w:val="2"/>
        </w:numPr>
        <w:spacing w:after="80"/>
      </w:pPr>
      <w:r>
        <w:rPr>
          <w:rFonts w:ascii="Arial" w:cs="Arial" w:eastAsia="Arial" w:hAnsi="Arial"/>
          <w:b/>
          <w:bCs/>
          <w:sz w:val="22"/>
          <w:szCs w:val="22"/>
        </w:rPr>
        <w:t xml:space="preserve">Medical oncologists</w:t>
      </w:r>
      <w:r>
        <w:rPr>
          <w:rFonts w:ascii="Arial" w:cs="Arial" w:eastAsia="Arial" w:hAnsi="Arial"/>
          <w:sz w:val="22"/>
          <w:szCs w:val="22"/>
        </w:rPr>
        <w:t xml:space="preserve">: discuss systemic chemotherapy, biological agents, trial eligibility</w:t>
      </w:r>
    </w:p>
    <w:p>
      <w:pPr>
        <w:pStyle w:val="ListParagraph"/>
        <w:numPr>
          <w:ilvl w:val="0"/>
          <w:numId w:val="2"/>
        </w:numPr>
        <w:spacing w:after="80"/>
      </w:pPr>
      <w:r>
        <w:rPr>
          <w:rFonts w:ascii="Arial" w:cs="Arial" w:eastAsia="Arial" w:hAnsi="Arial"/>
          <w:b/>
          <w:bCs/>
          <w:sz w:val="22"/>
          <w:szCs w:val="22"/>
        </w:rPr>
        <w:t xml:space="preserve">Diagnostic radiologists</w:t>
      </w:r>
      <w:r>
        <w:rPr>
          <w:rFonts w:ascii="Arial" w:cs="Arial" w:eastAsia="Arial" w:hAnsi="Arial"/>
          <w:sz w:val="22"/>
          <w:szCs w:val="22"/>
        </w:rPr>
        <w:t xml:space="preserve">: present and interpret staging imaging (CT, MRI, PET)</w:t>
      </w:r>
    </w:p>
    <w:p>
      <w:pPr>
        <w:pStyle w:val="ListParagraph"/>
        <w:numPr>
          <w:ilvl w:val="0"/>
          <w:numId w:val="2"/>
        </w:numPr>
        <w:spacing w:after="80"/>
      </w:pPr>
      <w:r>
        <w:rPr>
          <w:rFonts w:ascii="Arial" w:cs="Arial" w:eastAsia="Arial" w:hAnsi="Arial"/>
          <w:b/>
          <w:bCs/>
          <w:sz w:val="22"/>
          <w:szCs w:val="22"/>
        </w:rPr>
        <w:t xml:space="preserve">Histopathologists</w:t>
      </w:r>
      <w:r>
        <w:rPr>
          <w:rFonts w:ascii="Arial" w:cs="Arial" w:eastAsia="Arial" w:hAnsi="Arial"/>
          <w:sz w:val="22"/>
          <w:szCs w:val="22"/>
        </w:rPr>
        <w:t xml:space="preserve">: report on biopsy and resection specimens; present MMR, molecular results</w:t>
      </w:r>
    </w:p>
    <w:p>
      <w:pPr>
        <w:pStyle w:val="ListParagraph"/>
        <w:numPr>
          <w:ilvl w:val="0"/>
          <w:numId w:val="2"/>
        </w:numPr>
        <w:spacing w:after="80"/>
      </w:pPr>
      <w:r>
        <w:rPr>
          <w:rFonts w:ascii="Arial" w:cs="Arial" w:eastAsia="Arial" w:hAnsi="Arial"/>
          <w:b/>
          <w:bCs/>
          <w:sz w:val="22"/>
          <w:szCs w:val="22"/>
        </w:rPr>
        <w:t xml:space="preserve">Gastroenterologists / endoscopists</w:t>
      </w:r>
      <w:r>
        <w:rPr>
          <w:rFonts w:ascii="Arial" w:cs="Arial" w:eastAsia="Arial" w:hAnsi="Arial"/>
          <w:sz w:val="22"/>
          <w:szCs w:val="22"/>
        </w:rPr>
        <w:t xml:space="preserve">: involved in diagnosis and endoscopic assessment</w:t>
      </w:r>
    </w:p>
    <w:p>
      <w:pPr>
        <w:pStyle w:val="ListParagraph"/>
        <w:numPr>
          <w:ilvl w:val="0"/>
          <w:numId w:val="2"/>
        </w:numPr>
        <w:spacing w:after="80"/>
      </w:pPr>
      <w:r>
        <w:rPr>
          <w:rFonts w:ascii="Arial" w:cs="Arial" w:eastAsia="Arial" w:hAnsi="Arial"/>
          <w:b/>
          <w:bCs/>
          <w:sz w:val="22"/>
          <w:szCs w:val="22"/>
        </w:rPr>
        <w:t xml:space="preserve">Clinical Nurse Specialists (CNS)</w:t>
      </w:r>
      <w:r>
        <w:rPr>
          <w:rFonts w:ascii="Arial" w:cs="Arial" w:eastAsia="Arial" w:hAnsi="Arial"/>
          <w:sz w:val="22"/>
          <w:szCs w:val="22"/>
        </w:rPr>
        <w:t xml:space="preserve">: act as the patient's key worker and case manager; ensure patient information needs are met; often manage MDT administration</w:t>
      </w:r>
    </w:p>
    <w:p>
      <w:pPr>
        <w:pStyle w:val="ListParagraph"/>
        <w:numPr>
          <w:ilvl w:val="0"/>
          <w:numId w:val="2"/>
        </w:numPr>
        <w:spacing w:after="80"/>
      </w:pPr>
      <w:r>
        <w:rPr>
          <w:rFonts w:ascii="Arial" w:cs="Arial" w:eastAsia="Arial" w:hAnsi="Arial"/>
          <w:b/>
          <w:bCs/>
          <w:sz w:val="22"/>
          <w:szCs w:val="22"/>
        </w:rPr>
        <w:t xml:space="preserve">MDT Coordinator</w:t>
      </w:r>
      <w:r>
        <w:rPr>
          <w:rFonts w:ascii="Arial" w:cs="Arial" w:eastAsia="Arial" w:hAnsi="Arial"/>
          <w:sz w:val="22"/>
          <w:szCs w:val="22"/>
        </w:rPr>
        <w:t xml:space="preserve">: administrative role managing scheduling, proforma completion, tracking 62-day targets, and data entry into cancer registries</w:t>
      </w:r>
    </w:p>
    <w:p>
      <w:pPr>
        <w:pStyle w:val="ListParagraph"/>
        <w:numPr>
          <w:ilvl w:val="0"/>
          <w:numId w:val="2"/>
        </w:numPr>
        <w:spacing w:after="80"/>
      </w:pPr>
      <w:r>
        <w:rPr>
          <w:rFonts w:ascii="Arial" w:cs="Arial" w:eastAsia="Arial" w:hAnsi="Arial"/>
          <w:b/>
          <w:bCs/>
          <w:sz w:val="22"/>
          <w:szCs w:val="22"/>
        </w:rPr>
        <w:t xml:space="preserve">Palliative care team</w:t>
      </w:r>
      <w:r>
        <w:rPr>
          <w:rFonts w:ascii="Arial" w:cs="Arial" w:eastAsia="Arial" w:hAnsi="Arial"/>
          <w:sz w:val="22"/>
          <w:szCs w:val="22"/>
        </w:rPr>
        <w:t xml:space="preserve">: consulted for patients with advanced or non-curative disease, or complex symptom management needs</w:t>
      </w:r>
    </w:p>
    <w:p>
      <w:pPr>
        <w:pStyle w:val="ListParagraph"/>
        <w:numPr>
          <w:ilvl w:val="0"/>
          <w:numId w:val="2"/>
        </w:numPr>
        <w:spacing w:after="80"/>
      </w:pPr>
      <w:r>
        <w:rPr>
          <w:rFonts w:ascii="Arial" w:cs="Arial" w:eastAsia="Arial" w:hAnsi="Arial"/>
          <w:b/>
          <w:bCs/>
          <w:sz w:val="22"/>
          <w:szCs w:val="22"/>
        </w:rPr>
        <w:t xml:space="preserve">Radiologists specialising in liver / hepatobiliary surgery</w:t>
      </w:r>
      <w:r>
        <w:rPr>
          <w:rFonts w:ascii="Arial" w:cs="Arial" w:eastAsia="Arial" w:hAnsi="Arial"/>
          <w:sz w:val="22"/>
          <w:szCs w:val="22"/>
        </w:rPr>
        <w:t xml:space="preserve">: for patients with liver metastases, a separate liver MDT or joint colorectal-liver MDT may review resectability</w:t>
      </w:r>
    </w:p>
    <w:p>
      <w:pPr>
        <w:spacing w:after="80"/>
      </w:pPr>
      <w:r>
        <w:t xml:space="preserve"/>
      </w:r>
    </w:p>
    <w:p>
      <w:pPr>
        <w:pStyle w:val="Heading2"/>
        <w:spacing w:before="280" w:after="160"/>
      </w:pPr>
      <w:r>
        <w:rPr>
          <w:rFonts w:ascii="Arial" w:cs="Arial" w:eastAsia="Arial" w:hAnsi="Arial"/>
          <w:b/>
          <w:bCs/>
          <w:sz w:val="28"/>
          <w:szCs w:val="28"/>
        </w:rPr>
        <w:t xml:space="preserve">5.2 MDT Proforma</w:t>
      </w:r>
    </w:p>
    <w:p>
      <w:pPr>
        <w:spacing w:after="120"/>
      </w:pPr>
      <w:r>
        <w:rPr>
          <w:rFonts w:ascii="Arial" w:cs="Arial" w:eastAsia="Arial" w:hAnsi="Arial"/>
          <w:b/>
          <w:bCs/>
          <w:sz w:val="22"/>
          <w:szCs w:val="22"/>
        </w:rPr>
        <w:t xml:space="preserve">The MDT proforma</w:t>
      </w:r>
      <w:r>
        <w:rPr>
          <w:rFonts w:ascii="Arial" w:cs="Arial" w:eastAsia="Arial" w:hAnsi="Arial"/>
          <w:sz w:val="22"/>
          <w:szCs w:val="22"/>
        </w:rPr>
        <w:t xml:space="preserve"> (also called the MDT form, referral proforma, or cancer proforma) is the structured document that captures all the clinical information needed for MDT discussion. It is completed by the referring clinician (often the surgeon or CNS) before the meeting. In digital systems it may be a web form or an entry in the hospital's cancer management information system.</w:t>
      </w:r>
    </w:p>
    <w:p>
      <w:pPr>
        <w:spacing w:after="120"/>
      </w:pPr>
      <w:r>
        <w:rPr>
          <w:rFonts w:ascii="Arial" w:cs="Arial" w:eastAsia="Arial" w:hAnsi="Arial"/>
          <w:sz w:val="22"/>
          <w:szCs w:val="22"/>
        </w:rPr>
        <w:t xml:space="preserve">A colorectal cancer MDT proforma typically contains the following fields:</w:t>
      </w:r>
    </w:p>
    <w:p>
      <w:pPr>
        <w:pStyle w:val="ListParagraph"/>
        <w:numPr>
          <w:ilvl w:val="0"/>
          <w:numId w:val="2"/>
        </w:numPr>
        <w:spacing w:after="80"/>
      </w:pPr>
      <w:r>
        <w:rPr>
          <w:rFonts w:ascii="Arial" w:cs="Arial" w:eastAsia="Arial" w:hAnsi="Arial"/>
          <w:sz w:val="22"/>
          <w:szCs w:val="22"/>
        </w:rPr>
        <w:t xml:space="preserve">Patient demographics: NHS number, hospital number, date of birth, name</w:t>
      </w:r>
    </w:p>
    <w:p>
      <w:pPr>
        <w:pStyle w:val="ListParagraph"/>
        <w:numPr>
          <w:ilvl w:val="0"/>
          <w:numId w:val="2"/>
        </w:numPr>
        <w:spacing w:after="80"/>
      </w:pPr>
      <w:r>
        <w:rPr>
          <w:rFonts w:ascii="Arial" w:cs="Arial" w:eastAsia="Arial" w:hAnsi="Arial"/>
          <w:sz w:val="22"/>
          <w:szCs w:val="22"/>
        </w:rPr>
        <w:t xml:space="preserve">Referring clinician and contact</w:t>
      </w:r>
    </w:p>
    <w:p>
      <w:pPr>
        <w:pStyle w:val="ListParagraph"/>
        <w:numPr>
          <w:ilvl w:val="0"/>
          <w:numId w:val="2"/>
        </w:numPr>
        <w:spacing w:after="80"/>
      </w:pPr>
      <w:r>
        <w:rPr>
          <w:rFonts w:ascii="Arial" w:cs="Arial" w:eastAsia="Arial" w:hAnsi="Arial"/>
          <w:sz w:val="22"/>
          <w:szCs w:val="22"/>
        </w:rPr>
        <w:t xml:space="preserve">Date of referral, date of diagnosis, TWR date</w:t>
      </w:r>
    </w:p>
    <w:p>
      <w:pPr>
        <w:pStyle w:val="ListParagraph"/>
        <w:numPr>
          <w:ilvl w:val="0"/>
          <w:numId w:val="2"/>
        </w:numPr>
        <w:spacing w:after="80"/>
      </w:pPr>
      <w:r>
        <w:rPr>
          <w:rFonts w:ascii="Arial" w:cs="Arial" w:eastAsia="Arial" w:hAnsi="Arial"/>
          <w:sz w:val="22"/>
          <w:szCs w:val="22"/>
        </w:rPr>
        <w:t xml:space="preserve">Primary tumour site (colon segment or rectal level)</w:t>
      </w:r>
    </w:p>
    <w:p>
      <w:pPr>
        <w:pStyle w:val="ListParagraph"/>
        <w:numPr>
          <w:ilvl w:val="0"/>
          <w:numId w:val="2"/>
        </w:numPr>
        <w:spacing w:after="80"/>
      </w:pPr>
      <w:r>
        <w:rPr>
          <w:rFonts w:ascii="Arial" w:cs="Arial" w:eastAsia="Arial" w:hAnsi="Arial"/>
          <w:sz w:val="22"/>
          <w:szCs w:val="22"/>
        </w:rPr>
        <w:t xml:space="preserve">Histological diagnosis and differentiation grade</w:t>
      </w:r>
    </w:p>
    <w:p>
      <w:pPr>
        <w:pStyle w:val="ListParagraph"/>
        <w:numPr>
          <w:ilvl w:val="0"/>
          <w:numId w:val="2"/>
        </w:numPr>
        <w:spacing w:after="80"/>
      </w:pPr>
      <w:r>
        <w:rPr>
          <w:rFonts w:ascii="Arial" w:cs="Arial" w:eastAsia="Arial" w:hAnsi="Arial"/>
          <w:sz w:val="22"/>
          <w:szCs w:val="22"/>
        </w:rPr>
        <w:t xml:space="preserve">MMR status, MSI status</w:t>
      </w:r>
    </w:p>
    <w:p>
      <w:pPr>
        <w:pStyle w:val="ListParagraph"/>
        <w:numPr>
          <w:ilvl w:val="0"/>
          <w:numId w:val="2"/>
        </w:numPr>
        <w:spacing w:after="80"/>
      </w:pPr>
      <w:r>
        <w:rPr>
          <w:rFonts w:ascii="Arial" w:cs="Arial" w:eastAsia="Arial" w:hAnsi="Arial"/>
          <w:sz w:val="22"/>
          <w:szCs w:val="22"/>
        </w:rPr>
        <w:t xml:space="preserve">Molecular testing results (KRAS, NRAS, BRAF) — if available</w:t>
      </w:r>
    </w:p>
    <w:p>
      <w:pPr>
        <w:pStyle w:val="ListParagraph"/>
        <w:numPr>
          <w:ilvl w:val="0"/>
          <w:numId w:val="2"/>
        </w:numPr>
        <w:spacing w:after="80"/>
      </w:pPr>
      <w:r>
        <w:rPr>
          <w:rFonts w:ascii="Arial" w:cs="Arial" w:eastAsia="Arial" w:hAnsi="Arial"/>
          <w:sz w:val="22"/>
          <w:szCs w:val="22"/>
        </w:rPr>
        <w:t xml:space="preserve">CEA level</w:t>
      </w:r>
    </w:p>
    <w:p>
      <w:pPr>
        <w:pStyle w:val="ListParagraph"/>
        <w:numPr>
          <w:ilvl w:val="0"/>
          <w:numId w:val="2"/>
        </w:numPr>
        <w:spacing w:after="80"/>
      </w:pPr>
      <w:r>
        <w:rPr>
          <w:rFonts w:ascii="Arial" w:cs="Arial" w:eastAsia="Arial" w:hAnsi="Arial"/>
          <w:sz w:val="22"/>
          <w:szCs w:val="22"/>
        </w:rPr>
        <w:t xml:space="preserve">CT staging: cT, cN, cM stage</w:t>
      </w:r>
    </w:p>
    <w:p>
      <w:pPr>
        <w:pStyle w:val="ListParagraph"/>
        <w:numPr>
          <w:ilvl w:val="0"/>
          <w:numId w:val="2"/>
        </w:numPr>
        <w:spacing w:after="80"/>
      </w:pPr>
      <w:r>
        <w:rPr>
          <w:rFonts w:ascii="Arial" w:cs="Arial" w:eastAsia="Arial" w:hAnsi="Arial"/>
          <w:sz w:val="22"/>
          <w:szCs w:val="22"/>
        </w:rPr>
        <w:t xml:space="preserve">MRI staging (rectal cancer only): mrT, mrN, mrCRM, mrEMVI, distance from anal verge, ISP, PSW</w:t>
      </w:r>
    </w:p>
    <w:p>
      <w:pPr>
        <w:pStyle w:val="ListParagraph"/>
        <w:numPr>
          <w:ilvl w:val="0"/>
          <w:numId w:val="2"/>
        </w:numPr>
        <w:spacing w:after="80"/>
      </w:pPr>
      <w:r>
        <w:rPr>
          <w:rFonts w:ascii="Arial" w:cs="Arial" w:eastAsia="Arial" w:hAnsi="Arial"/>
          <w:sz w:val="22"/>
          <w:szCs w:val="22"/>
        </w:rPr>
        <w:t xml:space="preserve">Performance status (ECOG/WHO performance status: 0=fully active, 1=restricted strenuous activity, 2=ambulatory &gt;50% of time, 3=limited self-care, 4=bedbound)</w:t>
      </w:r>
    </w:p>
    <w:p>
      <w:pPr>
        <w:pStyle w:val="ListParagraph"/>
        <w:numPr>
          <w:ilvl w:val="0"/>
          <w:numId w:val="2"/>
        </w:numPr>
        <w:spacing w:after="80"/>
      </w:pPr>
      <w:r>
        <w:rPr>
          <w:rFonts w:ascii="Arial" w:cs="Arial" w:eastAsia="Arial" w:hAnsi="Arial"/>
          <w:sz w:val="22"/>
          <w:szCs w:val="22"/>
        </w:rPr>
        <w:t xml:space="preserve">Co-morbidities, fitness for surgery/chemotherapy/radiotherapy</w:t>
      </w:r>
    </w:p>
    <w:p>
      <w:pPr>
        <w:pStyle w:val="ListParagraph"/>
        <w:numPr>
          <w:ilvl w:val="0"/>
          <w:numId w:val="2"/>
        </w:numPr>
        <w:spacing w:after="80"/>
      </w:pPr>
      <w:r>
        <w:rPr>
          <w:rFonts w:ascii="Arial" w:cs="Arial" w:eastAsia="Arial" w:hAnsi="Arial"/>
          <w:sz w:val="22"/>
          <w:szCs w:val="22"/>
        </w:rPr>
        <w:t xml:space="preserve">Previous treatment history</w:t>
      </w:r>
    </w:p>
    <w:p>
      <w:pPr>
        <w:pStyle w:val="ListParagraph"/>
        <w:numPr>
          <w:ilvl w:val="0"/>
          <w:numId w:val="2"/>
        </w:numPr>
        <w:spacing w:after="80"/>
      </w:pPr>
      <w:r>
        <w:rPr>
          <w:rFonts w:ascii="Arial" w:cs="Arial" w:eastAsia="Arial" w:hAnsi="Arial"/>
          <w:sz w:val="22"/>
          <w:szCs w:val="22"/>
        </w:rPr>
        <w:t xml:space="preserve">Current medications relevant to treatment (e.g. anticoagulants, immunosuppressants)</w:t>
      </w:r>
    </w:p>
    <w:p>
      <w:pPr>
        <w:pStyle w:val="ListParagraph"/>
        <w:numPr>
          <w:ilvl w:val="0"/>
          <w:numId w:val="2"/>
        </w:numPr>
        <w:spacing w:after="80"/>
      </w:pPr>
      <w:r>
        <w:rPr>
          <w:rFonts w:ascii="Arial" w:cs="Arial" w:eastAsia="Arial" w:hAnsi="Arial"/>
          <w:sz w:val="22"/>
          <w:szCs w:val="22"/>
        </w:rPr>
        <w:t xml:space="preserve">MDT recommendation / outcome</w:t>
      </w:r>
    </w:p>
    <w:p>
      <w:pPr>
        <w:pStyle w:val="ListParagraph"/>
        <w:numPr>
          <w:ilvl w:val="0"/>
          <w:numId w:val="2"/>
        </w:numPr>
        <w:spacing w:after="80"/>
      </w:pPr>
      <w:r>
        <w:rPr>
          <w:rFonts w:ascii="Arial" w:cs="Arial" w:eastAsia="Arial" w:hAnsi="Arial"/>
          <w:sz w:val="22"/>
          <w:szCs w:val="22"/>
        </w:rPr>
        <w:t xml:space="preserve">Date of MDT discussion</w:t>
      </w:r>
    </w:p>
    <w:p>
      <w:pPr>
        <w:pStyle w:val="ListParagraph"/>
        <w:numPr>
          <w:ilvl w:val="0"/>
          <w:numId w:val="2"/>
        </w:numPr>
        <w:spacing w:after="80"/>
      </w:pPr>
      <w:r>
        <w:rPr>
          <w:rFonts w:ascii="Arial" w:cs="Arial" w:eastAsia="Arial" w:hAnsi="Arial"/>
          <w:sz w:val="22"/>
          <w:szCs w:val="22"/>
        </w:rPr>
        <w:t xml:space="preserve">Clinician recording the outcome</w:t>
      </w:r>
    </w:p>
    <w:p>
      <w:pPr>
        <w:spacing w:after="80"/>
      </w:pPr>
      <w:r>
        <w:t xml:space="preserve"/>
      </w:r>
    </w:p>
    <w:p>
      <w:pPr>
        <w:pStyle w:val="Heading2"/>
        <w:spacing w:before="280" w:after="160"/>
      </w:pPr>
      <w:r>
        <w:rPr>
          <w:rFonts w:ascii="Arial" w:cs="Arial" w:eastAsia="Arial" w:hAnsi="Arial"/>
          <w:b/>
          <w:bCs/>
          <w:sz w:val="28"/>
          <w:szCs w:val="28"/>
        </w:rPr>
        <w:t xml:space="preserve">5.3 Flow from Referral to MDT to Treatment</w:t>
      </w:r>
    </w:p>
    <w:p>
      <w:pPr>
        <w:pStyle w:val="ListParagraph"/>
        <w:numPr>
          <w:ilvl w:val="0"/>
          <w:numId w:val="3"/>
        </w:numPr>
        <w:spacing w:after="80"/>
      </w:pPr>
      <w:r>
        <w:rPr>
          <w:rFonts w:ascii="Arial" w:cs="Arial" w:eastAsia="Arial" w:hAnsi="Arial"/>
          <w:sz w:val="22"/>
          <w:szCs w:val="22"/>
        </w:rPr>
        <w:t xml:space="preserve">GP identifies symptoms meeting 2WW criteria → GP makes urgent TWR referral online/by fax.</w:t>
      </w:r>
    </w:p>
    <w:p>
      <w:pPr>
        <w:pStyle w:val="ListParagraph"/>
        <w:numPr>
          <w:ilvl w:val="0"/>
          <w:numId w:val="3"/>
        </w:numPr>
        <w:spacing w:after="80"/>
      </w:pPr>
      <w:r>
        <w:rPr>
          <w:rFonts w:ascii="Arial" w:cs="Arial" w:eastAsia="Arial" w:hAnsi="Arial"/>
          <w:sz w:val="22"/>
          <w:szCs w:val="22"/>
        </w:rPr>
        <w:t xml:space="preserve">Patient seen in surgical/colorectal outpatient clinic within 14 days of referral.</w:t>
      </w:r>
    </w:p>
    <w:p>
      <w:pPr>
        <w:pStyle w:val="ListParagraph"/>
        <w:numPr>
          <w:ilvl w:val="0"/>
          <w:numId w:val="3"/>
        </w:numPr>
        <w:spacing w:after="80"/>
      </w:pPr>
      <w:r>
        <w:rPr>
          <w:rFonts w:ascii="Arial" w:cs="Arial" w:eastAsia="Arial" w:hAnsi="Arial"/>
          <w:sz w:val="22"/>
          <w:szCs w:val="22"/>
        </w:rPr>
        <w:t xml:space="preserve">Examination, history, rigid sigmoidoscopy/flexible sigmoidoscopy if appropriate.</w:t>
      </w:r>
    </w:p>
    <w:p>
      <w:pPr>
        <w:pStyle w:val="ListParagraph"/>
        <w:numPr>
          <w:ilvl w:val="0"/>
          <w:numId w:val="3"/>
        </w:numPr>
        <w:spacing w:after="80"/>
      </w:pPr>
      <w:r>
        <w:rPr>
          <w:rFonts w:ascii="Arial" w:cs="Arial" w:eastAsia="Arial" w:hAnsi="Arial"/>
          <w:sz w:val="22"/>
          <w:szCs w:val="22"/>
        </w:rPr>
        <w:t xml:space="preserve">Colonoscopy / CT colonography arranged urgently.</w:t>
      </w:r>
    </w:p>
    <w:p>
      <w:pPr>
        <w:pStyle w:val="ListParagraph"/>
        <w:numPr>
          <w:ilvl w:val="0"/>
          <w:numId w:val="3"/>
        </w:numPr>
        <w:spacing w:after="80"/>
      </w:pPr>
      <w:r>
        <w:rPr>
          <w:rFonts w:ascii="Arial" w:cs="Arial" w:eastAsia="Arial" w:hAnsi="Arial"/>
          <w:sz w:val="22"/>
          <w:szCs w:val="22"/>
        </w:rPr>
        <w:t xml:space="preserve">Cancer diagnosed → CT TAP requested for staging; rectal cancer also gets pelvic MRI.</w:t>
      </w:r>
    </w:p>
    <w:p>
      <w:pPr>
        <w:pStyle w:val="ListParagraph"/>
        <w:numPr>
          <w:ilvl w:val="0"/>
          <w:numId w:val="3"/>
        </w:numPr>
        <w:spacing w:after="80"/>
      </w:pPr>
      <w:r>
        <w:rPr>
          <w:rFonts w:ascii="Arial" w:cs="Arial" w:eastAsia="Arial" w:hAnsi="Arial"/>
          <w:sz w:val="22"/>
          <w:szCs w:val="22"/>
        </w:rPr>
        <w:t xml:space="preserve">Biopsy sent to histopathology; results awaited (typically 5–10 working days).</w:t>
      </w:r>
    </w:p>
    <w:p>
      <w:pPr>
        <w:pStyle w:val="ListParagraph"/>
        <w:numPr>
          <w:ilvl w:val="0"/>
          <w:numId w:val="3"/>
        </w:numPr>
        <w:spacing w:after="80"/>
      </w:pPr>
      <w:r>
        <w:rPr>
          <w:rFonts w:ascii="Arial" w:cs="Arial" w:eastAsia="Arial" w:hAnsi="Arial"/>
          <w:sz w:val="22"/>
          <w:szCs w:val="22"/>
        </w:rPr>
        <w:t xml:space="preserve">MDT proforma completed by referring clinician.</w:t>
      </w:r>
    </w:p>
    <w:p>
      <w:pPr>
        <w:pStyle w:val="ListParagraph"/>
        <w:numPr>
          <w:ilvl w:val="0"/>
          <w:numId w:val="3"/>
        </w:numPr>
        <w:spacing w:after="80"/>
      </w:pPr>
      <w:r>
        <w:rPr>
          <w:rFonts w:ascii="Arial" w:cs="Arial" w:eastAsia="Arial" w:hAnsi="Arial"/>
          <w:sz w:val="22"/>
          <w:szCs w:val="22"/>
        </w:rPr>
        <w:t xml:space="preserve">Case presented at weekly MDT meeting by referring clinician. Radiologist presents imaging. Pathologist presents histology.</w:t>
      </w:r>
    </w:p>
    <w:p>
      <w:pPr>
        <w:pStyle w:val="ListParagraph"/>
        <w:numPr>
          <w:ilvl w:val="0"/>
          <w:numId w:val="3"/>
        </w:numPr>
        <w:spacing w:after="80"/>
      </w:pPr>
      <w:r>
        <w:rPr>
          <w:rFonts w:ascii="Arial" w:cs="Arial" w:eastAsia="Arial" w:hAnsi="Arial"/>
          <w:sz w:val="22"/>
          <w:szCs w:val="22"/>
        </w:rPr>
        <w:t xml:space="preserve">MDT agrees management recommendation (see Section 5.4).</w:t>
      </w:r>
    </w:p>
    <w:p>
      <w:pPr>
        <w:pStyle w:val="ListParagraph"/>
        <w:numPr>
          <w:ilvl w:val="0"/>
          <w:numId w:val="3"/>
        </w:numPr>
        <w:spacing w:after="80"/>
      </w:pPr>
      <w:r>
        <w:rPr>
          <w:rFonts w:ascii="Arial" w:cs="Arial" w:eastAsia="Arial" w:hAnsi="Arial"/>
          <w:sz w:val="22"/>
          <w:szCs w:val="22"/>
        </w:rPr>
        <w:t xml:space="preserve">Decision to Treat (DTT) recorded; 31-day treatment clock starts.</w:t>
      </w:r>
    </w:p>
    <w:p>
      <w:pPr>
        <w:pStyle w:val="ListParagraph"/>
        <w:numPr>
          <w:ilvl w:val="0"/>
          <w:numId w:val="3"/>
        </w:numPr>
        <w:spacing w:after="80"/>
      </w:pPr>
      <w:r>
        <w:rPr>
          <w:rFonts w:ascii="Arial" w:cs="Arial" w:eastAsia="Arial" w:hAnsi="Arial"/>
          <w:sz w:val="22"/>
          <w:szCs w:val="22"/>
        </w:rPr>
        <w:t xml:space="preserve">CNS discusses the MDT decision with the patient; informed consent process begins.</w:t>
      </w:r>
    </w:p>
    <w:p>
      <w:pPr>
        <w:pStyle w:val="ListParagraph"/>
        <w:numPr>
          <w:ilvl w:val="0"/>
          <w:numId w:val="3"/>
        </w:numPr>
        <w:spacing w:after="80"/>
      </w:pPr>
      <w:r>
        <w:rPr>
          <w:rFonts w:ascii="Arial" w:cs="Arial" w:eastAsia="Arial" w:hAnsi="Arial"/>
          <w:sz w:val="22"/>
          <w:szCs w:val="22"/>
        </w:rPr>
        <w:t xml:space="preserve">Treatment commenced — must be within 62 days of original TWR referral date.</w:t>
      </w:r>
    </w:p>
    <w:p>
      <w:pPr>
        <w:spacing w:after="80"/>
      </w:pPr>
      <w:r>
        <w:t xml:space="preserve"/>
      </w:r>
    </w:p>
    <w:p>
      <w:pPr>
        <w:pStyle w:val="Heading2"/>
        <w:spacing w:before="280" w:after="160"/>
      </w:pPr>
      <w:r>
        <w:rPr>
          <w:rFonts w:ascii="Arial" w:cs="Arial" w:eastAsia="Arial" w:hAnsi="Arial"/>
          <w:b/>
          <w:bCs/>
          <w:sz w:val="28"/>
          <w:szCs w:val="28"/>
        </w:rPr>
        <w:t xml:space="preserve">5.4 MDT Outcome Categories</w:t>
      </w:r>
    </w:p>
    <w:p>
      <w:pPr>
        <w:spacing w:after="120"/>
      </w:pPr>
      <w:r>
        <w:rPr>
          <w:rFonts w:ascii="Arial" w:cs="Arial" w:eastAsia="Arial" w:hAnsi="Arial"/>
          <w:sz w:val="22"/>
          <w:szCs w:val="22"/>
        </w:rPr>
        <w:t xml:space="preserve">The MDT outcome is recorded in the proforma. Typical outcomes include:</w:t>
      </w:r>
    </w:p>
    <w:p>
      <w:pPr>
        <w:pStyle w:val="ListParagraph"/>
        <w:numPr>
          <w:ilvl w:val="0"/>
          <w:numId w:val="2"/>
        </w:numPr>
        <w:spacing w:after="80"/>
      </w:pPr>
      <w:r>
        <w:rPr>
          <w:rFonts w:ascii="Arial" w:cs="Arial" w:eastAsia="Arial" w:hAnsi="Arial"/>
          <w:b/>
          <w:bCs/>
          <w:sz w:val="22"/>
          <w:szCs w:val="22"/>
        </w:rPr>
        <w:t xml:space="preserve">Curative intent surgery</w:t>
      </w:r>
      <w:r>
        <w:rPr>
          <w:rFonts w:ascii="Arial" w:cs="Arial" w:eastAsia="Arial" w:hAnsi="Arial"/>
          <w:sz w:val="22"/>
          <w:szCs w:val="22"/>
        </w:rPr>
        <w:t xml:space="preserve">: e.g. 'Right hemicolectomy for T2N0 ascending colon cancer'</w:t>
      </w:r>
    </w:p>
    <w:p>
      <w:pPr>
        <w:pStyle w:val="ListParagraph"/>
        <w:numPr>
          <w:ilvl w:val="0"/>
          <w:numId w:val="2"/>
        </w:numPr>
        <w:spacing w:after="80"/>
      </w:pPr>
      <w:r>
        <w:rPr>
          <w:rFonts w:ascii="Arial" w:cs="Arial" w:eastAsia="Arial" w:hAnsi="Arial"/>
          <w:b/>
          <w:bCs/>
          <w:sz w:val="22"/>
          <w:szCs w:val="22"/>
        </w:rPr>
        <w:t xml:space="preserve">Neoadjuvant chemoradiotherapy followed by surgical restaging and surgery</w:t>
      </w:r>
      <w:r>
        <w:rPr>
          <w:rFonts w:ascii="Arial" w:cs="Arial" w:eastAsia="Arial" w:hAnsi="Arial"/>
          <w:sz w:val="22"/>
          <w:szCs w:val="22"/>
        </w:rPr>
        <w:t xml:space="preserve">: standard for locally advanced rectal cancer</w:t>
      </w:r>
    </w:p>
    <w:p>
      <w:pPr>
        <w:pStyle w:val="ListParagraph"/>
        <w:numPr>
          <w:ilvl w:val="0"/>
          <w:numId w:val="2"/>
        </w:numPr>
        <w:spacing w:after="80"/>
      </w:pPr>
      <w:r>
        <w:rPr>
          <w:rFonts w:ascii="Arial" w:cs="Arial" w:eastAsia="Arial" w:hAnsi="Arial"/>
          <w:b/>
          <w:bCs/>
          <w:sz w:val="22"/>
          <w:szCs w:val="22"/>
        </w:rPr>
        <w:t xml:space="preserve">Primary chemotherapy / neoadjuvant chemotherapy</w:t>
      </w:r>
      <w:r>
        <w:rPr>
          <w:rFonts w:ascii="Arial" w:cs="Arial" w:eastAsia="Arial" w:hAnsi="Arial"/>
          <w:sz w:val="22"/>
          <w:szCs w:val="22"/>
        </w:rPr>
        <w:t xml:space="preserve">: e.g. FOXTROT regimen for locally advanced colon cancer; systemic chemotherapy before liver resection for CRLM</w:t>
      </w:r>
    </w:p>
    <w:p>
      <w:pPr>
        <w:pStyle w:val="ListParagraph"/>
        <w:numPr>
          <w:ilvl w:val="0"/>
          <w:numId w:val="2"/>
        </w:numPr>
        <w:spacing w:after="80"/>
      </w:pPr>
      <w:r>
        <w:rPr>
          <w:rFonts w:ascii="Arial" w:cs="Arial" w:eastAsia="Arial" w:hAnsi="Arial"/>
          <w:b/>
          <w:bCs/>
          <w:sz w:val="22"/>
          <w:szCs w:val="22"/>
        </w:rPr>
        <w:t xml:space="preserve">Watch and Wait</w:t>
      </w:r>
      <w:r>
        <w:rPr>
          <w:rFonts w:ascii="Arial" w:cs="Arial" w:eastAsia="Arial" w:hAnsi="Arial"/>
          <w:sz w:val="22"/>
          <w:szCs w:val="22"/>
        </w:rPr>
        <w:t xml:space="preserve">: for rectal cancer with clinical complete response after CRT</w:t>
      </w:r>
    </w:p>
    <w:p>
      <w:pPr>
        <w:pStyle w:val="ListParagraph"/>
        <w:numPr>
          <w:ilvl w:val="0"/>
          <w:numId w:val="2"/>
        </w:numPr>
        <w:spacing w:after="80"/>
      </w:pPr>
      <w:r>
        <w:rPr>
          <w:rFonts w:ascii="Arial" w:cs="Arial" w:eastAsia="Arial" w:hAnsi="Arial"/>
          <w:b/>
          <w:bCs/>
          <w:sz w:val="22"/>
          <w:szCs w:val="22"/>
        </w:rPr>
        <w:t xml:space="preserve">Refer for surgical review</w:t>
      </w:r>
      <w:r>
        <w:rPr>
          <w:rFonts w:ascii="Arial" w:cs="Arial" w:eastAsia="Arial" w:hAnsi="Arial"/>
          <w:sz w:val="22"/>
          <w:szCs w:val="22"/>
        </w:rPr>
        <w:t xml:space="preserve">: when the case requires an opinion from a specialist surgeon (e.g. hepatobiliary surgeon for liver metastases, pelvic oncology surgeon for locally recurrent disease)</w:t>
      </w:r>
    </w:p>
    <w:p>
      <w:pPr>
        <w:pStyle w:val="ListParagraph"/>
        <w:numPr>
          <w:ilvl w:val="0"/>
          <w:numId w:val="2"/>
        </w:numPr>
        <w:spacing w:after="80"/>
      </w:pPr>
      <w:r>
        <w:rPr>
          <w:rFonts w:ascii="Arial" w:cs="Arial" w:eastAsia="Arial" w:hAnsi="Arial"/>
          <w:b/>
          <w:bCs/>
          <w:sz w:val="22"/>
          <w:szCs w:val="22"/>
        </w:rPr>
        <w:t xml:space="preserve">Refer to tertiary centre</w:t>
      </w:r>
      <w:r>
        <w:rPr>
          <w:rFonts w:ascii="Arial" w:cs="Arial" w:eastAsia="Arial" w:hAnsi="Arial"/>
          <w:sz w:val="22"/>
          <w:szCs w:val="22"/>
        </w:rPr>
        <w:t xml:space="preserve">: for cases requiring specialist expertise (e.g. ELAPE at a pelvic oncology centre, HIPEC, SIRT)</w:t>
      </w:r>
    </w:p>
    <w:p>
      <w:pPr>
        <w:pStyle w:val="ListParagraph"/>
        <w:numPr>
          <w:ilvl w:val="0"/>
          <w:numId w:val="2"/>
        </w:numPr>
        <w:spacing w:after="80"/>
      </w:pPr>
      <w:r>
        <w:rPr>
          <w:rFonts w:ascii="Arial" w:cs="Arial" w:eastAsia="Arial" w:hAnsi="Arial"/>
          <w:b/>
          <w:bCs/>
          <w:sz w:val="22"/>
          <w:szCs w:val="22"/>
        </w:rPr>
        <w:t xml:space="preserve">Palliative / best supportive care</w:t>
      </w:r>
      <w:r>
        <w:rPr>
          <w:rFonts w:ascii="Arial" w:cs="Arial" w:eastAsia="Arial" w:hAnsi="Arial"/>
          <w:sz w:val="22"/>
          <w:szCs w:val="22"/>
        </w:rPr>
        <w:t xml:space="preserve">: for patients who are not fit for curative treatment or who decline it</w:t>
      </w:r>
    </w:p>
    <w:p>
      <w:pPr>
        <w:pStyle w:val="ListParagraph"/>
        <w:numPr>
          <w:ilvl w:val="0"/>
          <w:numId w:val="2"/>
        </w:numPr>
        <w:spacing w:after="80"/>
      </w:pPr>
      <w:r>
        <w:rPr>
          <w:rFonts w:ascii="Arial" w:cs="Arial" w:eastAsia="Arial" w:hAnsi="Arial"/>
          <w:b/>
          <w:bCs/>
          <w:sz w:val="22"/>
          <w:szCs w:val="22"/>
        </w:rPr>
        <w:t xml:space="preserve">Further investigations required</w:t>
      </w:r>
      <w:r>
        <w:rPr>
          <w:rFonts w:ascii="Arial" w:cs="Arial" w:eastAsia="Arial" w:hAnsi="Arial"/>
          <w:sz w:val="22"/>
          <w:szCs w:val="22"/>
        </w:rPr>
        <w:t xml:space="preserve">: if the MDT cannot make a decision on available information — e.g. awaiting molecular results, additional imaging</w:t>
      </w:r>
    </w:p>
    <w:p>
      <w:pPr>
        <w:pStyle w:val="ListParagraph"/>
        <w:numPr>
          <w:ilvl w:val="0"/>
          <w:numId w:val="2"/>
        </w:numPr>
        <w:spacing w:after="80"/>
      </w:pPr>
      <w:r>
        <w:rPr>
          <w:rFonts w:ascii="Arial" w:cs="Arial" w:eastAsia="Arial" w:hAnsi="Arial"/>
          <w:b/>
          <w:bCs/>
          <w:sz w:val="22"/>
          <w:szCs w:val="22"/>
        </w:rPr>
        <w:t xml:space="preserve">Rediscuss at MDT</w:t>
      </w:r>
      <w:r>
        <w:rPr>
          <w:rFonts w:ascii="Arial" w:cs="Arial" w:eastAsia="Arial" w:hAnsi="Arial"/>
          <w:sz w:val="22"/>
          <w:szCs w:val="22"/>
        </w:rPr>
        <w:t xml:space="preserve">: when the patient's condition changes, new imaging is available, or the patient is reassessed following neoadjuvant treatment</w:t>
      </w:r>
    </w:p>
    <w:p>
      <w:pPr>
        <w:spacing w:after="80"/>
      </w:pPr>
      <w:r>
        <w:t xml:space="preserve"/>
      </w:r>
    </w:p>
    <w:p>
      <w:pPr>
        <w:pStyle w:val="Heading2"/>
        <w:spacing w:before="280" w:after="160"/>
      </w:pPr>
      <w:r>
        <w:rPr>
          <w:rFonts w:ascii="Arial" w:cs="Arial" w:eastAsia="Arial" w:hAnsi="Arial"/>
          <w:b/>
          <w:bCs/>
          <w:sz w:val="28"/>
          <w:szCs w:val="28"/>
        </w:rPr>
        <w:t xml:space="preserve">5.5 Why a Case Is Rediscussed at MDT</w:t>
      </w:r>
    </w:p>
    <w:p>
      <w:pPr>
        <w:spacing w:after="120"/>
      </w:pPr>
      <w:r>
        <w:rPr>
          <w:rFonts w:ascii="Arial" w:cs="Arial" w:eastAsia="Arial" w:hAnsi="Arial"/>
          <w:b/>
          <w:bCs/>
          <w:sz w:val="22"/>
          <w:szCs w:val="22"/>
        </w:rPr>
        <w:t xml:space="preserve">'Rediscuss at MDT'</w:t>
      </w:r>
      <w:r>
        <w:rPr>
          <w:rFonts w:ascii="Arial" w:cs="Arial" w:eastAsia="Arial" w:hAnsi="Arial"/>
          <w:sz w:val="22"/>
          <w:szCs w:val="22"/>
        </w:rPr>
        <w:t xml:space="preserve"> (also documented as 're-present to MDT', 'MDTM rediscussion') occurs when:</w:t>
      </w:r>
    </w:p>
    <w:p>
      <w:pPr>
        <w:pStyle w:val="ListParagraph"/>
        <w:numPr>
          <w:ilvl w:val="0"/>
          <w:numId w:val="2"/>
        </w:numPr>
        <w:spacing w:after="80"/>
      </w:pPr>
      <w:r>
        <w:rPr>
          <w:rFonts w:ascii="Arial" w:cs="Arial" w:eastAsia="Arial" w:hAnsi="Arial"/>
          <w:sz w:val="22"/>
          <w:szCs w:val="22"/>
        </w:rPr>
        <w:t xml:space="preserve">Restaging imaging (post-CRT MRI) shows response that changes the surgical plan</w:t>
      </w:r>
    </w:p>
    <w:p>
      <w:pPr>
        <w:pStyle w:val="ListParagraph"/>
        <w:numPr>
          <w:ilvl w:val="0"/>
          <w:numId w:val="2"/>
        </w:numPr>
        <w:spacing w:after="80"/>
      </w:pPr>
      <w:r>
        <w:rPr>
          <w:rFonts w:ascii="Arial" w:cs="Arial" w:eastAsia="Arial" w:hAnsi="Arial"/>
          <w:sz w:val="22"/>
          <w:szCs w:val="22"/>
        </w:rPr>
        <w:t xml:space="preserve">New pathology results (molecular testing) become available that alter treatment eligibility</w:t>
      </w:r>
    </w:p>
    <w:p>
      <w:pPr>
        <w:pStyle w:val="ListParagraph"/>
        <w:numPr>
          <w:ilvl w:val="0"/>
          <w:numId w:val="2"/>
        </w:numPr>
        <w:spacing w:after="80"/>
      </w:pPr>
      <w:r>
        <w:rPr>
          <w:rFonts w:ascii="Arial" w:cs="Arial" w:eastAsia="Arial" w:hAnsi="Arial"/>
          <w:sz w:val="22"/>
          <w:szCs w:val="22"/>
        </w:rPr>
        <w:t xml:space="preserve">Patient's fitness for planned treatment changes (deterioration or improvement)</w:t>
      </w:r>
    </w:p>
    <w:p>
      <w:pPr>
        <w:pStyle w:val="ListParagraph"/>
        <w:numPr>
          <w:ilvl w:val="0"/>
          <w:numId w:val="2"/>
        </w:numPr>
        <w:spacing w:after="80"/>
      </w:pPr>
      <w:r>
        <w:rPr>
          <w:rFonts w:ascii="Arial" w:cs="Arial" w:eastAsia="Arial" w:hAnsi="Arial"/>
          <w:sz w:val="22"/>
          <w:szCs w:val="22"/>
        </w:rPr>
        <w:t xml:space="preserve">Complications of treatment (e.g. post-operative complications requiring change of plan)</w:t>
      </w:r>
    </w:p>
    <w:p>
      <w:pPr>
        <w:pStyle w:val="ListParagraph"/>
        <w:numPr>
          <w:ilvl w:val="0"/>
          <w:numId w:val="2"/>
        </w:numPr>
        <w:spacing w:after="80"/>
      </w:pPr>
      <w:r>
        <w:rPr>
          <w:rFonts w:ascii="Arial" w:cs="Arial" w:eastAsia="Arial" w:hAnsi="Arial"/>
          <w:sz w:val="22"/>
          <w:szCs w:val="22"/>
        </w:rPr>
        <w:t xml:space="preserve">Suspected or confirmed recurrence</w:t>
      </w:r>
    </w:p>
    <w:p>
      <w:pPr>
        <w:pStyle w:val="ListParagraph"/>
        <w:numPr>
          <w:ilvl w:val="0"/>
          <w:numId w:val="2"/>
        </w:numPr>
        <w:spacing w:after="80"/>
      </w:pPr>
      <w:r>
        <w:rPr>
          <w:rFonts w:ascii="Arial" w:cs="Arial" w:eastAsia="Arial" w:hAnsi="Arial"/>
          <w:sz w:val="22"/>
          <w:szCs w:val="22"/>
        </w:rPr>
        <w:t xml:space="preserve">Initial scan was equivocal and follow-up imaging has resolved uncertainty</w:t>
      </w:r>
    </w:p>
    <w:p>
      <w:pPr>
        <w:pStyle w:val="ListParagraph"/>
        <w:numPr>
          <w:ilvl w:val="0"/>
          <w:numId w:val="2"/>
        </w:numPr>
        <w:spacing w:after="80"/>
      </w:pPr>
      <w:r>
        <w:rPr>
          <w:rFonts w:ascii="Arial" w:cs="Arial" w:eastAsia="Arial" w:hAnsi="Arial"/>
          <w:sz w:val="22"/>
          <w:szCs w:val="22"/>
        </w:rPr>
        <w:t xml:space="preserve">Patient has enrolled in a clinical trial that requires MDT sign-off at decision points</w:t>
      </w:r>
    </w:p>
    <w:p>
      <w:pPr>
        <w:spacing w:after="80"/>
      </w:pPr>
      <w:r>
        <w:t xml:space="preserve"/>
      </w:r>
    </w:p>
    <w:p>
      <w:pPr>
        <w:pStyle w:val="Heading2"/>
        <w:spacing w:before="280" w:after="160"/>
      </w:pPr>
      <w:r>
        <w:rPr>
          <w:rFonts w:ascii="Arial" w:cs="Arial" w:eastAsia="Arial" w:hAnsi="Arial"/>
          <w:b/>
          <w:bCs/>
          <w:sz w:val="28"/>
          <w:szCs w:val="28"/>
        </w:rPr>
        <w:t xml:space="preserve">5.6 BCSP Pathway to MDT</w:t>
      </w:r>
    </w:p>
    <w:p>
      <w:pPr>
        <w:spacing w:after="120"/>
      </w:pPr>
      <w:r>
        <w:rPr>
          <w:rFonts w:ascii="Arial" w:cs="Arial" w:eastAsia="Arial" w:hAnsi="Arial"/>
          <w:b/>
          <w:bCs/>
          <w:sz w:val="22"/>
          <w:szCs w:val="22"/>
        </w:rPr>
        <w:t xml:space="preserve">The Bowel Cancer Screening Programme (BCSP)</w:t>
      </w:r>
      <w:r>
        <w:rPr>
          <w:rFonts w:ascii="Arial" w:cs="Arial" w:eastAsia="Arial" w:hAnsi="Arial"/>
          <w:sz w:val="22"/>
          <w:szCs w:val="22"/>
        </w:rPr>
        <w:t xml:space="preserve"> has its own pathway:</w:t>
      </w:r>
    </w:p>
    <w:p>
      <w:pPr>
        <w:pStyle w:val="ListParagraph"/>
        <w:numPr>
          <w:ilvl w:val="0"/>
          <w:numId w:val="2"/>
        </w:numPr>
        <w:spacing w:after="80"/>
      </w:pPr>
      <w:r>
        <w:rPr>
          <w:rFonts w:ascii="Arial" w:cs="Arial" w:eastAsia="Arial" w:hAnsi="Arial"/>
          <w:sz w:val="22"/>
          <w:szCs w:val="22"/>
        </w:rPr>
        <w:t xml:space="preserve">Positive FIT test → invitation for colonoscopy at a BCSP-accredited screening centre</w:t>
      </w:r>
    </w:p>
    <w:p>
      <w:pPr>
        <w:pStyle w:val="ListParagraph"/>
        <w:numPr>
          <w:ilvl w:val="0"/>
          <w:numId w:val="2"/>
        </w:numPr>
        <w:spacing w:after="80"/>
      </w:pPr>
      <w:r>
        <w:rPr>
          <w:rFonts w:ascii="Arial" w:cs="Arial" w:eastAsia="Arial" w:hAnsi="Arial"/>
          <w:sz w:val="22"/>
          <w:szCs w:val="22"/>
        </w:rPr>
        <w:t xml:space="preserve">Cancer found at screening colonoscopy → immediate biopsy; patient flagged to the BCSP lead clinician</w:t>
      </w:r>
    </w:p>
    <w:p>
      <w:pPr>
        <w:pStyle w:val="ListParagraph"/>
        <w:numPr>
          <w:ilvl w:val="0"/>
          <w:numId w:val="2"/>
        </w:numPr>
        <w:spacing w:after="80"/>
      </w:pPr>
      <w:r>
        <w:rPr>
          <w:rFonts w:ascii="Arial" w:cs="Arial" w:eastAsia="Arial" w:hAnsi="Arial"/>
          <w:sz w:val="22"/>
          <w:szCs w:val="22"/>
        </w:rPr>
        <w:t xml:space="preserve">Staging CT TAP ± pelvic MRI arranged</w:t>
      </w:r>
    </w:p>
    <w:p>
      <w:pPr>
        <w:pStyle w:val="ListParagraph"/>
        <w:numPr>
          <w:ilvl w:val="0"/>
          <w:numId w:val="2"/>
        </w:numPr>
        <w:spacing w:after="80"/>
      </w:pPr>
      <w:r>
        <w:rPr>
          <w:rFonts w:ascii="Arial" w:cs="Arial" w:eastAsia="Arial" w:hAnsi="Arial"/>
          <w:sz w:val="22"/>
          <w:szCs w:val="22"/>
        </w:rPr>
        <w:t xml:space="preserve">Presented at the local colorectal cancer MDT — same process as for symptomatic patients</w:t>
      </w:r>
    </w:p>
    <w:p>
      <w:pPr>
        <w:pStyle w:val="ListParagraph"/>
        <w:numPr>
          <w:ilvl w:val="0"/>
          <w:numId w:val="2"/>
        </w:numPr>
        <w:spacing w:after="80"/>
      </w:pPr>
      <w:r>
        <w:rPr>
          <w:rFonts w:ascii="Arial" w:cs="Arial" w:eastAsia="Arial" w:hAnsi="Arial"/>
          <w:sz w:val="22"/>
          <w:szCs w:val="22"/>
        </w:rPr>
        <w:t xml:space="preserve">BCSP cases are tracked separately for quality assurance and outcome audit</w:t>
      </w:r>
    </w:p>
    <w:p>
      <w:pPr>
        <w:spacing w:after="120"/>
      </w:pPr>
      <w:r>
        <w:rPr>
          <w:rFonts w:ascii="Arial" w:cs="Arial" w:eastAsia="Arial" w:hAnsi="Arial"/>
          <w:sz w:val="22"/>
          <w:szCs w:val="22"/>
        </w:rPr>
        <w:t xml:space="preserve">BCSP-detected cancers are, on average, at an earlier stage than symptomatically detected cancers, reflecting the purpose of screening.</w:t>
      </w:r>
    </w:p>
    <w:p>
      <w:r>
        <w:br w:type="page"/>
      </w:r>
    </w:p>
    <w:p>
      <w:pPr>
        <w:pStyle w:val="Heading1"/>
        <w:spacing w:before="360" w:after="200"/>
      </w:pPr>
      <w:r>
        <w:rPr>
          <w:rFonts w:ascii="Arial" w:cs="Arial" w:eastAsia="Arial" w:hAnsi="Arial"/>
          <w:b/>
          <w:bCs/>
          <w:sz w:val="32"/>
          <w:szCs w:val="32"/>
        </w:rPr>
        <w:t xml:space="preserve">Section 6: Treatment Pathways</w:t>
      </w:r>
    </w:p>
    <w:p>
      <w:pPr>
        <w:pStyle w:val="Heading2"/>
        <w:spacing w:before="280" w:after="160"/>
      </w:pPr>
      <w:r>
        <w:rPr>
          <w:rFonts w:ascii="Arial" w:cs="Arial" w:eastAsia="Arial" w:hAnsi="Arial"/>
          <w:b/>
          <w:bCs/>
          <w:sz w:val="28"/>
          <w:szCs w:val="28"/>
        </w:rPr>
        <w:t xml:space="preserve">6.1 Surgery</w:t>
      </w:r>
    </w:p>
    <w:p>
      <w:pPr>
        <w:pStyle w:val="Heading3"/>
        <w:spacing w:before="240" w:after="120"/>
      </w:pPr>
      <w:r>
        <w:rPr>
          <w:rFonts w:ascii="Arial" w:cs="Arial" w:eastAsia="Arial" w:hAnsi="Arial"/>
          <w:b/>
          <w:bCs/>
          <w:sz w:val="26"/>
          <w:szCs w:val="26"/>
        </w:rPr>
        <w:t xml:space="preserve">Surgery for Colon Cancer</w:t>
      </w:r>
    </w:p>
    <w:p>
      <w:pPr>
        <w:spacing w:after="120"/>
      </w:pPr>
      <w:r>
        <w:rPr>
          <w:rFonts w:ascii="Arial" w:cs="Arial" w:eastAsia="Arial" w:hAnsi="Arial"/>
          <w:sz w:val="22"/>
          <w:szCs w:val="22"/>
        </w:rPr>
        <w:t xml:space="preserve">The principle of colon cancer surgery is </w:t>
      </w:r>
    </w:p>
    <w:p>
      <w:pPr>
        <w:pStyle w:val="ListParagraph"/>
        <w:numPr>
          <w:ilvl w:val="0"/>
          <w:numId w:val="2"/>
        </w:numPr>
        <w:spacing w:after="80"/>
      </w:pPr>
      <w:r>
        <w:rPr>
          <w:rFonts w:ascii="Arial" w:cs="Arial" w:eastAsia="Arial" w:hAnsi="Arial"/>
          <w:b/>
          <w:bCs/>
          <w:sz w:val="22"/>
          <w:szCs w:val="22"/>
        </w:rPr>
        <w:t xml:space="preserve">Right hemicolectomy</w:t>
      </w:r>
      <w:r>
        <w:rPr>
          <w:rFonts w:ascii="Arial" w:cs="Arial" w:eastAsia="Arial" w:hAnsi="Arial"/>
          <w:sz w:val="22"/>
          <w:szCs w:val="22"/>
        </w:rPr>
        <w:t xml:space="preserve">: Removal of the caecum, ascending colon, hepatic flexure, and the first part of the transverse colon, with high tie of the ileocolic and right colic vessels. Used for caecal, ascending colon, and hepatic flexure cancers. An ileotransverse anastomosis is fashioned.</w:t>
      </w:r>
    </w:p>
    <w:p>
      <w:pPr>
        <w:pStyle w:val="ListParagraph"/>
        <w:numPr>
          <w:ilvl w:val="0"/>
          <w:numId w:val="2"/>
        </w:numPr>
        <w:spacing w:after="80"/>
      </w:pPr>
      <w:r>
        <w:rPr>
          <w:rFonts w:ascii="Arial" w:cs="Arial" w:eastAsia="Arial" w:hAnsi="Arial"/>
          <w:b/>
          <w:bCs/>
          <w:sz w:val="22"/>
          <w:szCs w:val="22"/>
        </w:rPr>
        <w:t xml:space="preserve">Extended right hemicolectomy</w:t>
      </w:r>
      <w:r>
        <w:rPr>
          <w:rFonts w:ascii="Arial" w:cs="Arial" w:eastAsia="Arial" w:hAnsi="Arial"/>
          <w:sz w:val="22"/>
          <w:szCs w:val="22"/>
        </w:rPr>
        <w:t xml:space="preserve">: Extends to include the entire transverse colon with high tie of the middle colic artery. Used for transverse colon and splenic flexure cancers.</w:t>
      </w:r>
    </w:p>
    <w:p>
      <w:pPr>
        <w:pStyle w:val="ListParagraph"/>
        <w:numPr>
          <w:ilvl w:val="0"/>
          <w:numId w:val="2"/>
        </w:numPr>
        <w:spacing w:after="80"/>
      </w:pPr>
      <w:r>
        <w:rPr>
          <w:rFonts w:ascii="Arial" w:cs="Arial" w:eastAsia="Arial" w:hAnsi="Arial"/>
          <w:b/>
          <w:bCs/>
          <w:sz w:val="22"/>
          <w:szCs w:val="22"/>
        </w:rPr>
        <w:t xml:space="preserve">Left hemicolectomy</w:t>
      </w:r>
      <w:r>
        <w:rPr>
          <w:rFonts w:ascii="Arial" w:cs="Arial" w:eastAsia="Arial" w:hAnsi="Arial"/>
          <w:sz w:val="22"/>
          <w:szCs w:val="22"/>
        </w:rPr>
        <w:t xml:space="preserve">: Removal of the descending colon with high tie of the left colic artery. Used for descending colon cancers.</w:t>
      </w:r>
    </w:p>
    <w:p>
      <w:pPr>
        <w:pStyle w:val="ListParagraph"/>
        <w:numPr>
          <w:ilvl w:val="0"/>
          <w:numId w:val="2"/>
        </w:numPr>
        <w:spacing w:after="80"/>
      </w:pPr>
      <w:r>
        <w:rPr>
          <w:rFonts w:ascii="Arial" w:cs="Arial" w:eastAsia="Arial" w:hAnsi="Arial"/>
          <w:b/>
          <w:bCs/>
          <w:sz w:val="22"/>
          <w:szCs w:val="22"/>
        </w:rPr>
        <w:t xml:space="preserve">Sigmoid colectomy</w:t>
      </w:r>
      <w:r>
        <w:rPr>
          <w:rFonts w:ascii="Arial" w:cs="Arial" w:eastAsia="Arial" w:hAnsi="Arial"/>
          <w:sz w:val="22"/>
          <w:szCs w:val="22"/>
        </w:rPr>
        <w:t xml:space="preserve">: Removal of the sigmoid colon, anastomosing descending to rectum. Used for sigmoid colon cancers.</w:t>
      </w:r>
    </w:p>
    <w:p>
      <w:pPr>
        <w:pStyle w:val="ListParagraph"/>
        <w:numPr>
          <w:ilvl w:val="0"/>
          <w:numId w:val="2"/>
        </w:numPr>
        <w:spacing w:after="80"/>
      </w:pPr>
      <w:r>
        <w:rPr>
          <w:rFonts w:ascii="Arial" w:cs="Arial" w:eastAsia="Arial" w:hAnsi="Arial"/>
          <w:b/>
          <w:bCs/>
          <w:sz w:val="22"/>
          <w:szCs w:val="22"/>
        </w:rPr>
        <w:t xml:space="preserve">Anterior resection (AR)</w:t>
      </w:r>
      <w:r>
        <w:rPr>
          <w:rFonts w:ascii="Arial" w:cs="Arial" w:eastAsia="Arial" w:hAnsi="Arial"/>
          <w:sz w:val="22"/>
          <w:szCs w:val="22"/>
        </w:rPr>
        <w:t xml:space="preserve">: Removal of the upper rectum and sigmoid colon with a colorectal or coloanal anastomosis. See rectal surgery below.</w:t>
      </w:r>
    </w:p>
    <w:p>
      <w:pPr>
        <w:pStyle w:val="ListParagraph"/>
        <w:numPr>
          <w:ilvl w:val="0"/>
          <w:numId w:val="2"/>
        </w:numPr>
        <w:spacing w:after="80"/>
      </w:pPr>
      <w:r>
        <w:rPr>
          <w:rFonts w:ascii="Arial" w:cs="Arial" w:eastAsia="Arial" w:hAnsi="Arial"/>
          <w:b/>
          <w:bCs/>
          <w:sz w:val="22"/>
          <w:szCs w:val="22"/>
        </w:rPr>
        <w:t xml:space="preserve">Hartmann's procedure</w:t>
      </w:r>
      <w:r>
        <w:rPr>
          <w:rFonts w:ascii="Arial" w:cs="Arial" w:eastAsia="Arial" w:hAnsi="Arial"/>
          <w:sz w:val="22"/>
          <w:szCs w:val="22"/>
        </w:rPr>
        <w:t xml:space="preserve">: Resection of the sigmoid colon/upper rectum with formation of a permanent end colostomy and closure of the rectal stump. Used when primary anastomosis is not safe (e.g. emergency perforation/obstruction, frail patient, technically unsafe anastomosis). The patient is left with a stoma; reversal is possible but carries significant risk.</w:t>
      </w:r>
    </w:p>
    <w:p>
      <w:pPr>
        <w:pStyle w:val="ListParagraph"/>
        <w:numPr>
          <w:ilvl w:val="0"/>
          <w:numId w:val="2"/>
        </w:numPr>
        <w:spacing w:after="80"/>
      </w:pPr>
      <w:r>
        <w:rPr>
          <w:rFonts w:ascii="Arial" w:cs="Arial" w:eastAsia="Arial" w:hAnsi="Arial"/>
          <w:b/>
          <w:bCs/>
          <w:sz w:val="22"/>
          <w:szCs w:val="22"/>
        </w:rPr>
        <w:t xml:space="preserve">Subtotal/total colectomy</w:t>
      </w:r>
      <w:r>
        <w:rPr>
          <w:rFonts w:ascii="Arial" w:cs="Arial" w:eastAsia="Arial" w:hAnsi="Arial"/>
          <w:sz w:val="22"/>
          <w:szCs w:val="22"/>
        </w:rPr>
        <w:t xml:space="preserve">: Removal of the entire colon; indicated for obstruction (to clear synchronous lesions), multiple synchronous cancers, FAP, or some hereditary conditions. An ileostomy or ileorectal anastomosis is fashioned.</w:t>
      </w:r>
    </w:p>
    <w:p>
      <w:pPr>
        <w:pStyle w:val="Heading3"/>
        <w:spacing w:before="240" w:after="120"/>
      </w:pPr>
      <w:r>
        <w:rPr>
          <w:rFonts w:ascii="Arial" w:cs="Arial" w:eastAsia="Arial" w:hAnsi="Arial"/>
          <w:b/>
          <w:bCs/>
          <w:sz w:val="26"/>
          <w:szCs w:val="26"/>
        </w:rPr>
        <w:t xml:space="preserve">Surgery for Rectal Cancer</w:t>
      </w:r>
    </w:p>
    <w:p>
      <w:pPr>
        <w:spacing w:after="120"/>
      </w:pPr>
      <w:r>
        <w:rPr>
          <w:rFonts w:ascii="Arial" w:cs="Arial" w:eastAsia="Arial" w:hAnsi="Arial"/>
          <w:b/>
          <w:bCs/>
          <w:sz w:val="22"/>
          <w:szCs w:val="22"/>
        </w:rPr>
        <w:t xml:space="preserve">TME (Total Mesorectal Excision)</w:t>
      </w:r>
      <w:r>
        <w:rPr>
          <w:rFonts w:ascii="Arial" w:cs="Arial" w:eastAsia="Arial" w:hAnsi="Arial"/>
          <w:sz w:val="22"/>
          <w:szCs w:val="22"/>
        </w:rPr>
        <w:t xml:space="preserve">: TME is the gold standard surgical technique for rectal cancer resection. First described and championed by Professor Bill Heald at Basingstoke in the 1980s, TME involves sharp dissection in the avascular plane between the mesorectal fascia (visceral fascia) and the parietal fascia of the pelvis. This preserves the mesorectal envelope intact, removing all lymph nodes and fat within the mesorectal fascia 'en bloc' with the tumour. TME dramatically reduced local recurrence rates from ~30% to &lt;10%. All rectal cancer surgery should incorporate TME principles.</w:t>
      </w:r>
    </w:p>
    <w:p>
      <w:pPr>
        <w:pStyle w:val="ListParagraph"/>
        <w:numPr>
          <w:ilvl w:val="0"/>
          <w:numId w:val="2"/>
        </w:numPr>
        <w:spacing w:after="80"/>
      </w:pPr>
      <w:r>
        <w:rPr>
          <w:rFonts w:ascii="Arial" w:cs="Arial" w:eastAsia="Arial" w:hAnsi="Arial"/>
          <w:b/>
          <w:bCs/>
          <w:sz w:val="22"/>
          <w:szCs w:val="22"/>
        </w:rPr>
        <w:t xml:space="preserve">Low anterior resection (LAR)</w:t>
      </w:r>
      <w:r>
        <w:rPr>
          <w:rFonts w:ascii="Arial" w:cs="Arial" w:eastAsia="Arial" w:hAnsi="Arial"/>
          <w:sz w:val="22"/>
          <w:szCs w:val="22"/>
        </w:rPr>
        <w:t xml:space="preserve">: Resection of the mid-to-lower rectum with TME, preserving the sphincter complex and fashioning a very low colorectal or coloanal anastomosis. A defunctioning loop ileostomy is routinely formed to protect the anastomosis (which is at risk of leakage given its low position and often post-radiation context). The stoma is reversed 3–6 months later if the anastomosis is intact.</w:t>
      </w:r>
    </w:p>
    <w:p>
      <w:pPr>
        <w:pStyle w:val="ListParagraph"/>
        <w:numPr>
          <w:ilvl w:val="0"/>
          <w:numId w:val="2"/>
        </w:numPr>
        <w:spacing w:after="80"/>
      </w:pPr>
      <w:r>
        <w:rPr>
          <w:rFonts w:ascii="Arial" w:cs="Arial" w:eastAsia="Arial" w:hAnsi="Arial"/>
          <w:b/>
          <w:bCs/>
          <w:sz w:val="22"/>
          <w:szCs w:val="22"/>
        </w:rPr>
        <w:t xml:space="preserve">Ultra-low anterior resection</w:t>
      </w:r>
      <w:r>
        <w:rPr>
          <w:rFonts w:ascii="Arial" w:cs="Arial" w:eastAsia="Arial" w:hAnsi="Arial"/>
          <w:sz w:val="22"/>
          <w:szCs w:val="22"/>
        </w:rPr>
        <w:t xml:space="preserve">: AR with anastomosis at or just above the dentate line; requires intersphincteric dissection.</w:t>
      </w:r>
    </w:p>
    <w:p>
      <w:pPr>
        <w:pStyle w:val="ListParagraph"/>
        <w:numPr>
          <w:ilvl w:val="0"/>
          <w:numId w:val="2"/>
        </w:numPr>
        <w:spacing w:after="80"/>
      </w:pPr>
      <w:r>
        <w:rPr>
          <w:rFonts w:ascii="Arial" w:cs="Arial" w:eastAsia="Arial" w:hAnsi="Arial"/>
          <w:b/>
          <w:bCs/>
          <w:sz w:val="22"/>
          <w:szCs w:val="22"/>
        </w:rPr>
        <w:t xml:space="preserve">APE/APER (Abdominoperineal Excision of Rectum)</w:t>
      </w:r>
      <w:r>
        <w:rPr>
          <w:rFonts w:ascii="Arial" w:cs="Arial" w:eastAsia="Arial" w:hAnsi="Arial"/>
          <w:sz w:val="22"/>
          <w:szCs w:val="22"/>
        </w:rPr>
        <w:t xml:space="preserve">: Resection of the rectum, anal canal, and sphincter complex, with a permanent end colostomy. Indicated for very low tumours involving the sphincter complex or intersphincteric plane. Standard APE involves a limited perineal dissection close to the sphincter.</w:t>
      </w:r>
    </w:p>
    <w:p>
      <w:pPr>
        <w:pStyle w:val="ListParagraph"/>
        <w:numPr>
          <w:ilvl w:val="0"/>
          <w:numId w:val="2"/>
        </w:numPr>
        <w:spacing w:after="80"/>
      </w:pPr>
      <w:r>
        <w:rPr>
          <w:rFonts w:ascii="Arial" w:cs="Arial" w:eastAsia="Arial" w:hAnsi="Arial"/>
          <w:b/>
          <w:bCs/>
          <w:sz w:val="22"/>
          <w:szCs w:val="22"/>
        </w:rPr>
        <w:t xml:space="preserve">ELAPE (Extralevator Abdominoperineal Excision)</w:t>
      </w:r>
      <w:r>
        <w:rPr>
          <w:rFonts w:ascii="Arial" w:cs="Arial" w:eastAsia="Arial" w:hAnsi="Arial"/>
          <w:sz w:val="22"/>
          <w:szCs w:val="22"/>
        </w:rPr>
        <w:t xml:space="preserve">: A modification of APE in which the entire levator ani muscle complex is included in the specimen, providing a wider, more cylindrical specimen and reducing the risk of CRM positivity and intraoperative perforation. Recommended by ACPGBI for low rectal tumours requiring APE. More complex perineal closure (often requiring myocutaneous flap) is needed.</w:t>
      </w:r>
    </w:p>
    <w:p>
      <w:pPr>
        <w:pStyle w:val="ListParagraph"/>
        <w:numPr>
          <w:ilvl w:val="0"/>
          <w:numId w:val="2"/>
        </w:numPr>
        <w:spacing w:after="80"/>
      </w:pPr>
      <w:r>
        <w:rPr>
          <w:rFonts w:ascii="Arial" w:cs="Arial" w:eastAsia="Arial" w:hAnsi="Arial"/>
          <w:b/>
          <w:bCs/>
          <w:sz w:val="22"/>
          <w:szCs w:val="22"/>
        </w:rPr>
        <w:t xml:space="preserve">Hartmann's procedure (rectal)</w:t>
      </w:r>
      <w:r>
        <w:rPr>
          <w:rFonts w:ascii="Arial" w:cs="Arial" w:eastAsia="Arial" w:hAnsi="Arial"/>
          <w:sz w:val="22"/>
          <w:szCs w:val="22"/>
        </w:rPr>
        <w:t xml:space="preserve">: As above; applicable for upper/mid rectal tumours in emergency or unfit patients.</w:t>
      </w:r>
    </w:p>
    <w:p>
      <w:pPr>
        <w:pStyle w:val="ListParagraph"/>
        <w:numPr>
          <w:ilvl w:val="0"/>
          <w:numId w:val="2"/>
        </w:numPr>
        <w:spacing w:after="80"/>
      </w:pPr>
      <w:r>
        <w:rPr>
          <w:rFonts w:ascii="Arial" w:cs="Arial" w:eastAsia="Arial" w:hAnsi="Arial"/>
          <w:b/>
          <w:bCs/>
          <w:sz w:val="22"/>
          <w:szCs w:val="22"/>
        </w:rPr>
        <w:t xml:space="preserve">TEM (Transanal Endoscopic Microsurgery)</w:t>
      </w:r>
      <w:r>
        <w:rPr>
          <w:rFonts w:ascii="Arial" w:cs="Arial" w:eastAsia="Arial" w:hAnsi="Arial"/>
          <w:sz w:val="22"/>
          <w:szCs w:val="22"/>
        </w:rPr>
        <w:t xml:space="preserve">: A minimally invasive technique using a rigid operating rectoscope to perform full-thickness local excision of early rectal cancers (T1 sm1, selected T1 sm2) or large polyps with suspected malignancy that cannot be removed endoscopically. Avoids major laparotomy in carefully selected early lesions.</w:t>
      </w:r>
    </w:p>
    <w:p>
      <w:pPr>
        <w:pStyle w:val="ListParagraph"/>
        <w:numPr>
          <w:ilvl w:val="0"/>
          <w:numId w:val="2"/>
        </w:numPr>
        <w:spacing w:after="80"/>
      </w:pPr>
      <w:r>
        <w:rPr>
          <w:rFonts w:ascii="Arial" w:cs="Arial" w:eastAsia="Arial" w:hAnsi="Arial"/>
          <w:b/>
          <w:bCs/>
          <w:sz w:val="22"/>
          <w:szCs w:val="22"/>
        </w:rPr>
        <w:t xml:space="preserve">TAMIS (Transanal Minimally Invasive Surgery)</w:t>
      </w:r>
      <w:r>
        <w:rPr>
          <w:rFonts w:ascii="Arial" w:cs="Arial" w:eastAsia="Arial" w:hAnsi="Arial"/>
          <w:sz w:val="22"/>
          <w:szCs w:val="22"/>
        </w:rPr>
        <w:t xml:space="preserve">: A newer technique using standard laparoscopic equipment through a transanal port (e.g. GelPOINT Path). Functionally similar to TEM but with different equipment. Increasingly used as it requires less specialised equipment.</w:t>
      </w:r>
    </w:p>
    <w:p>
      <w:pPr>
        <w:pStyle w:val="ListParagraph"/>
        <w:numPr>
          <w:ilvl w:val="0"/>
          <w:numId w:val="2"/>
        </w:numPr>
        <w:spacing w:after="80"/>
      </w:pPr>
      <w:r>
        <w:rPr>
          <w:rFonts w:ascii="Arial" w:cs="Arial" w:eastAsia="Arial" w:hAnsi="Arial"/>
          <w:b/>
          <w:bCs/>
          <w:sz w:val="22"/>
          <w:szCs w:val="22"/>
        </w:rPr>
        <w:t xml:space="preserve">Papillon (Contact radiotherapy / Endocavitary Radiation)</w:t>
      </w:r>
      <w:r>
        <w:rPr>
          <w:rFonts w:ascii="Arial" w:cs="Arial" w:eastAsia="Arial" w:hAnsi="Arial"/>
          <w:sz w:val="22"/>
          <w:szCs w:val="22"/>
        </w:rPr>
        <w:t xml:space="preserve">: See Section 6.2. Often discussed alongside TEM/TAMIS as a local treatment option for very early rectal tumours in patients unfit for or declining major surgery.</w:t>
      </w:r>
    </w:p>
    <w:p>
      <w:pPr>
        <w:pStyle w:val="ListParagraph"/>
        <w:numPr>
          <w:ilvl w:val="0"/>
          <w:numId w:val="2"/>
        </w:numPr>
        <w:spacing w:after="80"/>
      </w:pPr>
      <w:r>
        <w:rPr>
          <w:rFonts w:ascii="Arial" w:cs="Arial" w:eastAsia="Arial" w:hAnsi="Arial"/>
          <w:b/>
          <w:bCs/>
          <w:sz w:val="22"/>
          <w:szCs w:val="22"/>
        </w:rPr>
        <w:t xml:space="preserve">Defunctioning stoma</w:t>
      </w:r>
      <w:r>
        <w:rPr>
          <w:rFonts w:ascii="Arial" w:cs="Arial" w:eastAsia="Arial" w:hAnsi="Arial"/>
          <w:sz w:val="22"/>
          <w:szCs w:val="22"/>
        </w:rPr>
        <w:t xml:space="preserve">: A loop ileostomy or loop colostomy created to divert intestinal contents away from a distal anastomosis, reducing the consequences of anastomotic leak. Planned reversal occurs after confirmation of anastomotic integrity (water-soluble enema or flexible sigmoidoscopy), usually at 3–6 months post-operatively.</w:t>
      </w:r>
    </w:p>
    <w:p>
      <w:pPr>
        <w:pStyle w:val="Heading3"/>
        <w:spacing w:before="240" w:after="120"/>
      </w:pPr>
      <w:r>
        <w:rPr>
          <w:rFonts w:ascii="Arial" w:cs="Arial" w:eastAsia="Arial" w:hAnsi="Arial"/>
          <w:b/>
          <w:bCs/>
          <w:sz w:val="26"/>
          <w:szCs w:val="26"/>
        </w:rPr>
        <w:t xml:space="preserve">Surgical Concepts for MDT Data</w:t>
      </w:r>
    </w:p>
    <w:p>
      <w:pPr>
        <w:spacing w:after="120"/>
      </w:pPr>
      <w:r>
        <w:rPr>
          <w:rFonts w:ascii="Arial" w:cs="Arial" w:eastAsia="Arial" w:hAnsi="Arial"/>
          <w:b/>
          <w:bCs/>
          <w:sz w:val="22"/>
          <w:szCs w:val="22"/>
        </w:rPr>
        <w:t xml:space="preserve">'Refer for surgical review'</w:t>
      </w:r>
      <w:r>
        <w:rPr>
          <w:rFonts w:ascii="Arial" w:cs="Arial" w:eastAsia="Arial" w:hAnsi="Arial"/>
          <w:sz w:val="22"/>
          <w:szCs w:val="22"/>
        </w:rPr>
        <w:t xml:space="preserve">: Used when the MDT recommends that the patient be assessed by a specific surgeon before a definitive plan is made — for example, a hepatobiliary surgeon for potential liver resection, or a gynaecology oncology surgeon for a rectal tumour invading the uterus.</w:t>
      </w:r>
    </w:p>
    <w:p>
      <w:pPr>
        <w:spacing w:after="120"/>
      </w:pPr>
      <w:r>
        <w:rPr>
          <w:rFonts w:ascii="Arial" w:cs="Arial" w:eastAsia="Arial" w:hAnsi="Arial"/>
          <w:b/>
          <w:bCs/>
          <w:sz w:val="22"/>
          <w:szCs w:val="22"/>
        </w:rPr>
        <w:t xml:space="preserve">Endoscopic tattoo before surgery</w:t>
      </w:r>
      <w:r>
        <w:rPr>
          <w:rFonts w:ascii="Arial" w:cs="Arial" w:eastAsia="Arial" w:hAnsi="Arial"/>
          <w:sz w:val="22"/>
          <w:szCs w:val="22"/>
        </w:rPr>
        <w:t xml:space="preserve">: The MDT (or the surgeon) requests that the endoscopist tattoos the site of a small tumour or polyp (particularly in the right colon) so that the surgeon can find it during laparoscopy. Without a tattoo, a small right-sided lesion may be very difficult to locate from the serosal surface.</w:t>
      </w:r>
    </w:p>
    <w:p>
      <w:pPr>
        <w:spacing w:after="80"/>
      </w:pPr>
      <w:r>
        <w:t xml:space="preserve"/>
      </w:r>
    </w:p>
    <w:p>
      <w:pPr>
        <w:pStyle w:val="Heading2"/>
        <w:spacing w:before="280" w:after="160"/>
      </w:pPr>
      <w:r>
        <w:rPr>
          <w:rFonts w:ascii="Arial" w:cs="Arial" w:eastAsia="Arial" w:hAnsi="Arial"/>
          <w:b/>
          <w:bCs/>
          <w:sz w:val="28"/>
          <w:szCs w:val="28"/>
        </w:rPr>
        <w:t xml:space="preserve">6.2 Radiotherapy</w:t>
      </w:r>
    </w:p>
    <w:p>
      <w:pPr>
        <w:pStyle w:val="Heading3"/>
        <w:spacing w:before="240" w:after="120"/>
      </w:pPr>
      <w:r>
        <w:rPr>
          <w:rFonts w:ascii="Arial" w:cs="Arial" w:eastAsia="Arial" w:hAnsi="Arial"/>
          <w:b/>
          <w:bCs/>
          <w:sz w:val="26"/>
          <w:szCs w:val="26"/>
        </w:rPr>
        <w:t xml:space="preserve">Long-Course CRT (Chemoradiotherapy)</w:t>
      </w:r>
    </w:p>
    <w:p>
      <w:pPr>
        <w:spacing w:after="120"/>
      </w:pPr>
      <w:r>
        <w:rPr>
          <w:rFonts w:ascii="Arial" w:cs="Arial" w:eastAsia="Arial" w:hAnsi="Arial"/>
          <w:b/>
          <w:bCs/>
          <w:sz w:val="22"/>
          <w:szCs w:val="22"/>
        </w:rPr>
        <w:t xml:space="preserve">Long-course CRT</w:t>
      </w:r>
      <w:r>
        <w:rPr>
          <w:rFonts w:ascii="Arial" w:cs="Arial" w:eastAsia="Arial" w:hAnsi="Arial"/>
          <w:sz w:val="22"/>
          <w:szCs w:val="22"/>
        </w:rPr>
        <w:t xml:space="preserve">: 45–50.4 Gy delivered in 25–28 daily fractions over 5 weeks, with concurrent oral </w:t>
      </w:r>
      <w:r>
        <w:rPr>
          <w:rFonts w:ascii="Arial" w:cs="Arial" w:eastAsia="Arial" w:hAnsi="Arial"/>
          <w:b/>
          <w:bCs/>
          <w:sz w:val="22"/>
          <w:szCs w:val="22"/>
        </w:rPr>
        <w:t xml:space="preserve">capecitabine</w:t>
      </w:r>
      <w:r>
        <w:rPr>
          <w:rFonts w:ascii="Arial" w:cs="Arial" w:eastAsia="Arial" w:hAnsi="Arial"/>
          <w:sz w:val="22"/>
          <w:szCs w:val="22"/>
        </w:rPr>
        <w:t xml:space="preserve"> (a fluoropyrimidine prodrug) taken on radiotherapy days. Capecitabine acts as a radiosensitiser, enhancing tumour cell kill. After completion of CRT, surgery is typically deferred for 6–8 weeks to allow maximal tumour response and recovery of normal tissues.</w:t>
      </w:r>
    </w:p>
    <w:p>
      <w:pPr>
        <w:spacing w:after="120"/>
      </w:pPr>
      <w:r>
        <w:rPr>
          <w:rFonts w:ascii="Arial" w:cs="Arial" w:eastAsia="Arial" w:hAnsi="Arial"/>
          <w:sz w:val="22"/>
          <w:szCs w:val="22"/>
        </w:rPr>
        <w:t xml:space="preserve">Indications for long-course CRT in rectal cancer:</w:t>
      </w:r>
    </w:p>
    <w:p>
      <w:pPr>
        <w:pStyle w:val="ListParagraph"/>
        <w:numPr>
          <w:ilvl w:val="0"/>
          <w:numId w:val="2"/>
        </w:numPr>
        <w:spacing w:after="80"/>
      </w:pPr>
      <w:r>
        <w:rPr>
          <w:rFonts w:ascii="Arial" w:cs="Arial" w:eastAsia="Arial" w:hAnsi="Arial"/>
          <w:sz w:val="22"/>
          <w:szCs w:val="22"/>
        </w:rPr>
        <w:t xml:space="preserve">mrCRM threatened or involved</w:t>
      </w:r>
    </w:p>
    <w:p>
      <w:pPr>
        <w:pStyle w:val="ListParagraph"/>
        <w:numPr>
          <w:ilvl w:val="0"/>
          <w:numId w:val="2"/>
        </w:numPr>
        <w:spacing w:after="80"/>
      </w:pPr>
      <w:r>
        <w:rPr>
          <w:rFonts w:ascii="Arial" w:cs="Arial" w:eastAsia="Arial" w:hAnsi="Arial"/>
          <w:sz w:val="22"/>
          <w:szCs w:val="22"/>
        </w:rPr>
        <w:t xml:space="preserve">mrT3c/T3d or T4 disease</w:t>
      </w:r>
    </w:p>
    <w:p>
      <w:pPr>
        <w:pStyle w:val="ListParagraph"/>
        <w:numPr>
          <w:ilvl w:val="0"/>
          <w:numId w:val="2"/>
        </w:numPr>
        <w:spacing w:after="80"/>
      </w:pPr>
      <w:r>
        <w:rPr>
          <w:rFonts w:ascii="Arial" w:cs="Arial" w:eastAsia="Arial" w:hAnsi="Arial"/>
          <w:sz w:val="22"/>
          <w:szCs w:val="22"/>
        </w:rPr>
        <w:t xml:space="preserve">mrEMVI positive</w:t>
      </w:r>
    </w:p>
    <w:p>
      <w:pPr>
        <w:pStyle w:val="ListParagraph"/>
        <w:numPr>
          <w:ilvl w:val="0"/>
          <w:numId w:val="2"/>
        </w:numPr>
        <w:spacing w:after="80"/>
      </w:pPr>
      <w:r>
        <w:rPr>
          <w:rFonts w:ascii="Arial" w:cs="Arial" w:eastAsia="Arial" w:hAnsi="Arial"/>
          <w:sz w:val="22"/>
          <w:szCs w:val="22"/>
        </w:rPr>
        <w:t xml:space="preserve">Low or mid rectal tumour requiring maximal response before sphincter-preserving surgery</w:t>
      </w:r>
    </w:p>
    <w:p>
      <w:pPr>
        <w:pStyle w:val="ListParagraph"/>
        <w:numPr>
          <w:ilvl w:val="0"/>
          <w:numId w:val="2"/>
        </w:numPr>
        <w:spacing w:after="80"/>
      </w:pPr>
      <w:r>
        <w:rPr>
          <w:rFonts w:ascii="Arial" w:cs="Arial" w:eastAsia="Arial" w:hAnsi="Arial"/>
          <w:sz w:val="22"/>
          <w:szCs w:val="22"/>
        </w:rPr>
        <w:t xml:space="preserve">Patients potentially eligible for Watch and Wait (to achieve maximum response)</w:t>
      </w:r>
    </w:p>
    <w:p>
      <w:pPr>
        <w:pStyle w:val="Heading3"/>
        <w:spacing w:before="240" w:after="120"/>
      </w:pPr>
      <w:r>
        <w:rPr>
          <w:rFonts w:ascii="Arial" w:cs="Arial" w:eastAsia="Arial" w:hAnsi="Arial"/>
          <w:b/>
          <w:bCs/>
          <w:sz w:val="26"/>
          <w:szCs w:val="26"/>
        </w:rPr>
        <w:t xml:space="preserve">Short-Course Radiotherapy (SCRT)</w:t>
      </w:r>
    </w:p>
    <w:p>
      <w:pPr>
        <w:spacing w:after="120"/>
      </w:pPr>
      <w:r>
        <w:rPr>
          <w:rFonts w:ascii="Arial" w:cs="Arial" w:eastAsia="Arial" w:hAnsi="Arial"/>
          <w:b/>
          <w:bCs/>
          <w:sz w:val="22"/>
          <w:szCs w:val="22"/>
        </w:rPr>
        <w:t xml:space="preserve">SCRT</w:t>
      </w:r>
      <w:r>
        <w:rPr>
          <w:rFonts w:ascii="Arial" w:cs="Arial" w:eastAsia="Arial" w:hAnsi="Arial"/>
          <w:sz w:val="22"/>
          <w:szCs w:val="22"/>
        </w:rPr>
        <w:t xml:space="preserve">: 25 Gy in 5 fractions over 1 week. Originally designed to be followed by surgery within 1 week (the Stockholm/Uppsala regimen). However, the </w:t>
      </w:r>
      <w:r>
        <w:rPr>
          <w:rFonts w:ascii="Arial" w:cs="Arial" w:eastAsia="Arial" w:hAnsi="Arial"/>
          <w:b/>
          <w:bCs/>
          <w:sz w:val="22"/>
          <w:szCs w:val="22"/>
        </w:rPr>
        <w:t xml:space="preserve">Stockholm III trial</w:t>
      </w:r>
      <w:r>
        <w:rPr>
          <w:rFonts w:ascii="Arial" w:cs="Arial" w:eastAsia="Arial" w:hAnsi="Arial"/>
          <w:sz w:val="22"/>
          <w:szCs w:val="22"/>
        </w:rPr>
        <w:t xml:space="preserve"> demonstrated that delayed surgery after SCRT (waiting 4–8 weeks) achieves greater tumour response similar to long-course CRT, with acceptable toxicity. SCRT is now widely used in the UK for operable rectal cancers that require tumour downstaging.</w:t>
      </w:r>
    </w:p>
    <w:p>
      <w:pPr>
        <w:spacing w:after="120"/>
      </w:pPr>
      <w:r>
        <w:rPr>
          <w:rFonts w:ascii="Arial" w:cs="Arial" w:eastAsia="Arial" w:hAnsi="Arial"/>
          <w:sz w:val="22"/>
          <w:szCs w:val="22"/>
        </w:rPr>
        <w:t xml:space="preserve">Advantages of SCRT over long-course CRT:</w:t>
      </w:r>
    </w:p>
    <w:p>
      <w:pPr>
        <w:pStyle w:val="ListParagraph"/>
        <w:numPr>
          <w:ilvl w:val="0"/>
          <w:numId w:val="2"/>
        </w:numPr>
        <w:spacing w:after="80"/>
      </w:pPr>
      <w:r>
        <w:rPr>
          <w:rFonts w:ascii="Arial" w:cs="Arial" w:eastAsia="Arial" w:hAnsi="Arial"/>
          <w:sz w:val="22"/>
          <w:szCs w:val="22"/>
        </w:rPr>
        <w:t xml:space="preserve">Shorter treatment course (1 week vs 5 weeks)</w:t>
      </w:r>
    </w:p>
    <w:p>
      <w:pPr>
        <w:pStyle w:val="ListParagraph"/>
        <w:numPr>
          <w:ilvl w:val="0"/>
          <w:numId w:val="2"/>
        </w:numPr>
        <w:spacing w:after="80"/>
      </w:pPr>
      <w:r>
        <w:rPr>
          <w:rFonts w:ascii="Arial" w:cs="Arial" w:eastAsia="Arial" w:hAnsi="Arial"/>
          <w:sz w:val="22"/>
          <w:szCs w:val="22"/>
        </w:rPr>
        <w:t xml:space="preserve">Lower acute toxicity</w:t>
      </w:r>
    </w:p>
    <w:p>
      <w:pPr>
        <w:pStyle w:val="ListParagraph"/>
        <w:numPr>
          <w:ilvl w:val="0"/>
          <w:numId w:val="2"/>
        </w:numPr>
        <w:spacing w:after="80"/>
      </w:pPr>
      <w:r>
        <w:rPr>
          <w:rFonts w:ascii="Arial" w:cs="Arial" w:eastAsia="Arial" w:hAnsi="Arial"/>
          <w:sz w:val="22"/>
          <w:szCs w:val="22"/>
        </w:rPr>
        <w:t xml:space="preserve">Equivalent oncological outcomes for T3 disease in recent trials</w:t>
      </w:r>
    </w:p>
    <w:p>
      <w:pPr>
        <w:pStyle w:val="ListParagraph"/>
        <w:numPr>
          <w:ilvl w:val="0"/>
          <w:numId w:val="2"/>
        </w:numPr>
        <w:spacing w:after="80"/>
      </w:pPr>
      <w:r>
        <w:rPr>
          <w:rFonts w:ascii="Arial" w:cs="Arial" w:eastAsia="Arial" w:hAnsi="Arial"/>
          <w:sz w:val="22"/>
          <w:szCs w:val="22"/>
        </w:rPr>
        <w:t xml:space="preserve">Allows earlier commencement of systemic chemotherapy in the TNT paradigm</w:t>
      </w:r>
    </w:p>
    <w:p>
      <w:pPr>
        <w:pStyle w:val="Heading3"/>
        <w:spacing w:before="240" w:after="120"/>
      </w:pPr>
      <w:r>
        <w:rPr>
          <w:rFonts w:ascii="Arial" w:cs="Arial" w:eastAsia="Arial" w:hAnsi="Arial"/>
          <w:b/>
          <w:bCs/>
          <w:sz w:val="26"/>
          <w:szCs w:val="26"/>
        </w:rPr>
        <w:t xml:space="preserve">EBRT (External Beam Radiotherapy)</w:t>
      </w:r>
    </w:p>
    <w:p>
      <w:pPr>
        <w:spacing w:after="120"/>
      </w:pPr>
      <w:r>
        <w:rPr>
          <w:rFonts w:ascii="Arial" w:cs="Arial" w:eastAsia="Arial" w:hAnsi="Arial"/>
          <w:b/>
          <w:bCs/>
          <w:sz w:val="22"/>
          <w:szCs w:val="22"/>
        </w:rPr>
        <w:t xml:space="preserve">EBRT</w:t>
      </w:r>
      <w:r>
        <w:rPr>
          <w:rFonts w:ascii="Arial" w:cs="Arial" w:eastAsia="Arial" w:hAnsi="Arial"/>
          <w:sz w:val="22"/>
          <w:szCs w:val="22"/>
        </w:rPr>
        <w:t xml:space="preserve">: The general term for radiotherapy delivered from an external source (linear accelerator, linac) as opposed to internal/contact radiotherapy. Both long-course CRT and SCRT are forms of EBRT. Modern EBRT uses </w:t>
      </w:r>
      <w:r>
        <w:rPr>
          <w:rFonts w:ascii="Arial" w:cs="Arial" w:eastAsia="Arial" w:hAnsi="Arial"/>
          <w:b/>
          <w:bCs/>
          <w:sz w:val="22"/>
          <w:szCs w:val="22"/>
        </w:rPr>
        <w:t xml:space="preserve">IMRT (Intensity Modulated Radiotherapy)</w:t>
      </w:r>
      <w:r>
        <w:rPr>
          <w:rFonts w:ascii="Arial" w:cs="Arial" w:eastAsia="Arial" w:hAnsi="Arial"/>
          <w:sz w:val="22"/>
          <w:szCs w:val="22"/>
        </w:rPr>
        <w:t xml:space="preserve"> or </w:t>
      </w:r>
      <w:r>
        <w:rPr>
          <w:rFonts w:ascii="Arial" w:cs="Arial" w:eastAsia="Arial" w:hAnsi="Arial"/>
          <w:b/>
          <w:bCs/>
          <w:sz w:val="22"/>
          <w:szCs w:val="22"/>
        </w:rPr>
        <w:t xml:space="preserve">VMAT (Volumetric Modulated Arc Therapy)</w:t>
      </w:r>
      <w:r>
        <w:rPr>
          <w:rFonts w:ascii="Arial" w:cs="Arial" w:eastAsia="Arial" w:hAnsi="Arial"/>
          <w:sz w:val="22"/>
          <w:szCs w:val="22"/>
        </w:rPr>
        <w:t xml:space="preserve"> to sculpt the dose precisely around the target volume while minimising dose to adjacent organs (bladder, bowel, sacrum).</w:t>
      </w:r>
    </w:p>
    <w:p>
      <w:pPr>
        <w:pStyle w:val="Heading3"/>
        <w:spacing w:before="240" w:after="120"/>
      </w:pPr>
      <w:r>
        <w:rPr>
          <w:rFonts w:ascii="Arial" w:cs="Arial" w:eastAsia="Arial" w:hAnsi="Arial"/>
          <w:b/>
          <w:bCs/>
          <w:sz w:val="26"/>
          <w:szCs w:val="26"/>
        </w:rPr>
        <w:t xml:space="preserve">Papillon — Contact Radiotherapy / Endocavitary Radiation</w:t>
      </w:r>
    </w:p>
    <w:p>
      <w:pPr>
        <w:spacing w:after="120"/>
      </w:pPr>
      <w:r>
        <w:rPr>
          <w:rFonts w:ascii="Arial" w:cs="Arial" w:eastAsia="Arial" w:hAnsi="Arial"/>
          <w:b/>
          <w:bCs/>
          <w:sz w:val="22"/>
          <w:szCs w:val="22"/>
        </w:rPr>
        <w:t xml:space="preserve">Papillon</w:t>
      </w:r>
      <w:r>
        <w:rPr>
          <w:rFonts w:ascii="Arial" w:cs="Arial" w:eastAsia="Arial" w:hAnsi="Arial"/>
          <w:sz w:val="22"/>
          <w:szCs w:val="22"/>
        </w:rPr>
        <w:t xml:space="preserve">: A technique of endocavitary contact radiotherapy in which a radiation source is applied directly to a small rectal tumour via a proctoscope, delivering a very high dose to the tumour surface with rapid dose fall-off. Available at a limited number of specialist centres in the UK. Suitable for small, early rectal tumours (&lt;3 cm, accessible in the lower/mid rectum). Often used in combination with EBRT for organ-preserving treatment of early rectal cancer in patients who are unfit for or decline major surgery. The </w:t>
      </w:r>
      <w:r>
        <w:rPr>
          <w:rFonts w:ascii="Arial" w:cs="Arial" w:eastAsia="Arial" w:hAnsi="Arial"/>
          <w:b/>
          <w:bCs/>
          <w:sz w:val="22"/>
          <w:szCs w:val="22"/>
        </w:rPr>
        <w:t xml:space="preserve">OPERA trial</w:t>
      </w:r>
      <w:r>
        <w:rPr>
          <w:rFonts w:ascii="Arial" w:cs="Arial" w:eastAsia="Arial" w:hAnsi="Arial"/>
          <w:sz w:val="22"/>
          <w:szCs w:val="22"/>
        </w:rPr>
        <w:t xml:space="preserve"> compared EBRT + contact radiotherapy vs EBRT alone and showed improved organ preservation with the combined approach.</w:t>
      </w:r>
    </w:p>
    <w:p>
      <w:pPr>
        <w:pStyle w:val="Heading3"/>
        <w:spacing w:before="240" w:after="120"/>
      </w:pPr>
      <w:r>
        <w:rPr>
          <w:rFonts w:ascii="Arial" w:cs="Arial" w:eastAsia="Arial" w:hAnsi="Arial"/>
          <w:b/>
          <w:bCs/>
          <w:sz w:val="26"/>
          <w:szCs w:val="26"/>
        </w:rPr>
        <w:t xml:space="preserve">Response to Radiotherapy</w:t>
      </w:r>
    </w:p>
    <w:p>
      <w:pPr>
        <w:pStyle w:val="ListParagraph"/>
        <w:numPr>
          <w:ilvl w:val="0"/>
          <w:numId w:val="2"/>
        </w:numPr>
        <w:spacing w:after="80"/>
      </w:pPr>
      <w:r>
        <w:rPr>
          <w:rFonts w:ascii="Arial" w:cs="Arial" w:eastAsia="Arial" w:hAnsi="Arial"/>
          <w:b/>
          <w:bCs/>
          <w:sz w:val="22"/>
          <w:szCs w:val="22"/>
        </w:rPr>
        <w:t xml:space="preserve">Complete response (CR) / Complete Clinical Response (cCR)</w:t>
      </w:r>
      <w:r>
        <w:rPr>
          <w:rFonts w:ascii="Arial" w:cs="Arial" w:eastAsia="Arial" w:hAnsi="Arial"/>
          <w:sz w:val="22"/>
          <w:szCs w:val="22"/>
        </w:rPr>
        <w:t xml:space="preserve">: No residual tumour detectable clinically, endoscopically, or on MRI/DWI after treatment.</w:t>
      </w:r>
    </w:p>
    <w:p>
      <w:pPr>
        <w:pStyle w:val="ListParagraph"/>
        <w:numPr>
          <w:ilvl w:val="0"/>
          <w:numId w:val="2"/>
        </w:numPr>
        <w:spacing w:after="80"/>
      </w:pPr>
      <w:r>
        <w:rPr>
          <w:rFonts w:ascii="Arial" w:cs="Arial" w:eastAsia="Arial" w:hAnsi="Arial"/>
          <w:b/>
          <w:bCs/>
          <w:sz w:val="22"/>
          <w:szCs w:val="22"/>
        </w:rPr>
        <w:t xml:space="preserve">Near-complete response (nCR)</w:t>
      </w:r>
      <w:r>
        <w:rPr>
          <w:rFonts w:ascii="Arial" w:cs="Arial" w:eastAsia="Arial" w:hAnsi="Arial"/>
          <w:sz w:val="22"/>
          <w:szCs w:val="22"/>
        </w:rPr>
        <w:t xml:space="preserve">: Minimal residual abnormality on MRI/endoscopy with high suspicion of complete response; requires close surveillance.</w:t>
      </w:r>
    </w:p>
    <w:p>
      <w:pPr>
        <w:pStyle w:val="ListParagraph"/>
        <w:numPr>
          <w:ilvl w:val="0"/>
          <w:numId w:val="2"/>
        </w:numPr>
        <w:spacing w:after="80"/>
      </w:pPr>
      <w:r>
        <w:rPr>
          <w:rFonts w:ascii="Arial" w:cs="Arial" w:eastAsia="Arial" w:hAnsi="Arial"/>
          <w:b/>
          <w:bCs/>
          <w:sz w:val="22"/>
          <w:szCs w:val="22"/>
        </w:rPr>
        <w:t xml:space="preserve">Partial response (PR)</w:t>
      </w:r>
      <w:r>
        <w:rPr>
          <w:rFonts w:ascii="Arial" w:cs="Arial" w:eastAsia="Arial" w:hAnsi="Arial"/>
          <w:sz w:val="22"/>
          <w:szCs w:val="22"/>
        </w:rPr>
        <w:t xml:space="preserve">: Tumour has shrunk significantly but residual tumour is present; surgery proceeds.</w:t>
      </w:r>
    </w:p>
    <w:p>
      <w:pPr>
        <w:pStyle w:val="ListParagraph"/>
        <w:numPr>
          <w:ilvl w:val="0"/>
          <w:numId w:val="2"/>
        </w:numPr>
        <w:spacing w:after="80"/>
      </w:pPr>
      <w:r>
        <w:rPr>
          <w:rFonts w:ascii="Arial" w:cs="Arial" w:eastAsia="Arial" w:hAnsi="Arial"/>
          <w:b/>
          <w:bCs/>
          <w:sz w:val="22"/>
          <w:szCs w:val="22"/>
        </w:rPr>
        <w:t xml:space="preserve">No response / progressive disease</w:t>
      </w:r>
      <w:r>
        <w:rPr>
          <w:rFonts w:ascii="Arial" w:cs="Arial" w:eastAsia="Arial" w:hAnsi="Arial"/>
          <w:sz w:val="22"/>
          <w:szCs w:val="22"/>
        </w:rPr>
        <w:t xml:space="preserve">: Tumour unchanged or growing despite treatment; systemic chemotherapy, salvage options, or palliative pathway.</w:t>
      </w:r>
    </w:p>
    <w:p>
      <w:pPr>
        <w:pStyle w:val="Heading3"/>
        <w:spacing w:before="240" w:after="120"/>
      </w:pPr>
      <w:r>
        <w:rPr>
          <w:rFonts w:ascii="Arial" w:cs="Arial" w:eastAsia="Arial" w:hAnsi="Arial"/>
          <w:b/>
          <w:bCs/>
          <w:sz w:val="26"/>
          <w:szCs w:val="26"/>
        </w:rPr>
        <w:t xml:space="preserve">Watch and Wait (W&amp;W)</w:t>
      </w:r>
    </w:p>
    <w:p>
      <w:pPr>
        <w:spacing w:after="120"/>
      </w:pPr>
      <w:r>
        <w:rPr>
          <w:rFonts w:ascii="Arial" w:cs="Arial" w:eastAsia="Arial" w:hAnsi="Arial"/>
          <w:b/>
          <w:bCs/>
          <w:sz w:val="22"/>
          <w:szCs w:val="22"/>
        </w:rPr>
        <w:t xml:space="preserve">Watch and Wait (W&amp;W)</w:t>
      </w:r>
      <w:r>
        <w:rPr>
          <w:rFonts w:ascii="Arial" w:cs="Arial" w:eastAsia="Arial" w:hAnsi="Arial"/>
          <w:sz w:val="22"/>
          <w:szCs w:val="22"/>
        </w:rPr>
        <w:t xml:space="preserve">: A strategy of active surveillance rather than immediate surgery for rectal cancer patients who achieve a </w:t>
      </w:r>
      <w:r>
        <w:rPr>
          <w:rFonts w:ascii="Arial" w:cs="Arial" w:eastAsia="Arial" w:hAnsi="Arial"/>
          <w:b/>
          <w:bCs/>
          <w:sz w:val="22"/>
          <w:szCs w:val="22"/>
        </w:rPr>
        <w:t xml:space="preserve">complete clinical response (cCR)</w:t>
      </w:r>
      <w:r>
        <w:rPr>
          <w:rFonts w:ascii="Arial" w:cs="Arial" w:eastAsia="Arial" w:hAnsi="Arial"/>
          <w:sz w:val="22"/>
          <w:szCs w:val="22"/>
        </w:rPr>
        <w:t xml:space="preserve"> after neoadjuvant CRT. Pioneered by Habr-Gama in Brazil; validated by the International Watch and Wait Database (IWWD).</w:t>
      </w:r>
    </w:p>
    <w:p>
      <w:pPr>
        <w:spacing w:after="120"/>
      </w:pPr>
      <w:r>
        <w:rPr>
          <w:rFonts w:ascii="Arial" w:cs="Arial" w:eastAsia="Arial" w:hAnsi="Arial"/>
          <w:sz w:val="22"/>
          <w:szCs w:val="22"/>
        </w:rPr>
        <w:t xml:space="preserve">Criteria for W&amp;W (approximate — individual centres may vary):</w:t>
      </w:r>
    </w:p>
    <w:p>
      <w:pPr>
        <w:pStyle w:val="ListParagraph"/>
        <w:numPr>
          <w:ilvl w:val="0"/>
          <w:numId w:val="2"/>
        </w:numPr>
        <w:spacing w:after="80"/>
      </w:pPr>
      <w:r>
        <w:rPr>
          <w:rFonts w:ascii="Arial" w:cs="Arial" w:eastAsia="Arial" w:hAnsi="Arial"/>
          <w:sz w:val="22"/>
          <w:szCs w:val="22"/>
        </w:rPr>
        <w:t xml:space="preserve">Complete endoscopic response — no visible tumour, white flat scar, mucosal regrowth, telangiectasia</w:t>
      </w:r>
    </w:p>
    <w:p>
      <w:pPr>
        <w:pStyle w:val="ListParagraph"/>
        <w:numPr>
          <w:ilvl w:val="0"/>
          <w:numId w:val="2"/>
        </w:numPr>
        <w:spacing w:after="80"/>
      </w:pPr>
      <w:r>
        <w:rPr>
          <w:rFonts w:ascii="Arial" w:cs="Arial" w:eastAsia="Arial" w:hAnsi="Arial"/>
          <w:sz w:val="22"/>
          <w:szCs w:val="22"/>
        </w:rPr>
        <w:t xml:space="preserve">MRI showing mrTRG 1 or 2 — predominantly fibrotic signal with no residual tumour</w:t>
      </w:r>
    </w:p>
    <w:p>
      <w:pPr>
        <w:pStyle w:val="ListParagraph"/>
        <w:numPr>
          <w:ilvl w:val="0"/>
          <w:numId w:val="2"/>
        </w:numPr>
        <w:spacing w:after="80"/>
      </w:pPr>
      <w:r>
        <w:rPr>
          <w:rFonts w:ascii="Arial" w:cs="Arial" w:eastAsia="Arial" w:hAnsi="Arial"/>
          <w:sz w:val="22"/>
          <w:szCs w:val="22"/>
        </w:rPr>
        <w:t xml:space="preserve">Normal CEA</w:t>
      </w:r>
    </w:p>
    <w:p>
      <w:pPr>
        <w:pStyle w:val="ListParagraph"/>
        <w:numPr>
          <w:ilvl w:val="0"/>
          <w:numId w:val="2"/>
        </w:numPr>
        <w:spacing w:after="80"/>
      </w:pPr>
      <w:r>
        <w:rPr>
          <w:rFonts w:ascii="Arial" w:cs="Arial" w:eastAsia="Arial" w:hAnsi="Arial"/>
          <w:sz w:val="22"/>
          <w:szCs w:val="22"/>
        </w:rPr>
        <w:t xml:space="preserve">Absence of suspicious lymph nodes on MRI</w:t>
      </w:r>
    </w:p>
    <w:p>
      <w:pPr>
        <w:pStyle w:val="ListParagraph"/>
        <w:numPr>
          <w:ilvl w:val="0"/>
          <w:numId w:val="2"/>
        </w:numPr>
        <w:spacing w:after="80"/>
      </w:pPr>
      <w:r>
        <w:rPr>
          <w:rFonts w:ascii="Arial" w:cs="Arial" w:eastAsia="Arial" w:hAnsi="Arial"/>
          <w:sz w:val="22"/>
          <w:szCs w:val="22"/>
        </w:rPr>
        <w:t xml:space="preserve">Patient able and willing to comply with intensive surveillance</w:t>
      </w:r>
    </w:p>
    <w:p>
      <w:pPr>
        <w:spacing w:after="80"/>
      </w:pPr>
      <w:r>
        <w:t xml:space="preserve"/>
      </w:r>
    </w:p>
    <w:p>
      <w:pPr>
        <w:spacing w:after="120"/>
      </w:pPr>
      <w:r>
        <w:rPr>
          <w:rFonts w:ascii="Arial" w:cs="Arial" w:eastAsia="Arial" w:hAnsi="Arial"/>
          <w:b/>
          <w:bCs/>
          <w:sz w:val="22"/>
          <w:szCs w:val="22"/>
        </w:rPr>
        <w:t xml:space="preserve">Surveillance protocol</w:t>
      </w:r>
      <w:r>
        <w:rPr>
          <w:rFonts w:ascii="Arial" w:cs="Arial" w:eastAsia="Arial" w:hAnsi="Arial"/>
          <w:sz w:val="22"/>
          <w:szCs w:val="22"/>
        </w:rPr>
        <w:t xml:space="preserve">: Intensive follow-up with clinical examination, rigid sigmoidoscopy + endoscopy, CEA, and MRI pelvis at regular intervals (e.g. every 3 months for 2 years, then less frequently). Surgery is offered immediately if regrowth is detected ('salvage surgery').</w:t>
      </w:r>
    </w:p>
    <w:p>
      <w:pPr>
        <w:spacing w:after="120"/>
      </w:pPr>
      <w:r>
        <w:rPr>
          <w:rFonts w:ascii="Arial" w:cs="Arial" w:eastAsia="Arial" w:hAnsi="Arial"/>
          <w:b/>
          <w:bCs/>
          <w:sz w:val="22"/>
          <w:szCs w:val="22"/>
        </w:rPr>
        <w:t xml:space="preserve">Risks of W&amp;W</w:t>
      </w:r>
      <w:r>
        <w:rPr>
          <w:rFonts w:ascii="Arial" w:cs="Arial" w:eastAsia="Arial" w:hAnsi="Arial"/>
          <w:sz w:val="22"/>
          <w:szCs w:val="22"/>
        </w:rPr>
        <w:t xml:space="preserve">: Local regrowth occurs in approximately 25% of patients at 2 years and in up to 35–40% by 5 years. The majority (&gt;90%) of regrowths are detected at an early, salvageable stage. About 8% of W&amp;W patients develop distant metastases, similar to or slightly better than matched surgical patients.</w:t>
      </w:r>
    </w:p>
    <w:p>
      <w:pPr>
        <w:spacing w:after="120"/>
      </w:pPr>
      <w:r>
        <w:rPr>
          <w:rFonts w:ascii="Arial" w:cs="Arial" w:eastAsia="Arial" w:hAnsi="Arial"/>
          <w:sz w:val="22"/>
          <w:szCs w:val="22"/>
        </w:rPr>
        <w:t xml:space="preserve">W&amp;W is now an established, guideline-endorsed option (NICE, ESMO) for selected patients achieving cCR after neoadjuvant treatment, particularly for patients who would otherwise require a permanent stoma (APE).</w:t>
      </w:r>
    </w:p>
    <w:p>
      <w:pPr>
        <w:spacing w:after="80"/>
      </w:pPr>
      <w:r>
        <w:t xml:space="preserve"/>
      </w:r>
    </w:p>
    <w:p>
      <w:pPr>
        <w:pStyle w:val="Heading2"/>
        <w:spacing w:before="280" w:after="160"/>
      </w:pPr>
      <w:r>
        <w:rPr>
          <w:rFonts w:ascii="Arial" w:cs="Arial" w:eastAsia="Arial" w:hAnsi="Arial"/>
          <w:b/>
          <w:bCs/>
          <w:sz w:val="28"/>
          <w:szCs w:val="28"/>
        </w:rPr>
        <w:t xml:space="preserve">6.3 Chemotherapy</w:t>
      </w:r>
    </w:p>
    <w:p>
      <w:pPr>
        <w:pStyle w:val="Heading3"/>
        <w:spacing w:before="240" w:after="120"/>
      </w:pPr>
      <w:r>
        <w:rPr>
          <w:rFonts w:ascii="Arial" w:cs="Arial" w:eastAsia="Arial" w:hAnsi="Arial"/>
          <w:b/>
          <w:bCs/>
          <w:sz w:val="26"/>
          <w:szCs w:val="26"/>
        </w:rPr>
        <w:t xml:space="preserve">FOXTROT Trial and FOXTROT Regimen</w:t>
      </w:r>
    </w:p>
    <w:p>
      <w:pPr>
        <w:spacing w:after="120"/>
      </w:pPr>
      <w:r>
        <w:rPr>
          <w:rFonts w:ascii="Arial" w:cs="Arial" w:eastAsia="Arial" w:hAnsi="Arial"/>
          <w:b/>
          <w:bCs/>
          <w:sz w:val="22"/>
          <w:szCs w:val="22"/>
        </w:rPr>
        <w:t xml:space="preserve">FOXTROT</w:t>
      </w:r>
      <w:r>
        <w:rPr>
          <w:rFonts w:ascii="Arial" w:cs="Arial" w:eastAsia="Arial" w:hAnsi="Arial"/>
          <w:sz w:val="22"/>
          <w:szCs w:val="22"/>
        </w:rPr>
        <w:t xml:space="preserve">: Fluoropyrimidine, Oxaliplatin and Targeted Receptor pre-Operative Therapy for colon cancer. A UK multicentre randomised controlled trial (ISRCTN87163246) that investigated </w:t>
      </w:r>
      <w:r>
        <w:rPr>
          <w:rFonts w:ascii="Arial" w:cs="Arial" w:eastAsia="Arial" w:hAnsi="Arial"/>
          <w:b/>
          <w:bCs/>
          <w:sz w:val="22"/>
          <w:szCs w:val="22"/>
        </w:rPr>
        <w:t xml:space="preserve">neoadjuvant (pre-operative) chemotherapy for locally advanced colon cancer</w:t>
      </w:r>
      <w:r>
        <w:rPr>
          <w:rFonts w:ascii="Arial" w:cs="Arial" w:eastAsia="Arial" w:hAnsi="Arial"/>
          <w:sz w:val="22"/>
          <w:szCs w:val="22"/>
        </w:rPr>
        <w:t xml:space="preserve">. Published in The Lancet Oncology in 2020.</w:t>
      </w:r>
    </w:p>
    <w:p>
      <w:pPr>
        <w:spacing w:after="120"/>
      </w:pPr>
      <w:r>
        <w:rPr>
          <w:rFonts w:ascii="Arial" w:cs="Arial" w:eastAsia="Arial" w:hAnsi="Arial"/>
          <w:sz w:val="22"/>
          <w:szCs w:val="22"/>
        </w:rPr>
        <w:t xml:space="preserve">The FOXTROT regimen:</w:t>
      </w:r>
    </w:p>
    <w:p>
      <w:pPr>
        <w:pStyle w:val="ListParagraph"/>
        <w:numPr>
          <w:ilvl w:val="0"/>
          <w:numId w:val="2"/>
        </w:numPr>
        <w:spacing w:after="80"/>
      </w:pPr>
      <w:r>
        <w:rPr>
          <w:rFonts w:ascii="Arial" w:cs="Arial" w:eastAsia="Arial" w:hAnsi="Arial"/>
          <w:sz w:val="22"/>
          <w:szCs w:val="22"/>
        </w:rPr>
        <w:t xml:space="preserve">3 cycles of FOLFOX (or CAPOX) before surgery</w:t>
      </w:r>
    </w:p>
    <w:p>
      <w:pPr>
        <w:pStyle w:val="ListParagraph"/>
        <w:numPr>
          <w:ilvl w:val="0"/>
          <w:numId w:val="2"/>
        </w:numPr>
        <w:spacing w:after="80"/>
      </w:pPr>
      <w:r>
        <w:rPr>
          <w:rFonts w:ascii="Arial" w:cs="Arial" w:eastAsia="Arial" w:hAnsi="Arial"/>
          <w:sz w:val="22"/>
          <w:szCs w:val="22"/>
        </w:rPr>
        <w:t xml:space="preserve">9 cycles of FOLFOX (or CAPOX) after surgery</w:t>
      </w:r>
    </w:p>
    <w:p>
      <w:pPr>
        <w:spacing w:after="120"/>
      </w:pPr>
      <w:r>
        <w:rPr>
          <w:rFonts w:ascii="Arial" w:cs="Arial" w:eastAsia="Arial" w:hAnsi="Arial"/>
          <w:sz w:val="22"/>
          <w:szCs w:val="22"/>
        </w:rPr>
        <w:t xml:space="preserve">Key findings:</w:t>
      </w:r>
    </w:p>
    <w:p>
      <w:pPr>
        <w:pStyle w:val="ListParagraph"/>
        <w:numPr>
          <w:ilvl w:val="0"/>
          <w:numId w:val="2"/>
        </w:numPr>
        <w:spacing w:after="80"/>
      </w:pPr>
      <w:r>
        <w:rPr>
          <w:rFonts w:ascii="Arial" w:cs="Arial" w:eastAsia="Arial" w:hAnsi="Arial"/>
          <w:sz w:val="22"/>
          <w:szCs w:val="22"/>
        </w:rPr>
        <w:t xml:space="preserve">Neoadjuvant FOLFOX significantly reduced T4 and pN2 disease</w:t>
      </w:r>
    </w:p>
    <w:p>
      <w:pPr>
        <w:pStyle w:val="ListParagraph"/>
        <w:numPr>
          <w:ilvl w:val="0"/>
          <w:numId w:val="2"/>
        </w:numPr>
        <w:spacing w:after="80"/>
      </w:pPr>
      <w:r>
        <w:rPr>
          <w:rFonts w:ascii="Arial" w:cs="Arial" w:eastAsia="Arial" w:hAnsi="Arial"/>
          <w:sz w:val="22"/>
          <w:szCs w:val="22"/>
        </w:rPr>
        <w:t xml:space="preserve">Reduced margin positivity and incomplete resections</w:t>
      </w:r>
    </w:p>
    <w:p>
      <w:pPr>
        <w:pStyle w:val="ListParagraph"/>
        <w:numPr>
          <w:ilvl w:val="0"/>
          <w:numId w:val="2"/>
        </w:numPr>
        <w:spacing w:after="80"/>
      </w:pPr>
      <w:r>
        <w:rPr>
          <w:rFonts w:ascii="Arial" w:cs="Arial" w:eastAsia="Arial" w:hAnsi="Arial"/>
          <w:sz w:val="22"/>
          <w:szCs w:val="22"/>
        </w:rPr>
        <w:t xml:space="preserve">Trend towards improved disease-free survival at 2 years</w:t>
      </w:r>
    </w:p>
    <w:p>
      <w:pPr>
        <w:pStyle w:val="ListParagraph"/>
        <w:numPr>
          <w:ilvl w:val="0"/>
          <w:numId w:val="2"/>
        </w:numPr>
        <w:spacing w:after="80"/>
      </w:pPr>
      <w:r>
        <w:rPr>
          <w:rFonts w:ascii="Arial" w:cs="Arial" w:eastAsia="Arial" w:hAnsi="Arial"/>
          <w:sz w:val="22"/>
          <w:szCs w:val="22"/>
        </w:rPr>
        <w:t xml:space="preserve">Established neoadjuvant chemotherapy as an option for high-risk colon cancer (T3 with high-risk features, T4, N2)</w:t>
      </w:r>
    </w:p>
    <w:p>
      <w:pPr>
        <w:spacing w:after="120"/>
      </w:pPr>
      <w:r>
        <w:rPr>
          <w:rFonts w:ascii="Arial" w:cs="Arial" w:eastAsia="Arial" w:hAnsi="Arial"/>
          <w:sz w:val="22"/>
          <w:szCs w:val="22"/>
        </w:rPr>
        <w:t xml:space="preserve">You will see 'FOXTROT' in MDT notes as a shorthand for the neoadjuvant colon cancer chemotherapy approach.</w:t>
      </w:r>
    </w:p>
    <w:p>
      <w:pPr>
        <w:pStyle w:val="Heading3"/>
        <w:spacing w:before="240" w:after="120"/>
      </w:pPr>
      <w:r>
        <w:rPr>
          <w:rFonts w:ascii="Arial" w:cs="Arial" w:eastAsia="Arial" w:hAnsi="Arial"/>
          <w:b/>
          <w:bCs/>
          <w:sz w:val="26"/>
          <w:szCs w:val="26"/>
        </w:rPr>
        <w:t xml:space="preserve">FOLFOX</w:t>
      </w:r>
    </w:p>
    <w:p>
      <w:pPr>
        <w:spacing w:after="120"/>
      </w:pPr>
      <w:r>
        <w:rPr>
          <w:rFonts w:ascii="Arial" w:cs="Arial" w:eastAsia="Arial" w:hAnsi="Arial"/>
          <w:b/>
          <w:bCs/>
          <w:sz w:val="22"/>
          <w:szCs w:val="22"/>
        </w:rPr>
        <w:t xml:space="preserve">FOLFOX</w:t>
      </w:r>
      <w:r>
        <w:rPr>
          <w:rFonts w:ascii="Arial" w:cs="Arial" w:eastAsia="Arial" w:hAnsi="Arial"/>
          <w:sz w:val="22"/>
          <w:szCs w:val="22"/>
        </w:rPr>
        <w:t xml:space="preserve">: A widely used combination chemotherapy regimen for colorectal cancer:</w:t>
      </w:r>
    </w:p>
    <w:p>
      <w:pPr>
        <w:pStyle w:val="ListParagraph"/>
        <w:numPr>
          <w:ilvl w:val="0"/>
          <w:numId w:val="2"/>
        </w:numPr>
        <w:spacing w:after="80"/>
      </w:pPr>
      <w:r>
        <w:rPr>
          <w:rFonts w:ascii="Arial" w:cs="Arial" w:eastAsia="Arial" w:hAnsi="Arial"/>
          <w:b/>
          <w:bCs/>
          <w:sz w:val="22"/>
          <w:szCs w:val="22"/>
        </w:rPr>
        <w:t xml:space="preserve">5-FU (5-fluorouracil)</w:t>
      </w:r>
      <w:r>
        <w:rPr>
          <w:rFonts w:ascii="Arial" w:cs="Arial" w:eastAsia="Arial" w:hAnsi="Arial"/>
          <w:sz w:val="22"/>
          <w:szCs w:val="22"/>
        </w:rPr>
        <w:t xml:space="preserve">: A fluoropyrimidine antimetabolite that inhibits thymidylate synthase, blocking DNA synthesis. Given as a 46-hour continuous IV infusion.</w:t>
      </w:r>
    </w:p>
    <w:p>
      <w:pPr>
        <w:pStyle w:val="ListParagraph"/>
        <w:numPr>
          <w:ilvl w:val="0"/>
          <w:numId w:val="2"/>
        </w:numPr>
        <w:spacing w:after="80"/>
      </w:pPr>
      <w:r>
        <w:rPr>
          <w:rFonts w:ascii="Arial" w:cs="Arial" w:eastAsia="Arial" w:hAnsi="Arial"/>
          <w:b/>
          <w:bCs/>
          <w:sz w:val="22"/>
          <w:szCs w:val="22"/>
        </w:rPr>
        <w:t xml:space="preserve">Leucovorin (folinic acid / LV / FA)</w:t>
      </w:r>
      <w:r>
        <w:rPr>
          <w:rFonts w:ascii="Arial" w:cs="Arial" w:eastAsia="Arial" w:hAnsi="Arial"/>
          <w:sz w:val="22"/>
          <w:szCs w:val="22"/>
        </w:rPr>
        <w:t xml:space="preserve">: A folate cofactor that potentiates the effect of 5-FU by stabilising the inhibitory complex with thymidylate synthase.</w:t>
      </w:r>
    </w:p>
    <w:p>
      <w:pPr>
        <w:pStyle w:val="ListParagraph"/>
        <w:numPr>
          <w:ilvl w:val="0"/>
          <w:numId w:val="2"/>
        </w:numPr>
        <w:spacing w:after="80"/>
      </w:pPr>
      <w:r>
        <w:rPr>
          <w:rFonts w:ascii="Arial" w:cs="Arial" w:eastAsia="Arial" w:hAnsi="Arial"/>
          <w:b/>
          <w:bCs/>
          <w:sz w:val="22"/>
          <w:szCs w:val="22"/>
        </w:rPr>
        <w:t xml:space="preserve">Oxaliplatin</w:t>
      </w:r>
      <w:r>
        <w:rPr>
          <w:rFonts w:ascii="Arial" w:cs="Arial" w:eastAsia="Arial" w:hAnsi="Arial"/>
          <w:sz w:val="22"/>
          <w:szCs w:val="22"/>
        </w:rPr>
        <w:t xml:space="preserve">: A platinum compound that causes DNA crosslinks, inducing apoptosis. A key advance over older FLOX/5-FU+LV regimens.</w:t>
      </w:r>
    </w:p>
    <w:p>
      <w:pPr>
        <w:spacing w:after="120"/>
      </w:pPr>
      <w:r>
        <w:rPr>
          <w:rFonts w:ascii="Arial" w:cs="Arial" w:eastAsia="Arial" w:hAnsi="Arial"/>
          <w:sz w:val="22"/>
          <w:szCs w:val="22"/>
        </w:rPr>
        <w:t xml:space="preserve">FOLFOX is given in 2-weekly cycles (typically 6–12 cycles in the adjuvant setting; continued until progression or unacceptable toxicity in metastatic disease). FOLFOX4 and FOLFOX6 are modifications with slightly different dosing schedules.</w:t>
      </w:r>
    </w:p>
    <w:p>
      <w:pPr>
        <w:pStyle w:val="Heading3"/>
        <w:spacing w:before="240" w:after="120"/>
      </w:pPr>
      <w:r>
        <w:rPr>
          <w:rFonts w:ascii="Arial" w:cs="Arial" w:eastAsia="Arial" w:hAnsi="Arial"/>
          <w:b/>
          <w:bCs/>
          <w:sz w:val="26"/>
          <w:szCs w:val="26"/>
        </w:rPr>
        <w:t xml:space="preserve">FOLFIRI</w:t>
      </w:r>
    </w:p>
    <w:p>
      <w:pPr>
        <w:spacing w:after="120"/>
      </w:pPr>
      <w:r>
        <w:rPr>
          <w:rFonts w:ascii="Arial" w:cs="Arial" w:eastAsia="Arial" w:hAnsi="Arial"/>
          <w:b/>
          <w:bCs/>
          <w:sz w:val="22"/>
          <w:szCs w:val="22"/>
        </w:rPr>
        <w:t xml:space="preserve">FOLFIRI</w:t>
      </w:r>
      <w:r>
        <w:rPr>
          <w:rFonts w:ascii="Arial" w:cs="Arial" w:eastAsia="Arial" w:hAnsi="Arial"/>
          <w:sz w:val="22"/>
          <w:szCs w:val="22"/>
        </w:rPr>
        <w:t xml:space="preserve">: 5-FU + Leucovorin + Irinotecan (a topoisomerase I inhibitor). Used in metastatic CRC, often as second-line therapy after FOLFOX progression, or interchangeably with FOLFOX as first-line treatment. Some patients receive FOLFOX first then FOLFIRI (or vice versa) to maximise exposure to both agents.</w:t>
      </w:r>
    </w:p>
    <w:p>
      <w:pPr>
        <w:pStyle w:val="Heading3"/>
        <w:spacing w:before="240" w:after="120"/>
      </w:pPr>
      <w:r>
        <w:rPr>
          <w:rFonts w:ascii="Arial" w:cs="Arial" w:eastAsia="Arial" w:hAnsi="Arial"/>
          <w:b/>
          <w:bCs/>
          <w:sz w:val="26"/>
          <w:szCs w:val="26"/>
        </w:rPr>
        <w:t xml:space="preserve">CAPOX / XELOX</w:t>
      </w:r>
    </w:p>
    <w:p>
      <w:pPr>
        <w:spacing w:after="120"/>
      </w:pPr>
      <w:r>
        <w:rPr>
          <w:rFonts w:ascii="Arial" w:cs="Arial" w:eastAsia="Arial" w:hAnsi="Arial"/>
          <w:b/>
          <w:bCs/>
          <w:sz w:val="22"/>
          <w:szCs w:val="22"/>
        </w:rPr>
        <w:t xml:space="preserve">CAPOX (also called XELOX)</w:t>
      </w:r>
      <w:r>
        <w:rPr>
          <w:rFonts w:ascii="Arial" w:cs="Arial" w:eastAsia="Arial" w:hAnsi="Arial"/>
          <w:sz w:val="22"/>
          <w:szCs w:val="22"/>
        </w:rPr>
        <w:t xml:space="preserve">: Capecitabine + Oxaliplatin. An oral alternative to FOLFOX — capecitabine is an oral prodrug converted to 5-FU within tumour cells (and to a lesser extent in the liver and gut). CAPOX is given in 3-weekly cycles. It is frequently used in the adjuvant and metastatic settings. Patient preference for oral vs IV chemotherapy, travel distance, and compliance are important considerations.</w:t>
      </w:r>
    </w:p>
    <w:p>
      <w:pPr>
        <w:pStyle w:val="Heading3"/>
        <w:spacing w:before="240" w:after="120"/>
      </w:pPr>
      <w:r>
        <w:rPr>
          <w:rFonts w:ascii="Arial" w:cs="Arial" w:eastAsia="Arial" w:hAnsi="Arial"/>
          <w:b/>
          <w:bCs/>
          <w:sz w:val="26"/>
          <w:szCs w:val="26"/>
        </w:rPr>
        <w:t xml:space="preserve">Capecitabine (Xeloda)</w:t>
      </w:r>
    </w:p>
    <w:p>
      <w:pPr>
        <w:spacing w:after="120"/>
      </w:pPr>
      <w:r>
        <w:rPr>
          <w:rFonts w:ascii="Arial" w:cs="Arial" w:eastAsia="Arial" w:hAnsi="Arial"/>
          <w:b/>
          <w:bCs/>
          <w:sz w:val="22"/>
          <w:szCs w:val="22"/>
        </w:rPr>
        <w:t xml:space="preserve">Capecitabine</w:t>
      </w:r>
      <w:r>
        <w:rPr>
          <w:rFonts w:ascii="Arial" w:cs="Arial" w:eastAsia="Arial" w:hAnsi="Arial"/>
          <w:sz w:val="22"/>
          <w:szCs w:val="22"/>
        </w:rPr>
        <w:t xml:space="preserve">: An oral fluoropyrimidine (prodrug of 5-FU). Brand name Xeloda. Used as:</w:t>
      </w:r>
    </w:p>
    <w:p>
      <w:pPr>
        <w:pStyle w:val="ListParagraph"/>
        <w:numPr>
          <w:ilvl w:val="0"/>
          <w:numId w:val="2"/>
        </w:numPr>
        <w:spacing w:after="80"/>
      </w:pPr>
      <w:r>
        <w:rPr>
          <w:rFonts w:ascii="Arial" w:cs="Arial" w:eastAsia="Arial" w:hAnsi="Arial"/>
          <w:sz w:val="22"/>
          <w:szCs w:val="22"/>
        </w:rPr>
        <w:t xml:space="preserve">Concurrent radiosensitiser during long-course CRT (taken on days of radiation treatment)</w:t>
      </w:r>
    </w:p>
    <w:p>
      <w:pPr>
        <w:pStyle w:val="ListParagraph"/>
        <w:numPr>
          <w:ilvl w:val="0"/>
          <w:numId w:val="2"/>
        </w:numPr>
        <w:spacing w:after="80"/>
      </w:pPr>
      <w:r>
        <w:rPr>
          <w:rFonts w:ascii="Arial" w:cs="Arial" w:eastAsia="Arial" w:hAnsi="Arial"/>
          <w:sz w:val="22"/>
          <w:szCs w:val="22"/>
        </w:rPr>
        <w:t xml:space="preserve">Component of CAPOX regimen</w:t>
      </w:r>
    </w:p>
    <w:p>
      <w:pPr>
        <w:pStyle w:val="ListParagraph"/>
        <w:numPr>
          <w:ilvl w:val="0"/>
          <w:numId w:val="2"/>
        </w:numPr>
        <w:spacing w:after="80"/>
      </w:pPr>
      <w:r>
        <w:rPr>
          <w:rFonts w:ascii="Arial" w:cs="Arial" w:eastAsia="Arial" w:hAnsi="Arial"/>
          <w:sz w:val="22"/>
          <w:szCs w:val="22"/>
        </w:rPr>
        <w:t xml:space="preserve">Single-agent oral chemotherapy for frail patients in the metastatic setting</w:t>
      </w:r>
    </w:p>
    <w:p>
      <w:pPr>
        <w:pStyle w:val="ListParagraph"/>
        <w:numPr>
          <w:ilvl w:val="0"/>
          <w:numId w:val="2"/>
        </w:numPr>
        <w:spacing w:after="80"/>
      </w:pPr>
      <w:r>
        <w:rPr>
          <w:rFonts w:ascii="Arial" w:cs="Arial" w:eastAsia="Arial" w:hAnsi="Arial"/>
          <w:sz w:val="22"/>
          <w:szCs w:val="22"/>
        </w:rPr>
        <w:t xml:space="preserve">Adjuvant chemotherapy in Stage III or high-risk Stage II colon cancer (as CAPOX or single agent)</w:t>
      </w:r>
    </w:p>
    <w:p>
      <w:pPr>
        <w:pStyle w:val="Heading3"/>
        <w:spacing w:before="240" w:after="120"/>
      </w:pPr>
      <w:r>
        <w:rPr>
          <w:rFonts w:ascii="Arial" w:cs="Arial" w:eastAsia="Arial" w:hAnsi="Arial"/>
          <w:b/>
          <w:bCs/>
          <w:sz w:val="26"/>
          <w:szCs w:val="26"/>
        </w:rPr>
        <w:t xml:space="preserve">Neoadjuvant Chemotherapy and Downstaging</w:t>
      </w:r>
    </w:p>
    <w:p>
      <w:pPr>
        <w:spacing w:after="120"/>
      </w:pPr>
      <w:r>
        <w:rPr>
          <w:rFonts w:ascii="Arial" w:cs="Arial" w:eastAsia="Arial" w:hAnsi="Arial"/>
          <w:b/>
          <w:bCs/>
          <w:sz w:val="22"/>
          <w:szCs w:val="22"/>
        </w:rPr>
        <w:t xml:space="preserve">Neoadjuvant chemotherapy</w:t>
      </w:r>
      <w:r>
        <w:rPr>
          <w:rFonts w:ascii="Arial" w:cs="Arial" w:eastAsia="Arial" w:hAnsi="Arial"/>
          <w:sz w:val="22"/>
          <w:szCs w:val="22"/>
        </w:rPr>
        <w:t xml:space="preserve">: Chemotherapy given before definitive surgery, with the aim of shrinking the primary tumour or metastases to make subsequent resection safer or more likely to be complete ('R0 resection').</w:t>
      </w:r>
    </w:p>
    <w:p>
      <w:pPr>
        <w:spacing w:after="120"/>
      </w:pPr>
      <w:r>
        <w:rPr>
          <w:rFonts w:ascii="Arial" w:cs="Arial" w:eastAsia="Arial" w:hAnsi="Arial"/>
          <w:b/>
          <w:bCs/>
          <w:sz w:val="22"/>
          <w:szCs w:val="22"/>
        </w:rPr>
        <w:t xml:space="preserve">Downstaging</w:t>
      </w:r>
      <w:r>
        <w:rPr>
          <w:rFonts w:ascii="Arial" w:cs="Arial" w:eastAsia="Arial" w:hAnsi="Arial"/>
          <w:sz w:val="22"/>
          <w:szCs w:val="22"/>
        </w:rPr>
        <w:t xml:space="preserve">: The process of reducing the clinical stage of the tumour through neoadjuvant treatment. For example, a T4N2 tumour may downstage to ypT2N0 after neoadjuvant CRT, enabling a potentially curative resection. In the context of colorectal liver metastases (CRLM), initially unresectable liver disease may become resectable after 4–6 cycles of systemic chemotherapy ('conversion chemotherapy').</w:t>
      </w:r>
    </w:p>
    <w:p>
      <w:pPr>
        <w:pStyle w:val="Heading3"/>
        <w:spacing w:before="240" w:after="120"/>
      </w:pPr>
      <w:r>
        <w:rPr>
          <w:rFonts w:ascii="Arial" w:cs="Arial" w:eastAsia="Arial" w:hAnsi="Arial"/>
          <w:b/>
          <w:bCs/>
          <w:sz w:val="26"/>
          <w:szCs w:val="26"/>
        </w:rPr>
        <w:t xml:space="preserve">TNT (Total Neoadjuvant Therapy)</w:t>
      </w:r>
    </w:p>
    <w:p>
      <w:pPr>
        <w:spacing w:after="120"/>
      </w:pPr>
      <w:r>
        <w:rPr>
          <w:rFonts w:ascii="Arial" w:cs="Arial" w:eastAsia="Arial" w:hAnsi="Arial"/>
          <w:b/>
          <w:bCs/>
          <w:sz w:val="22"/>
          <w:szCs w:val="22"/>
        </w:rPr>
        <w:t xml:space="preserve">TNT</w:t>
      </w:r>
      <w:r>
        <w:rPr>
          <w:rFonts w:ascii="Arial" w:cs="Arial" w:eastAsia="Arial" w:hAnsi="Arial"/>
          <w:sz w:val="22"/>
          <w:szCs w:val="22"/>
        </w:rPr>
        <w:t xml:space="preserve">: Total Neoadjuvant Therapy is a treatment strategy for locally advanced rectal cancer in which </w:t>
      </w:r>
      <w:r>
        <w:rPr>
          <w:rFonts w:ascii="Arial" w:cs="Arial" w:eastAsia="Arial" w:hAnsi="Arial"/>
          <w:b/>
          <w:bCs/>
          <w:sz w:val="22"/>
          <w:szCs w:val="22"/>
        </w:rPr>
        <w:t xml:space="preserve">all chemotherapy AND radiotherapy is delivered before surgery</w:t>
      </w:r>
      <w:r>
        <w:rPr>
          <w:rFonts w:ascii="Arial" w:cs="Arial" w:eastAsia="Arial" w:hAnsi="Arial"/>
          <w:sz w:val="22"/>
          <w:szCs w:val="22"/>
        </w:rPr>
        <w:t xml:space="preserve">, rather than the traditional approach of CRT → surgery → adjuvant chemotherapy. The rationale is that:</w:t>
      </w:r>
    </w:p>
    <w:p>
      <w:pPr>
        <w:pStyle w:val="ListParagraph"/>
        <w:numPr>
          <w:ilvl w:val="0"/>
          <w:numId w:val="2"/>
        </w:numPr>
        <w:spacing w:after="80"/>
      </w:pPr>
      <w:r>
        <w:rPr>
          <w:rFonts w:ascii="Arial" w:cs="Arial" w:eastAsia="Arial" w:hAnsi="Arial"/>
          <w:sz w:val="22"/>
          <w:szCs w:val="22"/>
        </w:rPr>
        <w:t xml:space="preserve">Patients comply better with treatment before surgery (post-operative complications and fatigue reduce adherence to adjuvant chemotherapy — only ~50% of patients complete planned adjuvant chemotherapy after rectal cancer surgery)</w:t>
      </w:r>
    </w:p>
    <w:p>
      <w:pPr>
        <w:pStyle w:val="ListParagraph"/>
        <w:numPr>
          <w:ilvl w:val="0"/>
          <w:numId w:val="2"/>
        </w:numPr>
        <w:spacing w:after="80"/>
      </w:pPr>
      <w:r>
        <w:rPr>
          <w:rFonts w:ascii="Arial" w:cs="Arial" w:eastAsia="Arial" w:hAnsi="Arial"/>
          <w:sz w:val="22"/>
          <w:szCs w:val="22"/>
        </w:rPr>
        <w:t xml:space="preserve">Systemic micrometastases are treated earlier</w:t>
      </w:r>
    </w:p>
    <w:p>
      <w:pPr>
        <w:pStyle w:val="ListParagraph"/>
        <w:numPr>
          <w:ilvl w:val="0"/>
          <w:numId w:val="2"/>
        </w:numPr>
        <w:spacing w:after="80"/>
      </w:pPr>
      <w:r>
        <w:rPr>
          <w:rFonts w:ascii="Arial" w:cs="Arial" w:eastAsia="Arial" w:hAnsi="Arial"/>
          <w:sz w:val="22"/>
          <w:szCs w:val="22"/>
        </w:rPr>
        <w:t xml:space="preserve">Tumour response may be greater, increasing organ-preservation rates</w:t>
      </w:r>
    </w:p>
    <w:p>
      <w:pPr>
        <w:spacing w:after="120"/>
      </w:pPr>
      <w:r>
        <w:rPr>
          <w:rFonts w:ascii="Arial" w:cs="Arial" w:eastAsia="Arial" w:hAnsi="Arial"/>
          <w:sz w:val="22"/>
          <w:szCs w:val="22"/>
        </w:rPr>
        <w:t xml:space="preserve">Two TNT approaches are used:</w:t>
      </w:r>
    </w:p>
    <w:p>
      <w:pPr>
        <w:pStyle w:val="ListParagraph"/>
        <w:numPr>
          <w:ilvl w:val="0"/>
          <w:numId w:val="2"/>
        </w:numPr>
        <w:spacing w:after="80"/>
      </w:pPr>
      <w:r>
        <w:rPr>
          <w:rFonts w:ascii="Arial" w:cs="Arial" w:eastAsia="Arial" w:hAnsi="Arial"/>
          <w:b/>
          <w:bCs/>
          <w:sz w:val="22"/>
          <w:szCs w:val="22"/>
        </w:rPr>
        <w:t xml:space="preserve">Induction TNT</w:t>
      </w:r>
      <w:r>
        <w:rPr>
          <w:rFonts w:ascii="Arial" w:cs="Arial" w:eastAsia="Arial" w:hAnsi="Arial"/>
          <w:sz w:val="22"/>
          <w:szCs w:val="22"/>
        </w:rPr>
        <w:t xml:space="preserve">: Systemic chemotherapy (FOLFOX or CAPOX) first, then CRT/SCRT, then surgery. Used in the PRODIGE 23 trial.</w:t>
      </w:r>
    </w:p>
    <w:p>
      <w:pPr>
        <w:pStyle w:val="ListParagraph"/>
        <w:numPr>
          <w:ilvl w:val="0"/>
          <w:numId w:val="2"/>
        </w:numPr>
        <w:spacing w:after="80"/>
      </w:pPr>
      <w:r>
        <w:rPr>
          <w:rFonts w:ascii="Arial" w:cs="Arial" w:eastAsia="Arial" w:hAnsi="Arial"/>
          <w:b/>
          <w:bCs/>
          <w:sz w:val="22"/>
          <w:szCs w:val="22"/>
        </w:rPr>
        <w:t xml:space="preserve">Consolidation TNT</w:t>
      </w:r>
      <w:r>
        <w:rPr>
          <w:rFonts w:ascii="Arial" w:cs="Arial" w:eastAsia="Arial" w:hAnsi="Arial"/>
          <w:sz w:val="22"/>
          <w:szCs w:val="22"/>
        </w:rPr>
        <w:t xml:space="preserve">: CRT/SCRT first, then systemic chemotherapy, then surgery. Used in the RAPIDO trial (SCRT + consolidation CAPOX) and the CAO/ARO/AIO-12 trial. The RAPIDO trial demonstrated improved pathological complete response rates and reduced distant metastases with SCRT + consolidation FOLFOX vs standard long-course CRT.</w:t>
      </w:r>
    </w:p>
    <w:p>
      <w:pPr>
        <w:spacing w:after="120"/>
      </w:pPr>
      <w:r>
        <w:rPr>
          <w:rFonts w:ascii="Arial" w:cs="Arial" w:eastAsia="Arial" w:hAnsi="Arial"/>
          <w:sz w:val="22"/>
          <w:szCs w:val="22"/>
        </w:rPr>
        <w:t xml:space="preserve">TNT is increasingly standard for high-risk locally advanced rectal cancer (T4, mrCRM +, mrEMVI +) and for patients being considered for organ-preservation (W&amp;W).</w:t>
      </w:r>
    </w:p>
    <w:p>
      <w:pPr>
        <w:pStyle w:val="Heading3"/>
        <w:spacing w:before="240" w:after="120"/>
      </w:pPr>
      <w:r>
        <w:rPr>
          <w:rFonts w:ascii="Arial" w:cs="Arial" w:eastAsia="Arial" w:hAnsi="Arial"/>
          <w:b/>
          <w:bCs/>
          <w:sz w:val="26"/>
          <w:szCs w:val="26"/>
        </w:rPr>
        <w:t xml:space="preserve">Adjuvant Chemotherapy</w:t>
      </w:r>
    </w:p>
    <w:p>
      <w:pPr>
        <w:spacing w:after="120"/>
      </w:pPr>
      <w:r>
        <w:rPr>
          <w:rFonts w:ascii="Arial" w:cs="Arial" w:eastAsia="Arial" w:hAnsi="Arial"/>
          <w:b/>
          <w:bCs/>
          <w:sz w:val="22"/>
          <w:szCs w:val="22"/>
        </w:rPr>
        <w:t xml:space="preserve">Adjuvant chemotherapy</w:t>
      </w:r>
      <w:r>
        <w:rPr>
          <w:rFonts w:ascii="Arial" w:cs="Arial" w:eastAsia="Arial" w:hAnsi="Arial"/>
          <w:sz w:val="22"/>
          <w:szCs w:val="22"/>
        </w:rPr>
        <w:t xml:space="preserve">: Chemotherapy given after curative-intent surgery, aimed at eliminating microscopic residual disease (micrometastases) that surgery cannot detect. The rationale is that a proportion of patients who appear cured by surgery will relapse because of undetected systemic spread.</w:t>
      </w:r>
    </w:p>
    <w:p>
      <w:pPr>
        <w:pStyle w:val="ListParagraph"/>
        <w:numPr>
          <w:ilvl w:val="0"/>
          <w:numId w:val="2"/>
        </w:numPr>
        <w:spacing w:after="80"/>
      </w:pPr>
      <w:r>
        <w:rPr>
          <w:rFonts w:ascii="Arial" w:cs="Arial" w:eastAsia="Arial" w:hAnsi="Arial"/>
          <w:b/>
          <w:bCs/>
          <w:sz w:val="22"/>
          <w:szCs w:val="22"/>
        </w:rPr>
        <w:t xml:space="preserve">Stage III colon cancer</w:t>
      </w:r>
      <w:r>
        <w:rPr>
          <w:rFonts w:ascii="Arial" w:cs="Arial" w:eastAsia="Arial" w:hAnsi="Arial"/>
          <w:sz w:val="22"/>
          <w:szCs w:val="22"/>
        </w:rPr>
        <w:t xml:space="preserve">: Strong evidence for adjuvant CAPOX or FOLFOX (MOSAIC trial). Reduces relapse and mortality by approximately 20–25%.</w:t>
      </w:r>
    </w:p>
    <w:p>
      <w:pPr>
        <w:pStyle w:val="ListParagraph"/>
        <w:numPr>
          <w:ilvl w:val="0"/>
          <w:numId w:val="2"/>
        </w:numPr>
        <w:spacing w:after="80"/>
      </w:pPr>
      <w:r>
        <w:rPr>
          <w:rFonts w:ascii="Arial" w:cs="Arial" w:eastAsia="Arial" w:hAnsi="Arial"/>
          <w:b/>
          <w:bCs/>
          <w:sz w:val="22"/>
          <w:szCs w:val="22"/>
        </w:rPr>
        <w:t xml:space="preserve">High-risk Stage II colon cancer</w:t>
      </w:r>
      <w:r>
        <w:rPr>
          <w:rFonts w:ascii="Arial" w:cs="Arial" w:eastAsia="Arial" w:hAnsi="Arial"/>
          <w:sz w:val="22"/>
          <w:szCs w:val="22"/>
        </w:rPr>
        <w:t xml:space="preserve">: Adjuvant chemotherapy is debated. Features considered 'high risk' include: T4 tumour, poorly differentiated, perineural invasion, vascular invasion, emergency presentation, inadequate lymph node harvest (&lt;12 nodes), pMMR status. dMMR Stage II does NOT benefit from 5-FU monotherapy.</w:t>
      </w:r>
    </w:p>
    <w:p>
      <w:pPr>
        <w:pStyle w:val="ListParagraph"/>
        <w:numPr>
          <w:ilvl w:val="0"/>
          <w:numId w:val="2"/>
        </w:numPr>
        <w:spacing w:after="80"/>
      </w:pPr>
      <w:r>
        <w:rPr>
          <w:rFonts w:ascii="Arial" w:cs="Arial" w:eastAsia="Arial" w:hAnsi="Arial"/>
          <w:b/>
          <w:bCs/>
          <w:sz w:val="22"/>
          <w:szCs w:val="22"/>
        </w:rPr>
        <w:t xml:space="preserve">Rectal cancer</w:t>
      </w:r>
      <w:r>
        <w:rPr>
          <w:rFonts w:ascii="Arial" w:cs="Arial" w:eastAsia="Arial" w:hAnsi="Arial"/>
          <w:sz w:val="22"/>
          <w:szCs w:val="22"/>
        </w:rPr>
        <w:t xml:space="preserve">: Adjuvant chemotherapy (CAPOX) is offered, particularly after neoadjuvant CRT and ypN+ pathology. However, compliance is poor post-surgery and the benefit of adjuvant therapy after neoadjuvant treatment is less clear than for colon cancer.</w:t>
      </w:r>
    </w:p>
    <w:p>
      <w:pPr>
        <w:spacing w:after="80"/>
      </w:pPr>
      <w:r>
        <w:t xml:space="preserve"/>
      </w:r>
    </w:p>
    <w:p>
      <w:pPr>
        <w:pStyle w:val="Heading2"/>
        <w:spacing w:before="280" w:after="160"/>
      </w:pPr>
      <w:r>
        <w:rPr>
          <w:rFonts w:ascii="Arial" w:cs="Arial" w:eastAsia="Arial" w:hAnsi="Arial"/>
          <w:b/>
          <w:bCs/>
          <w:sz w:val="28"/>
          <w:szCs w:val="28"/>
        </w:rPr>
        <w:t xml:space="preserve">6.4 Targeted Therapy and Immunotherapy</w:t>
      </w:r>
    </w:p>
    <w:p>
      <w:pPr>
        <w:pStyle w:val="Heading3"/>
        <w:spacing w:before="240" w:after="120"/>
      </w:pPr>
      <w:r>
        <w:rPr>
          <w:rFonts w:ascii="Arial" w:cs="Arial" w:eastAsia="Arial" w:hAnsi="Arial"/>
          <w:b/>
          <w:bCs/>
          <w:sz w:val="26"/>
          <w:szCs w:val="26"/>
        </w:rPr>
        <w:t xml:space="preserve">Anti-EGFR Agents</w:t>
      </w:r>
    </w:p>
    <w:p>
      <w:pPr>
        <w:spacing w:after="120"/>
      </w:pPr>
      <w:r>
        <w:rPr>
          <w:rFonts w:ascii="Arial" w:cs="Arial" w:eastAsia="Arial" w:hAnsi="Arial"/>
          <w:b/>
          <w:bCs/>
          <w:sz w:val="22"/>
          <w:szCs w:val="22"/>
        </w:rPr>
        <w:t xml:space="preserve">EGFR (Epidermal Growth Factor Receptor)</w:t>
      </w:r>
      <w:r>
        <w:rPr>
          <w:rFonts w:ascii="Arial" w:cs="Arial" w:eastAsia="Arial" w:hAnsi="Arial"/>
          <w:sz w:val="22"/>
          <w:szCs w:val="22"/>
        </w:rPr>
        <w:t xml:space="preserve">: A transmembrane tyrosine kinase receptor that drives cell proliferation. Overexpressed in ~80% of CRC.</w:t>
      </w:r>
    </w:p>
    <w:p>
      <w:pPr>
        <w:pStyle w:val="ListParagraph"/>
        <w:numPr>
          <w:ilvl w:val="0"/>
          <w:numId w:val="2"/>
        </w:numPr>
        <w:spacing w:after="80"/>
      </w:pPr>
      <w:r>
        <w:rPr>
          <w:rFonts w:ascii="Arial" w:cs="Arial" w:eastAsia="Arial" w:hAnsi="Arial"/>
          <w:b/>
          <w:bCs/>
          <w:sz w:val="22"/>
          <w:szCs w:val="22"/>
        </w:rPr>
        <w:t xml:space="preserve">Cetuximab (Erbitux)</w:t>
      </w:r>
      <w:r>
        <w:rPr>
          <w:rFonts w:ascii="Arial" w:cs="Arial" w:eastAsia="Arial" w:hAnsi="Arial"/>
          <w:sz w:val="22"/>
          <w:szCs w:val="22"/>
        </w:rPr>
        <w:t xml:space="preserve">: A monoclonal antibody against EGFR. Given IV. Used in </w:t>
      </w:r>
      <w:r>
        <w:rPr>
          <w:rFonts w:ascii="Arial" w:cs="Arial" w:eastAsia="Arial" w:hAnsi="Arial"/>
          <w:b/>
          <w:bCs/>
          <w:sz w:val="22"/>
          <w:szCs w:val="22"/>
        </w:rPr>
        <w:t xml:space="preserve">RAS wild-type</w:t>
      </w:r>
      <w:r>
        <w:rPr>
          <w:rFonts w:ascii="Arial" w:cs="Arial" w:eastAsia="Arial" w:hAnsi="Arial"/>
          <w:sz w:val="22"/>
          <w:szCs w:val="22"/>
        </w:rPr>
        <w:t xml:space="preserve"> (both KRAS and NRAS must be unmutated) and </w:t>
      </w:r>
      <w:r>
        <w:rPr>
          <w:rFonts w:ascii="Arial" w:cs="Arial" w:eastAsia="Arial" w:hAnsi="Arial"/>
          <w:b/>
          <w:bCs/>
          <w:sz w:val="22"/>
          <w:szCs w:val="22"/>
        </w:rPr>
        <w:t xml:space="preserve">BRAF wild-type</w:t>
      </w:r>
      <w:r>
        <w:rPr>
          <w:rFonts w:ascii="Arial" w:cs="Arial" w:eastAsia="Arial" w:hAnsi="Arial"/>
          <w:sz w:val="22"/>
          <w:szCs w:val="22"/>
        </w:rPr>
        <w:t xml:space="preserve"> metastatic CRC. Combined with FOLFOX or FOLFIRI in first- or second-line metastatic disease. The CRYSTAL and OPUS trials established its efficacy.</w:t>
      </w:r>
    </w:p>
    <w:p>
      <w:pPr>
        <w:pStyle w:val="ListParagraph"/>
        <w:numPr>
          <w:ilvl w:val="0"/>
          <w:numId w:val="2"/>
        </w:numPr>
        <w:spacing w:after="80"/>
      </w:pPr>
      <w:r>
        <w:rPr>
          <w:rFonts w:ascii="Arial" w:cs="Arial" w:eastAsia="Arial" w:hAnsi="Arial"/>
          <w:b/>
          <w:bCs/>
          <w:sz w:val="22"/>
          <w:szCs w:val="22"/>
        </w:rPr>
        <w:t xml:space="preserve">Panitumumab (Vectibix)</w:t>
      </w:r>
      <w:r>
        <w:rPr>
          <w:rFonts w:ascii="Arial" w:cs="Arial" w:eastAsia="Arial" w:hAnsi="Arial"/>
          <w:sz w:val="22"/>
          <w:szCs w:val="22"/>
        </w:rPr>
        <w:t xml:space="preserve">: A fully human anti-EGFR monoclonal antibody. Also requires RAS wild-type status. Similar indications to cetuximab. The PRIME trial established its efficacy with FOLFOX in RAS WT mCRC.</w:t>
      </w:r>
    </w:p>
    <w:p>
      <w:pPr>
        <w:spacing w:after="120"/>
      </w:pPr>
      <w:r>
        <w:rPr>
          <w:rFonts w:ascii="Arial" w:cs="Arial" w:eastAsia="Arial" w:hAnsi="Arial"/>
          <w:sz w:val="22"/>
          <w:szCs w:val="22"/>
        </w:rPr>
        <w:t xml:space="preserve">Key point: Anti-EGFR agents are ONLY effective in RAS/BRAF wild-type, left-sided primary metastatic CRC. Right-sided primary, RAS-mutated or BRAF-mutated disease does NOT benefit and may be harmed. This is one of the most clinically important biomarker-treatment interactions in oncology.</w:t>
      </w:r>
    </w:p>
    <w:p>
      <w:pPr>
        <w:pStyle w:val="Heading3"/>
        <w:spacing w:before="240" w:after="120"/>
      </w:pPr>
      <w:r>
        <w:rPr>
          <w:rFonts w:ascii="Arial" w:cs="Arial" w:eastAsia="Arial" w:hAnsi="Arial"/>
          <w:b/>
          <w:bCs/>
          <w:sz w:val="26"/>
          <w:szCs w:val="26"/>
        </w:rPr>
        <w:t xml:space="preserve">Anti-VEGF Agents</w:t>
      </w:r>
    </w:p>
    <w:p>
      <w:pPr>
        <w:pStyle w:val="ListParagraph"/>
        <w:numPr>
          <w:ilvl w:val="0"/>
          <w:numId w:val="2"/>
        </w:numPr>
        <w:spacing w:after="80"/>
      </w:pPr>
      <w:r>
        <w:rPr>
          <w:rFonts w:ascii="Arial" w:cs="Arial" w:eastAsia="Arial" w:hAnsi="Arial"/>
          <w:b/>
          <w:bCs/>
          <w:sz w:val="22"/>
          <w:szCs w:val="22"/>
        </w:rPr>
        <w:t xml:space="preserve">Bevacizumab (Avastin)</w:t>
      </w:r>
      <w:r>
        <w:rPr>
          <w:rFonts w:ascii="Arial" w:cs="Arial" w:eastAsia="Arial" w:hAnsi="Arial"/>
          <w:sz w:val="22"/>
          <w:szCs w:val="22"/>
        </w:rPr>
        <w:t xml:space="preserve">: A monoclonal antibody against </w:t>
      </w:r>
      <w:r>
        <w:rPr>
          <w:rFonts w:ascii="Arial" w:cs="Arial" w:eastAsia="Arial" w:hAnsi="Arial"/>
          <w:b/>
          <w:bCs/>
          <w:sz w:val="22"/>
          <w:szCs w:val="22"/>
        </w:rPr>
        <w:t xml:space="preserve">VEGF (Vascular Endothelial Growth Factor)</w:t>
      </w:r>
      <w:r>
        <w:rPr>
          <w:rFonts w:ascii="Arial" w:cs="Arial" w:eastAsia="Arial" w:hAnsi="Arial"/>
          <w:sz w:val="22"/>
          <w:szCs w:val="22"/>
        </w:rPr>
        <w:t xml:space="preserve">, blocking tumour angiogenesis. Added to FOLFOX or FOLFIRI in metastatic CRC regardless of RAS status. The AVF2107g and NO16966 trials established its benefit. Bevacizumab requires a 6–8 week hold period before and after major surgery due to impaired wound healing. Significant toxicities include hypertension, proteinuria, thromboembolism, and bowel perforation.</w:t>
      </w:r>
    </w:p>
    <w:p>
      <w:pPr>
        <w:pStyle w:val="ListParagraph"/>
        <w:numPr>
          <w:ilvl w:val="0"/>
          <w:numId w:val="2"/>
        </w:numPr>
        <w:spacing w:after="80"/>
      </w:pPr>
      <w:r>
        <w:rPr>
          <w:rFonts w:ascii="Arial" w:cs="Arial" w:eastAsia="Arial" w:hAnsi="Arial"/>
          <w:b/>
          <w:bCs/>
          <w:sz w:val="22"/>
          <w:szCs w:val="22"/>
        </w:rPr>
        <w:t xml:space="preserve">Ramucirumab</w:t>
      </w:r>
      <w:r>
        <w:rPr>
          <w:rFonts w:ascii="Arial" w:cs="Arial" w:eastAsia="Arial" w:hAnsi="Arial"/>
          <w:sz w:val="22"/>
          <w:szCs w:val="22"/>
        </w:rPr>
        <w:t xml:space="preserve">: An anti-VEGFR2 monoclonal antibody; used in combination with FOLFIRI as second-line therapy (RAISE trial).</w:t>
      </w:r>
    </w:p>
    <w:p>
      <w:pPr>
        <w:pStyle w:val="ListParagraph"/>
        <w:numPr>
          <w:ilvl w:val="0"/>
          <w:numId w:val="2"/>
        </w:numPr>
        <w:spacing w:after="80"/>
      </w:pPr>
      <w:r>
        <w:rPr>
          <w:rFonts w:ascii="Arial" w:cs="Arial" w:eastAsia="Arial" w:hAnsi="Arial"/>
          <w:b/>
          <w:bCs/>
          <w:sz w:val="22"/>
          <w:szCs w:val="22"/>
        </w:rPr>
        <w:t xml:space="preserve">Aflibercept</w:t>
      </w:r>
      <w:r>
        <w:rPr>
          <w:rFonts w:ascii="Arial" w:cs="Arial" w:eastAsia="Arial" w:hAnsi="Arial"/>
          <w:sz w:val="22"/>
          <w:szCs w:val="22"/>
        </w:rPr>
        <w:t xml:space="preserve">: A fusion protein acting as a VEGF trap; second-line in combination with FOLFIRI (VELOUR trial).</w:t>
      </w:r>
    </w:p>
    <w:p>
      <w:pPr>
        <w:pStyle w:val="Heading3"/>
        <w:spacing w:before="240" w:after="120"/>
      </w:pPr>
      <w:r>
        <w:rPr>
          <w:rFonts w:ascii="Arial" w:cs="Arial" w:eastAsia="Arial" w:hAnsi="Arial"/>
          <w:b/>
          <w:bCs/>
          <w:sz w:val="26"/>
          <w:szCs w:val="26"/>
        </w:rPr>
        <w:t xml:space="preserve">Immunotherapy</w:t>
      </w:r>
    </w:p>
    <w:p>
      <w:pPr>
        <w:spacing w:after="120"/>
      </w:pPr>
      <w:r>
        <w:rPr>
          <w:rFonts w:ascii="Arial" w:cs="Arial" w:eastAsia="Arial" w:hAnsi="Arial"/>
          <w:b/>
          <w:bCs/>
          <w:sz w:val="22"/>
          <w:szCs w:val="22"/>
        </w:rPr>
        <w:t xml:space="preserve">Immune checkpoint inhibitors</w:t>
      </w:r>
      <w:r>
        <w:rPr>
          <w:rFonts w:ascii="Arial" w:cs="Arial" w:eastAsia="Arial" w:hAnsi="Arial"/>
          <w:sz w:val="22"/>
          <w:szCs w:val="22"/>
        </w:rPr>
        <w:t xml:space="preserve">: Block inhibitory checkpoints (PD-1, PD-L1, CTLA-4) that tumours exploit to evade immune destruction. MSI-H / dMMR tumours have very high tumour mutational burden, generating many neoantigens that make them highly immunogenic and exquisitely sensitive to checkpoint blockade.</w:t>
      </w:r>
    </w:p>
    <w:p>
      <w:pPr>
        <w:pStyle w:val="ListParagraph"/>
        <w:numPr>
          <w:ilvl w:val="0"/>
          <w:numId w:val="2"/>
        </w:numPr>
        <w:spacing w:after="80"/>
      </w:pPr>
      <w:r>
        <w:rPr>
          <w:rFonts w:ascii="Arial" w:cs="Arial" w:eastAsia="Arial" w:hAnsi="Arial"/>
          <w:b/>
          <w:bCs/>
          <w:sz w:val="22"/>
          <w:szCs w:val="22"/>
        </w:rPr>
        <w:t xml:space="preserve">Pembrolizumab (Keytruda)</w:t>
      </w:r>
      <w:r>
        <w:rPr>
          <w:rFonts w:ascii="Arial" w:cs="Arial" w:eastAsia="Arial" w:hAnsi="Arial"/>
          <w:sz w:val="22"/>
          <w:szCs w:val="22"/>
        </w:rPr>
        <w:t xml:space="preserve">: Anti-PD-1. The KEYNOTE-177 trial demonstrated pembrolizumab as first-line therapy for MSI-H/dMMR metastatic CRC was superior to standard chemotherapy in progression-free survival. Pembrolizumab is now the </w:t>
      </w:r>
      <w:r>
        <w:rPr>
          <w:rFonts w:ascii="Arial" w:cs="Arial" w:eastAsia="Arial" w:hAnsi="Arial"/>
          <w:b/>
          <w:bCs/>
          <w:sz w:val="22"/>
          <w:szCs w:val="22"/>
        </w:rPr>
        <w:t xml:space="preserve">first-line standard of care</w:t>
      </w:r>
      <w:r>
        <w:rPr>
          <w:rFonts w:ascii="Arial" w:cs="Arial" w:eastAsia="Arial" w:hAnsi="Arial"/>
          <w:sz w:val="22"/>
          <w:szCs w:val="22"/>
        </w:rPr>
        <w:t xml:space="preserve"> for MSI-H/dMMR metastatic CRC.</w:t>
      </w:r>
    </w:p>
    <w:p>
      <w:pPr>
        <w:pStyle w:val="ListParagraph"/>
        <w:numPr>
          <w:ilvl w:val="0"/>
          <w:numId w:val="2"/>
        </w:numPr>
        <w:spacing w:after="80"/>
      </w:pPr>
      <w:r>
        <w:rPr>
          <w:rFonts w:ascii="Arial" w:cs="Arial" w:eastAsia="Arial" w:hAnsi="Arial"/>
          <w:b/>
          <w:bCs/>
          <w:sz w:val="22"/>
          <w:szCs w:val="22"/>
        </w:rPr>
        <w:t xml:space="preserve">Nivolumab (Opdivo)</w:t>
      </w:r>
      <w:r>
        <w:rPr>
          <w:rFonts w:ascii="Arial" w:cs="Arial" w:eastAsia="Arial" w:hAnsi="Arial"/>
          <w:sz w:val="22"/>
          <w:szCs w:val="22"/>
        </w:rPr>
        <w:t xml:space="preserve">: Anti-PD-1. Used in MSI-H/dMMR CRC, often combined with ipilimumab (anti-CTLA-4) in refractory disease (CheckMate-142 trial).</w:t>
      </w:r>
    </w:p>
    <w:p>
      <w:pPr>
        <w:spacing w:after="120"/>
      </w:pPr>
      <w:r>
        <w:rPr>
          <w:rFonts w:ascii="Arial" w:cs="Arial" w:eastAsia="Arial" w:hAnsi="Arial"/>
          <w:b/>
          <w:bCs/>
          <w:sz w:val="22"/>
          <w:szCs w:val="22"/>
        </w:rPr>
        <w:t xml:space="preserve">When immunotherapy replaces chemotherapy</w:t>
      </w:r>
      <w:r>
        <w:rPr>
          <w:rFonts w:ascii="Arial" w:cs="Arial" w:eastAsia="Arial" w:hAnsi="Arial"/>
          <w:sz w:val="22"/>
          <w:szCs w:val="22"/>
        </w:rPr>
        <w:t xml:space="preserve">: For MSI-H/dMMR metastatic CRC, pembrolizumab monotherapy is now the preferred initial systemic treatment, because the response rates and duration of response far exceed those of standard cytotoxic chemotherapy, and the toxicity profile is more favourable. FOLFOX + bevacizumab is reserved for MSI-H patients who do not respond to or are intolerant of pembrolizumab.</w:t>
      </w:r>
    </w:p>
    <w:p>
      <w:pPr>
        <w:pStyle w:val="Heading3"/>
        <w:spacing w:before="240" w:after="120"/>
      </w:pPr>
      <w:r>
        <w:rPr>
          <w:rFonts w:ascii="Arial" w:cs="Arial" w:eastAsia="Arial" w:hAnsi="Arial"/>
          <w:b/>
          <w:bCs/>
          <w:sz w:val="26"/>
          <w:szCs w:val="26"/>
        </w:rPr>
        <w:t xml:space="preserve">HER2 Amplification</w:t>
      </w:r>
    </w:p>
    <w:p>
      <w:pPr>
        <w:spacing w:after="120"/>
      </w:pPr>
      <w:r>
        <w:rPr>
          <w:rFonts w:ascii="Arial" w:cs="Arial" w:eastAsia="Arial" w:hAnsi="Arial"/>
          <w:b/>
          <w:bCs/>
          <w:sz w:val="22"/>
          <w:szCs w:val="22"/>
        </w:rPr>
        <w:t xml:space="preserve">HER2 (Human Epidermal Growth Factor Receptor 2)</w:t>
      </w:r>
      <w:r>
        <w:rPr>
          <w:rFonts w:ascii="Arial" w:cs="Arial" w:eastAsia="Arial" w:hAnsi="Arial"/>
          <w:sz w:val="22"/>
          <w:szCs w:val="22"/>
        </w:rPr>
        <w:t xml:space="preserve">: Amplified in ~2–3% of metastatic CRC, predominantly in RAS/BRAF wild-type, left-sided disease. Emerging as an important targetable biomarker. Anti-HER2 combinations (trastuzumab + pertuzumab, or trastuzumab deruxtecan) are now approved or under investigation for HER2-amplified mCRC. HER2 amplification also confers resistance to anti-EGFR therapy.</w:t>
      </w:r>
    </w:p>
    <w:p>
      <w:pPr>
        <w:spacing w:after="80"/>
      </w:pPr>
      <w:r>
        <w:t xml:space="preserve"/>
      </w:r>
    </w:p>
    <w:p>
      <w:pPr>
        <w:pStyle w:val="Heading2"/>
        <w:spacing w:before="280" w:after="160"/>
      </w:pPr>
      <w:r>
        <w:rPr>
          <w:rFonts w:ascii="Arial" w:cs="Arial" w:eastAsia="Arial" w:hAnsi="Arial"/>
          <w:b/>
          <w:bCs/>
          <w:sz w:val="28"/>
          <w:szCs w:val="28"/>
        </w:rPr>
        <w:t xml:space="preserve">6.5 Local Treatments for Metastatic Disease</w:t>
      </w:r>
    </w:p>
    <w:p>
      <w:pPr>
        <w:pStyle w:val="Heading3"/>
        <w:spacing w:before="240" w:after="120"/>
      </w:pPr>
      <w:r>
        <w:rPr>
          <w:rFonts w:ascii="Arial" w:cs="Arial" w:eastAsia="Arial" w:hAnsi="Arial"/>
          <w:b/>
          <w:bCs/>
          <w:sz w:val="26"/>
          <w:szCs w:val="26"/>
        </w:rPr>
        <w:t xml:space="preserve">Liver Resection for Colorectal Liver Metastases (CRLM)</w:t>
      </w:r>
    </w:p>
    <w:p>
      <w:pPr>
        <w:spacing w:after="120"/>
      </w:pPr>
      <w:r>
        <w:rPr>
          <w:rFonts w:ascii="Arial" w:cs="Arial" w:eastAsia="Arial" w:hAnsi="Arial"/>
          <w:sz w:val="22"/>
          <w:szCs w:val="22"/>
        </w:rPr>
        <w:t xml:space="preserve">Surgical resection of colorectal liver metastases is potentially curative. 5-year survival after hepatic resection for CRLM is approximately 40–50% in selected patients (European Liver Metastases Registry data). Criteria for resectability have expanded significantly with the availability of two-stage hepatectomy, portal vein embolisation (PVE), and combination with ablation.</w:t>
      </w:r>
    </w:p>
    <w:p>
      <w:pPr>
        <w:pStyle w:val="ListParagraph"/>
        <w:numPr>
          <w:ilvl w:val="0"/>
          <w:numId w:val="2"/>
        </w:numPr>
        <w:spacing w:after="80"/>
      </w:pPr>
      <w:r>
        <w:rPr>
          <w:rFonts w:ascii="Arial" w:cs="Arial" w:eastAsia="Arial" w:hAnsi="Arial"/>
          <w:b/>
          <w:bCs/>
          <w:sz w:val="22"/>
          <w:szCs w:val="22"/>
        </w:rPr>
        <w:t xml:space="preserve">Resectability criteria</w:t>
      </w:r>
      <w:r>
        <w:rPr>
          <w:rFonts w:ascii="Arial" w:cs="Arial" w:eastAsia="Arial" w:hAnsi="Arial"/>
          <w:sz w:val="22"/>
          <w:szCs w:val="22"/>
        </w:rPr>
        <w:t xml:space="preserve">: Sufficient future liver remnant (FLR, typically &gt;20–30% of total liver volume), ability to achieve clear margins (R0), and patient fitness.</w:t>
      </w:r>
    </w:p>
    <w:p>
      <w:pPr>
        <w:pStyle w:val="ListParagraph"/>
        <w:numPr>
          <w:ilvl w:val="0"/>
          <w:numId w:val="2"/>
        </w:numPr>
        <w:spacing w:after="80"/>
      </w:pPr>
      <w:r>
        <w:rPr>
          <w:rFonts w:ascii="Arial" w:cs="Arial" w:eastAsia="Arial" w:hAnsi="Arial"/>
          <w:b/>
          <w:bCs/>
          <w:sz w:val="22"/>
          <w:szCs w:val="22"/>
        </w:rPr>
        <w:t xml:space="preserve">Portal vein embolisation (PVE)</w:t>
      </w:r>
      <w:r>
        <w:rPr>
          <w:rFonts w:ascii="Arial" w:cs="Arial" w:eastAsia="Arial" w:hAnsi="Arial"/>
          <w:sz w:val="22"/>
          <w:szCs w:val="22"/>
        </w:rPr>
        <w:t xml:space="preserve">: Occlusion of the portal vein to the liver bearing the metastases, causing hypertrophy of the FLR before two-stage hepatectomy or major hepatectomy.</w:t>
      </w:r>
    </w:p>
    <w:p>
      <w:pPr>
        <w:pStyle w:val="Heading3"/>
        <w:spacing w:before="240" w:after="120"/>
      </w:pPr>
      <w:r>
        <w:rPr>
          <w:rFonts w:ascii="Arial" w:cs="Arial" w:eastAsia="Arial" w:hAnsi="Arial"/>
          <w:b/>
          <w:bCs/>
          <w:sz w:val="26"/>
          <w:szCs w:val="26"/>
        </w:rPr>
        <w:t xml:space="preserve">SIRT (Selective Internal Radiation Therapy) / Radioembolisation</w:t>
      </w:r>
    </w:p>
    <w:p>
      <w:pPr>
        <w:spacing w:after="120"/>
      </w:pPr>
      <w:r>
        <w:rPr>
          <w:rFonts w:ascii="Arial" w:cs="Arial" w:eastAsia="Arial" w:hAnsi="Arial"/>
          <w:b/>
          <w:bCs/>
          <w:sz w:val="22"/>
          <w:szCs w:val="22"/>
        </w:rPr>
        <w:t xml:space="preserve">SIRT</w:t>
      </w:r>
      <w:r>
        <w:rPr>
          <w:rFonts w:ascii="Arial" w:cs="Arial" w:eastAsia="Arial" w:hAnsi="Arial"/>
          <w:sz w:val="22"/>
          <w:szCs w:val="22"/>
        </w:rPr>
        <w:t xml:space="preserve">: Also called radioembolisation. Microspheres loaded with the radioactive isotope </w:t>
      </w:r>
      <w:r>
        <w:rPr>
          <w:rFonts w:ascii="Arial" w:cs="Arial" w:eastAsia="Arial" w:hAnsi="Arial"/>
          <w:b/>
          <w:bCs/>
          <w:sz w:val="22"/>
          <w:szCs w:val="22"/>
        </w:rPr>
        <w:t xml:space="preserve">yttrium-90 (Y-90)</w:t>
      </w:r>
      <w:r>
        <w:rPr>
          <w:rFonts w:ascii="Arial" w:cs="Arial" w:eastAsia="Arial" w:hAnsi="Arial"/>
          <w:sz w:val="22"/>
          <w:szCs w:val="22"/>
        </w:rPr>
        <w:t xml:space="preserve"> are injected into the hepatic artery via an angiographic catheter, where they lodge in the tumour's arterial microcirculation and deliver local radiotherapy. Used for liver-dominant metastatic CRC not amenable to resection or ablation, particularly in combination with systemic chemotherapy (SIRFLOX, FOXFIRE, GLOBE trials). Results for survival benefit have been mixed, but liver control is improved.</w:t>
      </w:r>
    </w:p>
    <w:p>
      <w:pPr>
        <w:pStyle w:val="Heading3"/>
        <w:spacing w:before="240" w:after="120"/>
      </w:pPr>
      <w:r>
        <w:rPr>
          <w:rFonts w:ascii="Arial" w:cs="Arial" w:eastAsia="Arial" w:hAnsi="Arial"/>
          <w:b/>
          <w:bCs/>
          <w:sz w:val="26"/>
          <w:szCs w:val="26"/>
        </w:rPr>
        <w:t xml:space="preserve">SABR (Stereotactic Ablative Radiotherapy)</w:t>
      </w:r>
    </w:p>
    <w:p>
      <w:pPr>
        <w:spacing w:after="120"/>
      </w:pPr>
      <w:r>
        <w:rPr>
          <w:rFonts w:ascii="Arial" w:cs="Arial" w:eastAsia="Arial" w:hAnsi="Arial"/>
          <w:b/>
          <w:bCs/>
          <w:sz w:val="22"/>
          <w:szCs w:val="22"/>
        </w:rPr>
        <w:t xml:space="preserve">SABR</w:t>
      </w:r>
      <w:r>
        <w:rPr>
          <w:rFonts w:ascii="Arial" w:cs="Arial" w:eastAsia="Arial" w:hAnsi="Arial"/>
          <w:sz w:val="22"/>
          <w:szCs w:val="22"/>
        </w:rPr>
        <w:t xml:space="preserve">: Also called SBRT (Stereotactic Body Radiation Therapy). Delivers high doses of precisely targeted radiotherapy to small, discrete metastatic deposits in a few fractions (typically 3–5 fractions). Used for:</w:t>
      </w:r>
    </w:p>
    <w:p>
      <w:pPr>
        <w:pStyle w:val="ListParagraph"/>
        <w:numPr>
          <w:ilvl w:val="0"/>
          <w:numId w:val="2"/>
        </w:numPr>
        <w:spacing w:after="80"/>
      </w:pPr>
      <w:r>
        <w:rPr>
          <w:rFonts w:ascii="Arial" w:cs="Arial" w:eastAsia="Arial" w:hAnsi="Arial"/>
          <w:sz w:val="22"/>
          <w:szCs w:val="22"/>
        </w:rPr>
        <w:t xml:space="preserve">Liver metastases not suitable for surgery or ablation</w:t>
      </w:r>
    </w:p>
    <w:p>
      <w:pPr>
        <w:pStyle w:val="ListParagraph"/>
        <w:numPr>
          <w:ilvl w:val="0"/>
          <w:numId w:val="2"/>
        </w:numPr>
        <w:spacing w:after="80"/>
      </w:pPr>
      <w:r>
        <w:rPr>
          <w:rFonts w:ascii="Arial" w:cs="Arial" w:eastAsia="Arial" w:hAnsi="Arial"/>
          <w:sz w:val="22"/>
          <w:szCs w:val="22"/>
        </w:rPr>
        <w:t xml:space="preserve">Lung metastases</w:t>
      </w:r>
    </w:p>
    <w:p>
      <w:pPr>
        <w:pStyle w:val="ListParagraph"/>
        <w:numPr>
          <w:ilvl w:val="0"/>
          <w:numId w:val="2"/>
        </w:numPr>
        <w:spacing w:after="80"/>
      </w:pPr>
      <w:r>
        <w:rPr>
          <w:rFonts w:ascii="Arial" w:cs="Arial" w:eastAsia="Arial" w:hAnsi="Arial"/>
          <w:sz w:val="22"/>
          <w:szCs w:val="22"/>
        </w:rPr>
        <w:t xml:space="preserve">Oligometastatic disease (a limited number of metastatic sites — typically 1–5 — which may be amenable to ablative treatments)</w:t>
      </w:r>
    </w:p>
    <w:p>
      <w:pPr>
        <w:pStyle w:val="ListParagraph"/>
        <w:numPr>
          <w:ilvl w:val="0"/>
          <w:numId w:val="2"/>
        </w:numPr>
        <w:spacing w:after="80"/>
      </w:pPr>
      <w:r>
        <w:rPr>
          <w:rFonts w:ascii="Arial" w:cs="Arial" w:eastAsia="Arial" w:hAnsi="Arial"/>
          <w:sz w:val="22"/>
          <w:szCs w:val="22"/>
        </w:rPr>
        <w:t xml:space="preserve">Local recurrence of rectal cancer</w:t>
      </w:r>
    </w:p>
    <w:p>
      <w:pPr>
        <w:pStyle w:val="Heading3"/>
        <w:spacing w:before="240" w:after="120"/>
      </w:pPr>
      <w:r>
        <w:rPr>
          <w:rFonts w:ascii="Arial" w:cs="Arial" w:eastAsia="Arial" w:hAnsi="Arial"/>
          <w:b/>
          <w:bCs/>
          <w:sz w:val="26"/>
          <w:szCs w:val="26"/>
        </w:rPr>
        <w:t xml:space="preserve">Ablation Techniques</w:t>
      </w:r>
    </w:p>
    <w:p>
      <w:pPr>
        <w:pStyle w:val="ListParagraph"/>
        <w:numPr>
          <w:ilvl w:val="0"/>
          <w:numId w:val="2"/>
        </w:numPr>
        <w:spacing w:after="80"/>
      </w:pPr>
      <w:r>
        <w:rPr>
          <w:rFonts w:ascii="Arial" w:cs="Arial" w:eastAsia="Arial" w:hAnsi="Arial"/>
          <w:b/>
          <w:bCs/>
          <w:sz w:val="22"/>
          <w:szCs w:val="22"/>
        </w:rPr>
        <w:t xml:space="preserve">RFA (Radiofrequency Ablation)</w:t>
      </w:r>
      <w:r>
        <w:rPr>
          <w:rFonts w:ascii="Arial" w:cs="Arial" w:eastAsia="Arial" w:hAnsi="Arial"/>
          <w:sz w:val="22"/>
          <w:szCs w:val="22"/>
        </w:rPr>
        <w:t xml:space="preserve">: A needle probe is inserted into a liver metastasis (percutaneously under CT guidance, or at surgery) and radiofrequency energy heats the tumour tissue to &gt;60°C, causing coagulative necrosis. Best for lesions &lt;3 cm and away from major bile ducts and vessels.</w:t>
      </w:r>
    </w:p>
    <w:p>
      <w:pPr>
        <w:pStyle w:val="ListParagraph"/>
        <w:numPr>
          <w:ilvl w:val="0"/>
          <w:numId w:val="2"/>
        </w:numPr>
        <w:spacing w:after="80"/>
      </w:pPr>
      <w:r>
        <w:rPr>
          <w:rFonts w:ascii="Arial" w:cs="Arial" w:eastAsia="Arial" w:hAnsi="Arial"/>
          <w:b/>
          <w:bCs/>
          <w:sz w:val="22"/>
          <w:szCs w:val="22"/>
        </w:rPr>
        <w:t xml:space="preserve">Microwave ablation</w:t>
      </w:r>
      <w:r>
        <w:rPr>
          <w:rFonts w:ascii="Arial" w:cs="Arial" w:eastAsia="Arial" w:hAnsi="Arial"/>
          <w:sz w:val="22"/>
          <w:szCs w:val="22"/>
        </w:rPr>
        <w:t xml:space="preserve">: Similar to RFA but uses microwave energy; achieves higher temperatures faster; may be more effective for larger lesions or those near vessels (which 'heat sink' RFA).</w:t>
      </w:r>
    </w:p>
    <w:p>
      <w:pPr>
        <w:pStyle w:val="ListParagraph"/>
        <w:numPr>
          <w:ilvl w:val="0"/>
          <w:numId w:val="2"/>
        </w:numPr>
        <w:spacing w:after="80"/>
      </w:pPr>
      <w:r>
        <w:rPr>
          <w:rFonts w:ascii="Arial" w:cs="Arial" w:eastAsia="Arial" w:hAnsi="Arial"/>
          <w:b/>
          <w:bCs/>
          <w:sz w:val="22"/>
          <w:szCs w:val="22"/>
        </w:rPr>
        <w:t xml:space="preserve">Cryoablation</w:t>
      </w:r>
      <w:r>
        <w:rPr>
          <w:rFonts w:ascii="Arial" w:cs="Arial" w:eastAsia="Arial" w:hAnsi="Arial"/>
          <w:sz w:val="22"/>
          <w:szCs w:val="22"/>
        </w:rPr>
        <w:t xml:space="preserve">: Freezes tumour tissue; less commonly used in colorectal liver metastases.</w:t>
      </w:r>
    </w:p>
    <w:p>
      <w:r>
        <w:br w:type="page"/>
      </w:r>
    </w:p>
    <w:p>
      <w:pPr>
        <w:pStyle w:val="Heading1"/>
        <w:spacing w:before="360" w:after="200"/>
      </w:pPr>
      <w:r>
        <w:rPr>
          <w:rFonts w:ascii="Arial" w:cs="Arial" w:eastAsia="Arial" w:hAnsi="Arial"/>
          <w:b/>
          <w:bCs/>
          <w:sz w:val="32"/>
          <w:szCs w:val="32"/>
        </w:rPr>
        <w:t xml:space="preserve">Section 7: Pathway Summaries</w:t>
      </w:r>
    </w:p>
    <w:p>
      <w:pPr>
        <w:pStyle w:val="Heading2"/>
        <w:spacing w:before="280" w:after="160"/>
      </w:pPr>
      <w:r>
        <w:rPr>
          <w:rFonts w:ascii="Arial" w:cs="Arial" w:eastAsia="Arial" w:hAnsi="Arial"/>
          <w:b/>
          <w:bCs/>
          <w:sz w:val="28"/>
          <w:szCs w:val="28"/>
        </w:rPr>
        <w:t xml:space="preserve">7.1 Early Colon Cancer (T1/T2, N0, M0)</w:t>
      </w:r>
    </w:p>
    <w:p>
      <w:pPr>
        <w:spacing w:after="120"/>
      </w:pPr>
      <w:r>
        <w:rPr>
          <w:rFonts w:ascii="Arial" w:cs="Arial" w:eastAsia="Arial" w:hAnsi="Arial"/>
          <w:b/>
          <w:bCs/>
          <w:sz w:val="22"/>
          <w:szCs w:val="22"/>
        </w:rPr>
        <w:t xml:space="preserve">Clinical scenario</w:t>
      </w:r>
      <w:r>
        <w:rPr>
          <w:rFonts w:ascii="Arial" w:cs="Arial" w:eastAsia="Arial" w:hAnsi="Arial"/>
          <w:sz w:val="22"/>
          <w:szCs w:val="22"/>
        </w:rPr>
        <w:t xml:space="preserve">: A 67-year-old man presents to his GP with iron deficiency anaemia. Two-week wait colonoscopy reveals a 2 cm polypoid cancer in the ascending colon. Biopsy confirms moderately differentiated adenocarcinoma. CT TAP shows no liver or lung metastases, no lymphadenopathy.</w:t>
      </w:r>
    </w:p>
    <w:p>
      <w:pPr>
        <w:pStyle w:val="ListParagraph"/>
        <w:numPr>
          <w:ilvl w:val="0"/>
          <w:numId w:val="3"/>
        </w:numPr>
        <w:spacing w:after="80"/>
      </w:pPr>
      <w:r>
        <w:rPr>
          <w:rFonts w:ascii="Arial" w:cs="Arial" w:eastAsia="Arial" w:hAnsi="Arial"/>
          <w:sz w:val="22"/>
          <w:szCs w:val="22"/>
        </w:rPr>
        <w:t xml:space="preserve">GP refers on TWR (Two-Week Wait) pathway. Patient seen in surgical clinic within 14 days.</w:t>
      </w:r>
    </w:p>
    <w:p>
      <w:pPr>
        <w:pStyle w:val="ListParagraph"/>
        <w:numPr>
          <w:ilvl w:val="0"/>
          <w:numId w:val="3"/>
        </w:numPr>
        <w:spacing w:after="80"/>
      </w:pPr>
      <w:r>
        <w:rPr>
          <w:rFonts w:ascii="Arial" w:cs="Arial" w:eastAsia="Arial" w:hAnsi="Arial"/>
          <w:sz w:val="22"/>
          <w:szCs w:val="22"/>
        </w:rPr>
        <w:t xml:space="preserve">Colonoscopy performed. Cancer biopsied and tattooed adjacent to the lesion for surgical localisation.</w:t>
      </w:r>
    </w:p>
    <w:p>
      <w:pPr>
        <w:pStyle w:val="ListParagraph"/>
        <w:numPr>
          <w:ilvl w:val="0"/>
          <w:numId w:val="3"/>
        </w:numPr>
        <w:spacing w:after="80"/>
      </w:pPr>
      <w:r>
        <w:rPr>
          <w:rFonts w:ascii="Arial" w:cs="Arial" w:eastAsia="Arial" w:hAnsi="Arial"/>
          <w:sz w:val="22"/>
          <w:szCs w:val="22"/>
        </w:rPr>
        <w:t xml:space="preserve">CT TAP arranged → no distant disease. Clinical staging: cT2N0M0 (ascending colon adenocarcinoma).</w:t>
      </w:r>
    </w:p>
    <w:p>
      <w:pPr>
        <w:pStyle w:val="ListParagraph"/>
        <w:numPr>
          <w:ilvl w:val="0"/>
          <w:numId w:val="3"/>
        </w:numPr>
        <w:spacing w:after="80"/>
      </w:pPr>
      <w:r>
        <w:rPr>
          <w:rFonts w:ascii="Arial" w:cs="Arial" w:eastAsia="Arial" w:hAnsi="Arial"/>
          <w:sz w:val="22"/>
          <w:szCs w:val="22"/>
        </w:rPr>
        <w:t xml:space="preserve">Histopathology confirms moderately differentiated adenocarcinoma. MMR testing: pMMR (MLH1, MSH2, MSH6, PMS2 all retained).</w:t>
      </w:r>
    </w:p>
    <w:p>
      <w:pPr>
        <w:pStyle w:val="ListParagraph"/>
        <w:numPr>
          <w:ilvl w:val="0"/>
          <w:numId w:val="3"/>
        </w:numPr>
        <w:spacing w:after="80"/>
      </w:pPr>
      <w:r>
        <w:rPr>
          <w:rFonts w:ascii="Arial" w:cs="Arial" w:eastAsia="Arial" w:hAnsi="Arial"/>
          <w:sz w:val="22"/>
          <w:szCs w:val="22"/>
        </w:rPr>
        <w:t xml:space="preserve">MDT discussion: No MRI required (colon cancer, not rectal). Recommend right hemicolectomy with complete mesocolic excision (CME) and high vascular tie. No neoadjuvant treatment indicated. Endoscopic tattoo already in situ.</w:t>
      </w:r>
    </w:p>
    <w:p>
      <w:pPr>
        <w:pStyle w:val="ListParagraph"/>
        <w:numPr>
          <w:ilvl w:val="0"/>
          <w:numId w:val="3"/>
        </w:numPr>
        <w:spacing w:after="80"/>
      </w:pPr>
      <w:r>
        <w:rPr>
          <w:rFonts w:ascii="Arial" w:cs="Arial" w:eastAsia="Arial" w:hAnsi="Arial"/>
          <w:sz w:val="22"/>
          <w:szCs w:val="22"/>
        </w:rPr>
        <w:t xml:space="preserve">Decision to Treat (DTT) recorded. CNS contacts patient and explains the plan.</w:t>
      </w:r>
    </w:p>
    <w:p>
      <w:pPr>
        <w:pStyle w:val="ListParagraph"/>
        <w:numPr>
          <w:ilvl w:val="0"/>
          <w:numId w:val="3"/>
        </w:numPr>
        <w:spacing w:after="80"/>
      </w:pPr>
      <w:r>
        <w:rPr>
          <w:rFonts w:ascii="Arial" w:cs="Arial" w:eastAsia="Arial" w:hAnsi="Arial"/>
          <w:sz w:val="22"/>
          <w:szCs w:val="22"/>
        </w:rPr>
        <w:t xml:space="preserve">Laparoscopic right hemicolectomy performed within 31 days of DTT (and within 62 days of TWR referral).</w:t>
      </w:r>
    </w:p>
    <w:p>
      <w:pPr>
        <w:pStyle w:val="ListParagraph"/>
        <w:numPr>
          <w:ilvl w:val="0"/>
          <w:numId w:val="3"/>
        </w:numPr>
        <w:spacing w:after="80"/>
      </w:pPr>
      <w:r>
        <w:rPr>
          <w:rFonts w:ascii="Arial" w:cs="Arial" w:eastAsia="Arial" w:hAnsi="Arial"/>
          <w:sz w:val="22"/>
          <w:szCs w:val="22"/>
        </w:rPr>
        <w:t xml:space="preserve">Resection specimen sent to pathology. Pathological staging: pT2N0M0 (0 of 23 lymph nodes positive). R0 resection. EMVI negative.</w:t>
      </w:r>
    </w:p>
    <w:p>
      <w:pPr>
        <w:pStyle w:val="ListParagraph"/>
        <w:numPr>
          <w:ilvl w:val="0"/>
          <w:numId w:val="3"/>
        </w:numPr>
        <w:spacing w:after="80"/>
      </w:pPr>
      <w:r>
        <w:rPr>
          <w:rFonts w:ascii="Arial" w:cs="Arial" w:eastAsia="Arial" w:hAnsi="Arial"/>
          <w:sz w:val="22"/>
          <w:szCs w:val="22"/>
        </w:rPr>
        <w:t xml:space="preserve">MDT rediscussion of pathology: pMMR, pT2N0M0, no adverse features. Adjuvant chemotherapy NOT indicated (Stage I disease). Surveillance arranged per NICE/ACPGBI guidelines (CT at 1 year and 3 years; colonoscopy at 1 year).</w:t>
      </w:r>
    </w:p>
    <w:p>
      <w:pPr>
        <w:pStyle w:val="ListParagraph"/>
        <w:numPr>
          <w:ilvl w:val="0"/>
          <w:numId w:val="3"/>
        </w:numPr>
        <w:spacing w:after="80"/>
      </w:pPr>
      <w:r>
        <w:rPr>
          <w:rFonts w:ascii="Arial" w:cs="Arial" w:eastAsia="Arial" w:hAnsi="Arial"/>
          <w:sz w:val="22"/>
          <w:szCs w:val="22"/>
        </w:rPr>
        <w:t xml:space="preserve">Patient discharged to shared-care follow-up.</w:t>
      </w:r>
    </w:p>
    <w:p>
      <w:pPr>
        <w:spacing w:after="80"/>
      </w:pPr>
      <w:r>
        <w:t xml:space="preserve"/>
      </w:r>
    </w:p>
    <w:p>
      <w:pPr>
        <w:pStyle w:val="Heading2"/>
        <w:spacing w:before="280" w:after="160"/>
      </w:pPr>
      <w:r>
        <w:rPr>
          <w:rFonts w:ascii="Arial" w:cs="Arial" w:eastAsia="Arial" w:hAnsi="Arial"/>
          <w:b/>
          <w:bCs/>
          <w:sz w:val="28"/>
          <w:szCs w:val="28"/>
        </w:rPr>
        <w:t xml:space="preserve">7.2 Locally Advanced Rectal Cancer (T3/T4, CRM Threatened) — Neoadjuvant CRT Pathway</w:t>
      </w:r>
    </w:p>
    <w:p>
      <w:pPr>
        <w:spacing w:after="120"/>
      </w:pPr>
      <w:r>
        <w:rPr>
          <w:rFonts w:ascii="Arial" w:cs="Arial" w:eastAsia="Arial" w:hAnsi="Arial"/>
          <w:b/>
          <w:bCs/>
          <w:sz w:val="22"/>
          <w:szCs w:val="22"/>
        </w:rPr>
        <w:t xml:space="preserve">Clinical scenario</w:t>
      </w:r>
      <w:r>
        <w:rPr>
          <w:rFonts w:ascii="Arial" w:cs="Arial" w:eastAsia="Arial" w:hAnsi="Arial"/>
          <w:sz w:val="22"/>
          <w:szCs w:val="22"/>
        </w:rPr>
        <w:t xml:space="preserve">: A 58-year-old woman presents with 3 months of rectal bleeding and change in bowel habit. Rigid sigmoidoscopy in clinic shows a firm tumour 5 cm from the anal verge. Flexible sigmoidoscopy with biopsy: poorly differentiated adenocarcinoma. MMR: pMMR.</w:t>
      </w:r>
    </w:p>
    <w:p>
      <w:pPr>
        <w:pStyle w:val="ListParagraph"/>
        <w:numPr>
          <w:ilvl w:val="0"/>
          <w:numId w:val="3"/>
        </w:numPr>
        <w:spacing w:after="80"/>
      </w:pPr>
      <w:r>
        <w:rPr>
          <w:rFonts w:ascii="Arial" w:cs="Arial" w:eastAsia="Arial" w:hAnsi="Arial"/>
          <w:sz w:val="22"/>
          <w:szCs w:val="22"/>
        </w:rPr>
        <w:t xml:space="preserve">TWR referral → seen in colorectal surgery clinic within 14 days.</w:t>
      </w:r>
    </w:p>
    <w:p>
      <w:pPr>
        <w:pStyle w:val="ListParagraph"/>
        <w:numPr>
          <w:ilvl w:val="0"/>
          <w:numId w:val="3"/>
        </w:numPr>
        <w:spacing w:after="80"/>
      </w:pPr>
      <w:r>
        <w:rPr>
          <w:rFonts w:ascii="Arial" w:cs="Arial" w:eastAsia="Arial" w:hAnsi="Arial"/>
          <w:sz w:val="22"/>
          <w:szCs w:val="22"/>
        </w:rPr>
        <w:t xml:space="preserve">CT TAP performed → no distant metastases. CEA 18 ng/mL.</w:t>
      </w:r>
    </w:p>
    <w:p>
      <w:pPr>
        <w:pStyle w:val="ListParagraph"/>
        <w:numPr>
          <w:ilvl w:val="0"/>
          <w:numId w:val="3"/>
        </w:numPr>
        <w:spacing w:after="80"/>
      </w:pPr>
      <w:r>
        <w:rPr>
          <w:rFonts w:ascii="Arial" w:cs="Arial" w:eastAsia="Arial" w:hAnsi="Arial"/>
          <w:sz w:val="22"/>
          <w:szCs w:val="22"/>
        </w:rPr>
        <w:t xml:space="preserve">High-resolution MRI pelvis performed. Radiologist reports: mrT3c tumour at 5 cm from anal verge (low rectum), mrN1b (2 suspicious perirectal nodes), mrCRM 0.5 mm (threatened), mrEMVI positive. ISP not involved.</w:t>
      </w:r>
    </w:p>
    <w:p>
      <w:pPr>
        <w:pStyle w:val="ListParagraph"/>
        <w:numPr>
          <w:ilvl w:val="0"/>
          <w:numId w:val="3"/>
        </w:numPr>
        <w:spacing w:after="80"/>
      </w:pPr>
      <w:r>
        <w:rPr>
          <w:rFonts w:ascii="Arial" w:cs="Arial" w:eastAsia="Arial" w:hAnsi="Arial"/>
          <w:sz w:val="22"/>
          <w:szCs w:val="22"/>
        </w:rPr>
        <w:t xml:space="preserve">MDT discussion: Low rectal cancer, pMMR, threatened CRM, EMVI positive — high-risk features. Decision: long-course chemoradiotherapy (45 Gy in 25 fractions with concurrent capecitabine), followed by restaging MRI at 6–8 weeks, then surgical review.</w:t>
      </w:r>
    </w:p>
    <w:p>
      <w:pPr>
        <w:pStyle w:val="ListParagraph"/>
        <w:numPr>
          <w:ilvl w:val="0"/>
          <w:numId w:val="3"/>
        </w:numPr>
        <w:spacing w:after="80"/>
      </w:pPr>
      <w:r>
        <w:rPr>
          <w:rFonts w:ascii="Arial" w:cs="Arial" w:eastAsia="Arial" w:hAnsi="Arial"/>
          <w:sz w:val="22"/>
          <w:szCs w:val="22"/>
        </w:rPr>
        <w:t xml:space="preserve">Long-course CRT delivered over 5 weeks. Concurrent capecitabine taken on radiotherapy days.</w:t>
      </w:r>
    </w:p>
    <w:p>
      <w:pPr>
        <w:pStyle w:val="ListParagraph"/>
        <w:numPr>
          <w:ilvl w:val="0"/>
          <w:numId w:val="3"/>
        </w:numPr>
        <w:spacing w:after="80"/>
      </w:pPr>
      <w:r>
        <w:rPr>
          <w:rFonts w:ascii="Arial" w:cs="Arial" w:eastAsia="Arial" w:hAnsi="Arial"/>
          <w:sz w:val="22"/>
          <w:szCs w:val="22"/>
        </w:rPr>
        <w:t xml:space="preserve">Restaging MRI pelvis at 8 weeks post-CRT: mrTRG 2 — near-complete response. ycCRM now clear (&gt;3 mm). ycN0. ISP not involved.</w:t>
      </w:r>
    </w:p>
    <w:p>
      <w:pPr>
        <w:pStyle w:val="ListParagraph"/>
        <w:numPr>
          <w:ilvl w:val="0"/>
          <w:numId w:val="3"/>
        </w:numPr>
        <w:spacing w:after="80"/>
      </w:pPr>
      <w:r>
        <w:rPr>
          <w:rFonts w:ascii="Arial" w:cs="Arial" w:eastAsia="Arial" w:hAnsi="Arial"/>
          <w:sz w:val="22"/>
          <w:szCs w:val="22"/>
        </w:rPr>
        <w:t xml:space="preserve">MDT rediscussion: Good response. Proceed to surgery. Sphincter preservation may be possible given the distance (5 cm) and MRI response. Discuss with patient re: risks of very low anastomosis vs permanent stoma (APE/ELAPE).</w:t>
      </w:r>
    </w:p>
    <w:p>
      <w:pPr>
        <w:pStyle w:val="ListParagraph"/>
        <w:numPr>
          <w:ilvl w:val="0"/>
          <w:numId w:val="3"/>
        </w:numPr>
        <w:spacing w:after="80"/>
      </w:pPr>
      <w:r>
        <w:rPr>
          <w:rFonts w:ascii="Arial" w:cs="Arial" w:eastAsia="Arial" w:hAnsi="Arial"/>
          <w:sz w:val="22"/>
          <w:szCs w:val="22"/>
        </w:rPr>
        <w:t xml:space="preserve">After discussion with the patient (who strongly wishes to avoid a permanent stoma), surgeon proceeds with low anterior resection (LAR) with TME + defunctioning loop ileostomy.</w:t>
      </w:r>
    </w:p>
    <w:p>
      <w:pPr>
        <w:pStyle w:val="ListParagraph"/>
        <w:numPr>
          <w:ilvl w:val="0"/>
          <w:numId w:val="3"/>
        </w:numPr>
        <w:spacing w:after="80"/>
      </w:pPr>
      <w:r>
        <w:rPr>
          <w:rFonts w:ascii="Arial" w:cs="Arial" w:eastAsia="Arial" w:hAnsi="Arial"/>
          <w:sz w:val="22"/>
          <w:szCs w:val="22"/>
        </w:rPr>
        <w:t xml:space="preserve">Pathological staging: ypT1N0M0 (1 of 18 lymph nodes — negative). R0 resection. Tumour regression grade (TRG) 2.</w:t>
      </w:r>
    </w:p>
    <w:p>
      <w:pPr>
        <w:pStyle w:val="ListParagraph"/>
        <w:numPr>
          <w:ilvl w:val="0"/>
          <w:numId w:val="3"/>
        </w:numPr>
        <w:spacing w:after="80"/>
      </w:pPr>
      <w:r>
        <w:rPr>
          <w:rFonts w:ascii="Arial" w:cs="Arial" w:eastAsia="Arial" w:hAnsi="Arial"/>
          <w:sz w:val="22"/>
          <w:szCs w:val="22"/>
        </w:rPr>
        <w:t xml:space="preserve">MDT rediscussion: Good pathological response. ypN0. Adjuvant CAPOX chemotherapy offered (8 cycles) — standard approach for N0 post-CRT rectal cancer at this centre.</w:t>
      </w:r>
    </w:p>
    <w:p>
      <w:pPr>
        <w:pStyle w:val="ListParagraph"/>
        <w:numPr>
          <w:ilvl w:val="0"/>
          <w:numId w:val="3"/>
        </w:numPr>
        <w:spacing w:after="80"/>
      </w:pPr>
      <w:r>
        <w:rPr>
          <w:rFonts w:ascii="Arial" w:cs="Arial" w:eastAsia="Arial" w:hAnsi="Arial"/>
          <w:sz w:val="22"/>
          <w:szCs w:val="22"/>
        </w:rPr>
        <w:t xml:space="preserve">Loop ileostomy reversed at 4 months post-operatively after confirmation of anastomotic integrity.</w:t>
      </w:r>
    </w:p>
    <w:p>
      <w:pPr>
        <w:pStyle w:val="ListParagraph"/>
        <w:numPr>
          <w:ilvl w:val="0"/>
          <w:numId w:val="3"/>
        </w:numPr>
        <w:spacing w:after="80"/>
      </w:pPr>
      <w:r>
        <w:rPr>
          <w:rFonts w:ascii="Arial" w:cs="Arial" w:eastAsia="Arial" w:hAnsi="Arial"/>
          <w:sz w:val="22"/>
          <w:szCs w:val="22"/>
        </w:rPr>
        <w:t xml:space="preserve">Surveillance: CT at 1 and 3 years; MRI pelvis at 1 year; colonoscopy at 1 year; 6-monthly CEA.</w:t>
      </w:r>
    </w:p>
    <w:p>
      <w:pPr>
        <w:spacing w:after="80"/>
      </w:pPr>
      <w:r>
        <w:t xml:space="preserve"/>
      </w:r>
    </w:p>
    <w:p>
      <w:pPr>
        <w:pStyle w:val="Heading2"/>
        <w:spacing w:before="280" w:after="160"/>
      </w:pPr>
      <w:r>
        <w:rPr>
          <w:rFonts w:ascii="Arial" w:cs="Arial" w:eastAsia="Arial" w:hAnsi="Arial"/>
          <w:b/>
          <w:bCs/>
          <w:sz w:val="28"/>
          <w:szCs w:val="28"/>
        </w:rPr>
        <w:t xml:space="preserve">7.3 Metastatic Colorectal Cancer (M1) — Systemic Chemotherapy and MDT Discussion of Resectability</w:t>
      </w:r>
    </w:p>
    <w:p>
      <w:pPr>
        <w:spacing w:after="120"/>
      </w:pPr>
      <w:r>
        <w:rPr>
          <w:rFonts w:ascii="Arial" w:cs="Arial" w:eastAsia="Arial" w:hAnsi="Arial"/>
          <w:b/>
          <w:bCs/>
          <w:sz w:val="22"/>
          <w:szCs w:val="22"/>
        </w:rPr>
        <w:t xml:space="preserve">Clinical scenario</w:t>
      </w:r>
      <w:r>
        <w:rPr>
          <w:rFonts w:ascii="Arial" w:cs="Arial" w:eastAsia="Arial" w:hAnsi="Arial"/>
          <w:sz w:val="22"/>
          <w:szCs w:val="22"/>
        </w:rPr>
        <w:t xml:space="preserve">: A 71-year-old man presents with weight loss and right upper quadrant pain. CT abdomen shows a sigmoid mass and multiple bilateral liver metastases (largest 5 cm), plus two lung nodules. CT-guided biopsy of a liver metastasis: metastatic adenocarcinoma, CK20+/CDX2+, consistent with colorectal origin. Colonoscopy: sigmoid cancer. MMR: pMMR. RAS/BRAF panel: KRAS exon 2 mutation detected.</w:t>
      </w:r>
    </w:p>
    <w:p>
      <w:pPr>
        <w:pStyle w:val="ListParagraph"/>
        <w:numPr>
          <w:ilvl w:val="0"/>
          <w:numId w:val="3"/>
        </w:numPr>
        <w:spacing w:after="80"/>
      </w:pPr>
      <w:r>
        <w:rPr>
          <w:rFonts w:ascii="Arial" w:cs="Arial" w:eastAsia="Arial" w:hAnsi="Arial"/>
          <w:sz w:val="22"/>
          <w:szCs w:val="22"/>
        </w:rPr>
        <w:t xml:space="preserve">Emergency oncology referral. CT TAP confirms Stage IVB disease (M1b: liver + lung).</w:t>
      </w:r>
    </w:p>
    <w:p>
      <w:pPr>
        <w:pStyle w:val="ListParagraph"/>
        <w:numPr>
          <w:ilvl w:val="0"/>
          <w:numId w:val="3"/>
        </w:numPr>
        <w:spacing w:after="80"/>
      </w:pPr>
      <w:r>
        <w:rPr>
          <w:rFonts w:ascii="Arial" w:cs="Arial" w:eastAsia="Arial" w:hAnsi="Arial"/>
          <w:sz w:val="22"/>
          <w:szCs w:val="22"/>
        </w:rPr>
        <w:t xml:space="preserve">MDT discussion: Incurable disease as staged. KRAS mutated — anti-EGFR agents are ineffective. MSS — immunotherapy is ineffective as single agent. Recommend palliative systemic chemotherapy with FOLFOX + bevacizumab (KRAS mutated, so bevacizumab added to FOLFOX as standard of care for RAS-mutated left-sided mCRC).</w:t>
      </w:r>
    </w:p>
    <w:p>
      <w:pPr>
        <w:pStyle w:val="ListParagraph"/>
        <w:numPr>
          <w:ilvl w:val="0"/>
          <w:numId w:val="3"/>
        </w:numPr>
        <w:spacing w:after="80"/>
      </w:pPr>
      <w:r>
        <w:rPr>
          <w:rFonts w:ascii="Arial" w:cs="Arial" w:eastAsia="Arial" w:hAnsi="Arial"/>
          <w:sz w:val="22"/>
          <w:szCs w:val="22"/>
        </w:rPr>
        <w:t xml:space="preserve">Treatment starts. Bevacizumab held for 4 weeks pre-surgery if any surgical intervention needed for the primary (e.g. obstruction). Primary sigmoid cancer is not obstructing; primary resection deferred unless complications arise.</w:t>
      </w:r>
    </w:p>
    <w:p>
      <w:pPr>
        <w:pStyle w:val="ListParagraph"/>
        <w:numPr>
          <w:ilvl w:val="0"/>
          <w:numId w:val="3"/>
        </w:numPr>
        <w:spacing w:after="80"/>
      </w:pPr>
      <w:r>
        <w:rPr>
          <w:rFonts w:ascii="Arial" w:cs="Arial" w:eastAsia="Arial" w:hAnsi="Arial"/>
          <w:sz w:val="22"/>
          <w:szCs w:val="22"/>
        </w:rPr>
        <w:t xml:space="preserve">After 4 cycles (8 weeks) of FOLFOX + bevacizumab: restaging CT. Partial response — liver metastases reduced in size; lung nodules unchanged.</w:t>
      </w:r>
    </w:p>
    <w:p>
      <w:pPr>
        <w:pStyle w:val="ListParagraph"/>
        <w:numPr>
          <w:ilvl w:val="0"/>
          <w:numId w:val="3"/>
        </w:numPr>
        <w:spacing w:after="80"/>
      </w:pPr>
      <w:r>
        <w:rPr>
          <w:rFonts w:ascii="Arial" w:cs="Arial" w:eastAsia="Arial" w:hAnsi="Arial"/>
          <w:sz w:val="22"/>
          <w:szCs w:val="22"/>
        </w:rPr>
        <w:t xml:space="preserve">MDT rediscussion including hepatobiliary surgeon (liver MDT): Liver remains unresectable (too many bilateral lesions; FLR insufficient). Lung nodules too small to treat. Continue systemic chemotherapy.</w:t>
      </w:r>
    </w:p>
    <w:p>
      <w:pPr>
        <w:pStyle w:val="ListParagraph"/>
        <w:numPr>
          <w:ilvl w:val="0"/>
          <w:numId w:val="3"/>
        </w:numPr>
        <w:spacing w:after="80"/>
      </w:pPr>
      <w:r>
        <w:rPr>
          <w:rFonts w:ascii="Arial" w:cs="Arial" w:eastAsia="Arial" w:hAnsi="Arial"/>
          <w:sz w:val="22"/>
          <w:szCs w:val="22"/>
        </w:rPr>
        <w:t xml:space="preserve">After 8 cycles: restaging CT. Further response. Liver metastases now technically resectable in experienced hands with two-stage hepatectomy. MDT recommendation: Refer to hepatobiliary centre for assessment of two-stage hepatectomy +/- lung resection staging.</w:t>
      </w:r>
    </w:p>
    <w:p>
      <w:pPr>
        <w:pStyle w:val="ListParagraph"/>
        <w:numPr>
          <w:ilvl w:val="0"/>
          <w:numId w:val="3"/>
        </w:numPr>
        <w:spacing w:after="80"/>
      </w:pPr>
      <w:r>
        <w:rPr>
          <w:rFonts w:ascii="Arial" w:cs="Arial" w:eastAsia="Arial" w:hAnsi="Arial"/>
          <w:sz w:val="22"/>
          <w:szCs w:val="22"/>
        </w:rPr>
        <w:t xml:space="preserve">Hepatobiliary MDT at tertiary centre: Staged hepatectomy planned (right hepatectomy stage 1, followed by portal vein embolisation to hypertrophy left lobe, then completion left hepatectomy stage 2).</w:t>
      </w:r>
    </w:p>
    <w:p>
      <w:pPr>
        <w:pStyle w:val="ListParagraph"/>
        <w:numPr>
          <w:ilvl w:val="0"/>
          <w:numId w:val="3"/>
        </w:numPr>
        <w:spacing w:after="80"/>
      </w:pPr>
      <w:r>
        <w:rPr>
          <w:rFonts w:ascii="Arial" w:cs="Arial" w:eastAsia="Arial" w:hAnsi="Arial"/>
          <w:sz w:val="22"/>
          <w:szCs w:val="22"/>
        </w:rPr>
        <w:t xml:space="preserve">Two-stage hepatectomy completed. Clear margins. Lung nodules — PET-CT shows FDG-avid left lower lobe nodule (confirmed metastasis by resection). Lung resection performed.</w:t>
      </w:r>
    </w:p>
    <w:p>
      <w:pPr>
        <w:pStyle w:val="ListParagraph"/>
        <w:numPr>
          <w:ilvl w:val="0"/>
          <w:numId w:val="3"/>
        </w:numPr>
        <w:spacing w:after="80"/>
      </w:pPr>
      <w:r>
        <w:rPr>
          <w:rFonts w:ascii="Arial" w:cs="Arial" w:eastAsia="Arial" w:hAnsi="Arial"/>
          <w:sz w:val="22"/>
          <w:szCs w:val="22"/>
        </w:rPr>
        <w:t xml:space="preserve">Post-resection: 6 cycles of adjuvant CAPOX. CEA normalises.</w:t>
      </w:r>
    </w:p>
    <w:p>
      <w:pPr>
        <w:pStyle w:val="ListParagraph"/>
        <w:numPr>
          <w:ilvl w:val="0"/>
          <w:numId w:val="3"/>
        </w:numPr>
        <w:spacing w:after="80"/>
      </w:pPr>
      <w:r>
        <w:rPr>
          <w:rFonts w:ascii="Arial" w:cs="Arial" w:eastAsia="Arial" w:hAnsi="Arial"/>
          <w:sz w:val="22"/>
          <w:szCs w:val="22"/>
        </w:rPr>
        <w:t xml:space="preserve">Long-term surveillance: 6-monthly CT thorax/abdomen/pelvis; 6-monthly CEA; colonoscopy year 1. Patient remains disease-free at 3 years.</w:t>
      </w:r>
    </w:p>
    <w:p>
      <w:pPr>
        <w:spacing w:after="80"/>
      </w:pPr>
      <w:r>
        <w:t xml:space="preserve"/>
      </w:r>
    </w:p>
    <w:p>
      <w:pPr>
        <w:pStyle w:val="Heading2"/>
        <w:spacing w:before="280" w:after="160"/>
      </w:pPr>
      <w:r>
        <w:rPr>
          <w:rFonts w:ascii="Arial" w:cs="Arial" w:eastAsia="Arial" w:hAnsi="Arial"/>
          <w:b/>
          <w:bCs/>
          <w:sz w:val="28"/>
          <w:szCs w:val="28"/>
        </w:rPr>
        <w:t xml:space="preserve">7.4 Rectal Cancer — Watch and Wait After Complete Clinical Response</w:t>
      </w:r>
    </w:p>
    <w:p>
      <w:pPr>
        <w:spacing w:after="120"/>
      </w:pPr>
      <w:r>
        <w:rPr>
          <w:rFonts w:ascii="Arial" w:cs="Arial" w:eastAsia="Arial" w:hAnsi="Arial"/>
          <w:b/>
          <w:bCs/>
          <w:sz w:val="22"/>
          <w:szCs w:val="22"/>
        </w:rPr>
        <w:t xml:space="preserve">Clinical scenario</w:t>
      </w:r>
      <w:r>
        <w:rPr>
          <w:rFonts w:ascii="Arial" w:cs="Arial" w:eastAsia="Arial" w:hAnsi="Arial"/>
          <w:sz w:val="22"/>
          <w:szCs w:val="22"/>
        </w:rPr>
        <w:t xml:space="preserve">: A 64-year-old woman presents with rectal bleeding. MRI: mrT3b tumour at 4 cm from anal verge (low rectum), mrN1a, mrCRM 0.8 mm (threatened), mrEMVI negative. Histology: moderately differentiated adenocarcinoma, pMMR. CEA 4 ng/mL. CT TAP: no distant disease.</w:t>
      </w:r>
    </w:p>
    <w:p>
      <w:pPr>
        <w:pStyle w:val="ListParagraph"/>
        <w:numPr>
          <w:ilvl w:val="0"/>
          <w:numId w:val="3"/>
        </w:numPr>
        <w:spacing w:after="80"/>
      </w:pPr>
      <w:r>
        <w:rPr>
          <w:rFonts w:ascii="Arial" w:cs="Arial" w:eastAsia="Arial" w:hAnsi="Arial"/>
          <w:sz w:val="22"/>
          <w:szCs w:val="22"/>
        </w:rPr>
        <w:t xml:space="preserve">MDT discussion: Low rectal cancer, threatened CRM. Standard recommendation: long-course CRT → surgery. However, patient is very anxious about a permanent stoma (APE would likely be required given tumour at 4 cm). MDT agrees: after CRT, if near-complete or complete clinical response, patient to be offered W&amp;W.</w:t>
      </w:r>
    </w:p>
    <w:p>
      <w:pPr>
        <w:pStyle w:val="ListParagraph"/>
        <w:numPr>
          <w:ilvl w:val="0"/>
          <w:numId w:val="3"/>
        </w:numPr>
        <w:spacing w:after="80"/>
      </w:pPr>
      <w:r>
        <w:rPr>
          <w:rFonts w:ascii="Arial" w:cs="Arial" w:eastAsia="Arial" w:hAnsi="Arial"/>
          <w:sz w:val="22"/>
          <w:szCs w:val="22"/>
        </w:rPr>
        <w:t xml:space="preserve">Long-course CRT: 45 Gy / 25 fractions + concurrent capecitabine.</w:t>
      </w:r>
    </w:p>
    <w:p>
      <w:pPr>
        <w:pStyle w:val="ListParagraph"/>
        <w:numPr>
          <w:ilvl w:val="0"/>
          <w:numId w:val="3"/>
        </w:numPr>
        <w:spacing w:after="80"/>
      </w:pPr>
      <w:r>
        <w:rPr>
          <w:rFonts w:ascii="Arial" w:cs="Arial" w:eastAsia="Arial" w:hAnsi="Arial"/>
          <w:sz w:val="22"/>
          <w:szCs w:val="22"/>
        </w:rPr>
        <w:t xml:space="preserve">8-week restaging MRI: mrTRG 1 — predominantly fibrotic signal, no residual tumour signal. ycN0. ycCRM &gt; 5 mm.</w:t>
      </w:r>
    </w:p>
    <w:p>
      <w:pPr>
        <w:pStyle w:val="ListParagraph"/>
        <w:numPr>
          <w:ilvl w:val="0"/>
          <w:numId w:val="3"/>
        </w:numPr>
        <w:spacing w:after="80"/>
      </w:pPr>
      <w:r>
        <w:rPr>
          <w:rFonts w:ascii="Arial" w:cs="Arial" w:eastAsia="Arial" w:hAnsi="Arial"/>
          <w:sz w:val="22"/>
          <w:szCs w:val="22"/>
        </w:rPr>
        <w:t xml:space="preserve">Sigmoidoscopy + digital rectal examination (DRE) at 10 weeks post-CRT: Pale, flat scar at previous tumour site. No palpable tumour. Whitish/stellate scar only. CEA 1.8 ng/mL.</w:t>
      </w:r>
    </w:p>
    <w:p>
      <w:pPr>
        <w:pStyle w:val="ListParagraph"/>
        <w:numPr>
          <w:ilvl w:val="0"/>
          <w:numId w:val="3"/>
        </w:numPr>
        <w:spacing w:after="80"/>
      </w:pPr>
      <w:r>
        <w:rPr>
          <w:rFonts w:ascii="Arial" w:cs="Arial" w:eastAsia="Arial" w:hAnsi="Arial"/>
          <w:sz w:val="22"/>
          <w:szCs w:val="22"/>
        </w:rPr>
        <w:t xml:space="preserve">MDT rediscussion: Complete clinical response (cCR) established. Patient reviewed by colorectal surgeon and CNS. Patient fully counselled on W&amp;W risks (25–35% regrowth rate), surveillance requirements, and availability of salvage surgery.</w:t>
      </w:r>
    </w:p>
    <w:p>
      <w:pPr>
        <w:pStyle w:val="ListParagraph"/>
        <w:numPr>
          <w:ilvl w:val="0"/>
          <w:numId w:val="3"/>
        </w:numPr>
        <w:spacing w:after="80"/>
      </w:pPr>
      <w:r>
        <w:rPr>
          <w:rFonts w:ascii="Arial" w:cs="Arial" w:eastAsia="Arial" w:hAnsi="Arial"/>
          <w:sz w:val="22"/>
          <w:szCs w:val="22"/>
        </w:rPr>
        <w:t xml:space="preserve">Patient opts for W&amp;W. Enrolled in the hospital's W&amp;W protocol. Baseline restaging at 12 weeks (MRI + rigid sigmoidoscopy + DRE).</w:t>
      </w:r>
    </w:p>
    <w:p>
      <w:pPr>
        <w:pStyle w:val="ListParagraph"/>
        <w:numPr>
          <w:ilvl w:val="0"/>
          <w:numId w:val="3"/>
        </w:numPr>
        <w:spacing w:after="80"/>
      </w:pPr>
      <w:r>
        <w:rPr>
          <w:rFonts w:ascii="Arial" w:cs="Arial" w:eastAsia="Arial" w:hAnsi="Arial"/>
          <w:b/>
          <w:bCs/>
          <w:sz w:val="22"/>
          <w:szCs w:val="22"/>
        </w:rPr>
        <w:t xml:space="preserve">Surveillance schedule</w:t>
      </w:r>
      <w:r>
        <w:rPr>
          <w:rFonts w:ascii="Arial" w:cs="Arial" w:eastAsia="Arial" w:hAnsi="Arial"/>
          <w:sz w:val="22"/>
          <w:szCs w:val="22"/>
        </w:rPr>
        <w:t xml:space="preserve">: MRI pelvis, rigid sigmoidoscopy, DRE, and CEA every 3 months for 2 years; every 6 months for years 3–5; annually thereafter. CT TAP at 1 and 3 years. Colonoscopy at 1 year (to check for synchronous lesions).</w:t>
      </w:r>
    </w:p>
    <w:p>
      <w:pPr>
        <w:pStyle w:val="ListParagraph"/>
        <w:numPr>
          <w:ilvl w:val="0"/>
          <w:numId w:val="3"/>
        </w:numPr>
        <w:spacing w:after="80"/>
      </w:pPr>
      <w:r>
        <w:rPr>
          <w:rFonts w:ascii="Arial" w:cs="Arial" w:eastAsia="Arial" w:hAnsi="Arial"/>
          <w:sz w:val="22"/>
          <w:szCs w:val="22"/>
        </w:rPr>
        <w:t xml:space="preserve">At 24 months: Routine sigmoidoscopy detects a small mucosal irregularity with biopsy confirming local regrowth (viable adenocarcinoma). MRI shows confined regrowth in rectal wall; no nodal disease; no distant metastases.</w:t>
      </w:r>
    </w:p>
    <w:p>
      <w:pPr>
        <w:pStyle w:val="ListParagraph"/>
        <w:numPr>
          <w:ilvl w:val="0"/>
          <w:numId w:val="3"/>
        </w:numPr>
        <w:spacing w:after="80"/>
      </w:pPr>
      <w:r>
        <w:rPr>
          <w:rFonts w:ascii="Arial" w:cs="Arial" w:eastAsia="Arial" w:hAnsi="Arial"/>
          <w:sz w:val="22"/>
          <w:szCs w:val="22"/>
        </w:rPr>
        <w:t xml:space="preserve">MDT rediscussion: Salvage surgery — ELAPE offered given low tumour position and confirmed viable tumour. Patient consented. ELAPE performed; R0 resection; permanent end colostomy. Pathology: ypT2N0.</w:t>
      </w:r>
    </w:p>
    <w:p>
      <w:pPr>
        <w:pStyle w:val="ListParagraph"/>
        <w:numPr>
          <w:ilvl w:val="0"/>
          <w:numId w:val="3"/>
        </w:numPr>
        <w:spacing w:after="80"/>
      </w:pPr>
      <w:r>
        <w:rPr>
          <w:rFonts w:ascii="Arial" w:cs="Arial" w:eastAsia="Arial" w:hAnsi="Arial"/>
          <w:sz w:val="22"/>
          <w:szCs w:val="22"/>
        </w:rPr>
        <w:t xml:space="preserve">Adjuvant CAPOX chemotherapy (8 cycles) offered given prior regrowth and N0 ypT2. Patient completes treatment. Disease-free at 3 years of surveillance.</w:t>
      </w:r>
    </w:p>
    <w:p>
      <w:r>
        <w:br w:type="page"/>
      </w:r>
    </w:p>
    <w:p>
      <w:pPr>
        <w:pStyle w:val="Heading1"/>
        <w:spacing w:before="360" w:after="200"/>
      </w:pPr>
      <w:r>
        <w:rPr>
          <w:rFonts w:ascii="Arial" w:cs="Arial" w:eastAsia="Arial" w:hAnsi="Arial"/>
          <w:b/>
          <w:bCs/>
          <w:sz w:val="32"/>
          <w:szCs w:val="32"/>
        </w:rPr>
        <w:t xml:space="preserve">Section 8: Glossary of Acronyms and Abbreviations</w:t>
      </w:r>
    </w:p>
    <w:p>
      <w:pPr>
        <w:spacing w:after="120"/>
      </w:pPr>
      <w:r>
        <w:rPr>
          <w:rFonts w:ascii="Arial" w:cs="Arial" w:eastAsia="Arial" w:hAnsi="Arial"/>
          <w:sz w:val="22"/>
          <w:szCs w:val="22"/>
        </w:rPr>
        <w:t xml:space="preserve">The following table lists every acronym, abbreviation, and clinical shorthand relevant to colorectal cancer MDT documentation, sorted alphabetically.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2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Expansion</w:t>
            </w:r>
          </w:p>
        </w:tc>
        <w:tc>
          <w:tcPr>
            <w:tcW w:type="dxa" w:w="55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2WW / TWR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Two-Week Wait / Two-Week Rule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NHS urgent cancer referral pathway requiring outpatient appointment within 14 days of GP referral for suspected cancer.</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5-FU</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5-Fluorouracil</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fluoropyrimidine antimetabolite chemotherapy agent that inhibits thymidylate synthase; core component of FOLFOX and FOLFIRI.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62-day 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62-day treatment target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NHS England standard requiring treatment to start within 62 calendar days of an urgent GP (TWR) cancer referral.</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AAA</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Abdominal Aortic Aneurysm</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Dilation of the abdominal aorta; commonly found as an incidental finding on staging 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AJCC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American Joint Committee on Cancer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body that co-maintains the TNM staging system with UICC.</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APE / APER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Abdominoperineal Excision of Rectum</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Surgery removing the rectum, anal canal, and sphincter complex with formation of a permanent colostomy; for very low rectal cancers.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Anterior Resection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Surgical resection of the upper or mid rectum with restoration of bowel continuity by anastomosis; may be 'low' (LAR) or 'ultra-low'.</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BCSP</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Bowel Cancer Screening Programme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NHS programme offering biennial FIT testing to people aged 50–74 in England to detect colorectal cancer at an earlier stage.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BRAF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B-Raf Proto-Oncogene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Oncogene mutated in ~10% of mCRC (V600E); confers poor prognosis; targetable with encorafenib + cetuximab in BRAF V600E mCRC.</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BSC</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Best Supportive Care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Treatment approach focused on symptom management and quality of life rather than tumour-directed therapy; used when curative or life-prolonging treatment is not possible or desired.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CAO/ARO/AIO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German Colorectal Cancer Study Group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German cooperative trial group; the CAO/ARO/AIO-94 and CAO/ARO/AIO-04 trials established the role of preoperative CRT and oxaliplatin in rectal cancer.</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CAPOX / XELOX</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Capecitabine + Oxaliplatin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 oral/IV chemotherapy combination used in adjuvant and metastatic colorectal cancer; 3-weekly cycles.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cCR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Clinical Response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residual tumour detectable clinically, endoscopically, or on MRI/DWI after neoadjuvant treatment; criterion for Watch and Wait.</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CEA</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Carcinoembryonic Antigen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serum glycoprotein tumour marker elevated in ~60–70% of CRC; used for prognostication, monitoring treatment response, and surveillance for recurrence.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CIMP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CpG Island Methylator Phenotype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Epigenetic pattern of DNA methylation silencing tumour suppressor genes; associated with the serrated pathway and MSI-H tumours.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CME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Complete Mesocolic Excision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Oncological technique for colon surgery analogous to TME for rectal cancer; excises the tumour within intact mesocolic planes with high vascular tie.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Nurse Specialist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nurse specialist who acts as key worker for colorectal cancer patients; coordinates care, provides patient information, and manages communication between MDT members and the patient.</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Complete Response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evidence of residual tumour after treatment; may be clinical (cCR) or pathological (pCR/ypT0N0).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Colorectal Liver Metastases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Metastatic disease in the liver originating from a colorectal primary; potentially resectable in selected patients.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CRM</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Circumferential Resection Margin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radial surgical margin of the mesorectal excision specimen; on MRI, measured as the distance between tumour and mesorectal fascia; clear (&gt;1mm), threatened (≤1mm), or involved.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Cytoreductive Surgery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Surgery to remove all visible peritoneal tumour deposits; typically combined with HIPEC for peritoneal metastases.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CRT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Chemoradiotherapy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Combined chemotherapy (typically capecitabine) and external beam radiotherapy; given as neoadjuvant treatment for locally advanced rectal cancer.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Tomography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Cross-sectional X-ray imaging; CT TAP (Thorax, Abdomen, Pelvis) is the standard staging scan for colorectal cancer.</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CTC</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CT Colonography (Virtual Colonoscopy)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CT imaging of the insufflated colon; used when full colonoscopy is incomplete or not tolerated.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Contrast Enhancement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MRI sequence using gadolinium contrast to assess tissue perfusion and microvascular permeability.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dMMR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Deficient Mismatch Repair</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Loss of function of one or more DNA mismatch repair proteins; associated with MSI-H; predictive of benefit from immunotherapy and lack of benefit from 5-FU monotherapy.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Rectal Examination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examination of the rectum and adjacent structures by a gloved finger; used to assess rectal tumour fixity, distance from anal verge, and sphincter involvement.</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DTT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Decision to Treat</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Formal clinical decision point when MDT-agreed treatment is recommended to a patient; starts the 31-day treatment target clock.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DWI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Diffusion-Weighted Imaging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MRI sequence sensitive to restriction of water diffusion in cellular tissue; useful for detecting residual tumour and assessing treatment response.</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EBRT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External Beam Radiotherapy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Radiotherapy delivered from an external source (linear accelerator); encompasses long-course CRT and short-course RT; the standard modality for rectal cancer radiotherapy.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EGFR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Epidermal Growth Factor Receptor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cell surface receptor driving proliferation; overexpressed in ~80% of CRC; targeted by cetuximab and panitumumab in RAS/BRAF wild-type mCRC.</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ELAPE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Extralevator Abdominoperineal Excision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modification of APE that removes the levator ani muscles in continuity with the specimen, providing a wider margin for low rectal tumours; reduces CRM positivity and intraoperative perforation risk.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EMVI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Extramural Vascular Invasion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presence of tumour cells within blood or lymphatic vessels in the perirectal fat beyond the muscularis propria; detected on MRI (mrEMVI) or pathology (pEMVI); associated with higher metastatic risk.</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ERUS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Endorectal Ultrasound</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High-resolution ultrasound imaging of the rectal wall using an intraluminal probe; used for staging very early rectal tumours (T1/T2) before local excision.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Familial Adenomatous Polyposis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Hereditary syndrome caused by germline APC mutations; hundreds to thousands of colonic adenomas; near-certain progression to CRC without prophylactic colectomy.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FBC</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Full Blood Count</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Routine blood test including haemoglobin, white cell count, platelet count; anaemia common in CRC.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FDG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Fluorodeoxyglucose (18F-FDG)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radiolabelled glucose analogue used as the PET radiotracer; preferentially taken up by metabolically active cells; FDG-avidity suggests viable tumour.</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FIT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Faecal Immunochemical Test</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quantitative stool test detecting human haemoglobin; used in the BCSP screening programme and increasingly to triage symptomatic patients.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Flexi Sig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Flexible Sigmoidoscopy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Endoscopic examination of the rectum and sigmoid colon using a flexible endoscope; limited to approximately 60 cm from the anus.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FLR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Future Liver Remnant</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volume of liver that will remain after hepatic resection; must be adequate (typically ≥20–30% of total liver volume) to avoid post-hepatectomy liver failure.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FOLFIRI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Folinic acid + 5-FU + Irinotecan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2-weekly IV chemotherapy regimen for metastatic CRC; used as first- or second-line therapy.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FOLFOX</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Folinic acid + 5-FU + Oxaliplatin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2-weekly IV chemotherapy regimen; cornerstone of adjuvant and metastatic CRC treatment.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FOXTROT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Fluoropyrimidine, Oxaliplatin and Targeted Receptor pre-Operative Therapy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UK RCT evaluating neoadjuvant FOLFOX (or CAPOX) chemotherapy for locally advanced colon cancer; published Lancet Oncology 2020.</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G1/G2/G3</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Grade 1/2/3 (differentiation)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Histological grading: G1 = well differentiated, G2 = moderately differentiated, G3 = poorly differentiated.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HER2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Epidermal Growth Factor Receptor 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receptor tyrosine kinase amplified in ~2–3% of mCRC; emerging targetable biomarker; confers resistance to anti-EGFR therapy.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HIPEC</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Hyperthermic Intraperitoneal Chemotherapy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Chemotherapy delivered directly into the peritoneal cavity at elevated temperature during surgery (CRS); used for peritoneal metastases in selected patients.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HNPCC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Hereditary Non-Polyposis Colorectal Cancer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term for Lynch syndrome; caused by germline MMR gene mutations; associated with MSI-H tumours.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ICD-10</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International Classification of Diseases, 10th Revision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WHO coding system for diseases; colorectal cancers coded C18–C21; used in cancer registries, hospital activity data, and administrative systems.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ICV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Ileocaecal Valve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valve between the terminal ileum and caecum; visualisation during colonoscopy confirms a complete procedure.</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IHC</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Immunohistochemistry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Laboratory technique using labelled antibodies to detect proteins in tissue sections; used for MMR protein expression (MLH1, MSH2, MSH6, PMS2), HER2, CDX2, and others.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Intensity Modulated Radiotherapy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external beam radiotherapy technique that shapes the dose distribution to minimise exposure to organs at risk.</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ISP</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Intersphincteric Plane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space between the internal and external anal sphincters; its involvement by tumour on MRI determines sphincter-preserving surgery feasibility.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KRAS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Kirsten Rat Sarcoma Viral Proto-Oncogene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most commonly mutated oncogene in CRC (~40–45%); KRAS mutation predicts resistance to anti-EGFR therapy (cetuximab, panitumumab).</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LAR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Low Anterior Resection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Surgical resection of the low/mid rectum with TME and a low anastomosis; sphincter-preserving; typically with a defunctioning loop ileostomy.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Liver Function Tests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Blood tests assessing hepatic synthetic function, biliary obstruction, and hepatocellular damage; abnormal in hepatic metastases.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MDT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Multidisciplinary Team</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team of specialists from multiple disciplines (surgery, oncology, radiology, pathology, nursing) who together discuss and agree cancer management plans.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MMR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Mismatch Repair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DNA repair system correcting replication errors; key proteins are MLH1, MSH2, MSH6, PMS2; deficiency (dMMR) causes MSI-H and predicts immunotherapy sensitivity.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MRI</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Magnetic Resonance Imaging</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Cross-sectional imaging using magnetic fields and radiofrequency pulses; provides superior soft tissue contrast to CT; essential for rectal cancer staging.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mrCRM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MRI-Reported Circumferential Resection Margin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distance between the tumour/involved node and the mesorectal fascia as measured on MRI; a key staging parameter for rectal cancer.</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mrEMVI</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MRI-Detected Extramural Vascular Invasion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Extramural vascular invasion identified on MRI as tumour signal expanding a perirectal vessel; associated with systemic metastatic risk.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MRI-Determined Nodal Stage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Lymph node status as assessed by MRI (size, border, signal characteristics); less accurate than pathological N staging.</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mrT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MRI-Determined T Stage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 stage (depth of bowel wall invasion) as assessed by high-resolution MRI; used for rectal cancer pre-treatment staging.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mrTRG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MRI Tumour Regression Grade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5-point scale assessing the degree of tumour regression on restaging MRI after neoadjuvant treatment; mrTRG1 = complete fibrotic response, mrTRG5 = no response.</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MSI</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Microsatellite Instability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pattern of genomic instability caused by dMMR in which microsatellite repeat sequences accumulate errors; MSI-H = high instability; MSS = microsatellite stable.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MSI-H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Microsatellite Instability — 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High-level microsatellite instability; equivalent to dMMR; associated with immunotherapy sensitivity, better prognosis in Stage I–III, and resistance to 5-FU monotherapy.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MSS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Microsatellite Stable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microsatellite instability detected; equivalent to pMMR; the majority (~85%) of CRC.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 stage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Nodal Stage (TNM)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regional lymph node component of TNM staging: N0 (no nodes), N1 (1–3 nodes), N2 (≥4 nodes).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nCRT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Neoadjuvant Chemoradiotherapy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Chemoradiotherapy given before surgery to downstage tumour; synonym for preoperative CRT in the context of rectal cancer.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NRAS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Neuroblastoma Rat Sarcoma Viral Proto-Oncogene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RAS oncogene mutated in ~5% of mCRC; also predicts resistance to anti-EGFR agents; tested as part of the 'extended RAS' panel.</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OR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Operating Room / Operating Theatre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surgical environment where resection and other procedures are performed.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PET-CT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Positron Emission Tomography-CT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 metabolic (FDG radiotracer) and structural (CT) imaging; FDG-avid lesions indicate metabolically active tissue; used in equivocal staging and pre-hepatectomy staging for mCRC.</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pMMR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Proficient Mismatch Repair</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MMR proteins (MLH1, MSH2, MSH6, PMS2) are expressed and functional; the tumour is microsatellite stable.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Response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tumour shrinkage (conventionally ≥30% by RECIST criteria) in response to treatment, but residual tumour remains.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PSW</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Posterior Surgical Wall / Presacral Space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anatomical plane posterior to the mesorectal fascia and anterior to the sacrum; the space of dissection in posterior TME; involvement indicates advanced disease or risk of sacral invasion.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Vein Embolisation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Radiological occlusion of the portal vein to induce hypertrophy of the future liver remnant before major hepatectomy.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RAS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Rat Sarcoma Viral Oncogene Family (KRAS + NRAS)</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Encompasses both KRAS and NRAS oncogenes; 'RAS wild-type' means both are unmutated; required for anti-EGFR agent eligibility.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Evaluation Criteria in Solid Tumours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Standardised criteria for measuring tumour response to treatment using imaging (CT/MRI); widely used in clinical trials.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RFA</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Radiofrequency Ablation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local ablation technique using radiofrequency energy to heat and necrose hepatic (or pulmonary) metastases; used for lesions ≤3 cm.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R0 / R1 / R2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Resection Margin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 = microscopically clear margins (curative); R1 = microscopic margin involvement; R2 = macroscopic residual tumour; R1/R2 associated with higher recurrence risk.</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SABR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Stereotactic Ablative Radiotherapy (SBRT)</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High-dose, precisely targeted radiotherapy delivered in a few fractions to small metastatic deposits (liver, lung) or local recurrence; ablative intent.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Short-Course Radiotherapy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Gy in 5 fractions over 1 week; used for rectal cancer preoperatively with delayed or immediate surgery.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SIRT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Selective Internal Radiation Therapy (Radioembolisation)</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Intra-arterial delivery of Y-90 microspheres to liver-dominant metastatic CRC; local radiotherapy to liver tumours.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SM1 / SM2 / SM3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Submucosal invasion depth (thirds)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Subdivision of T1 tumours by depth of submucosal invasion; SM3 carries significantly higher lymph node metastasis risk (~20–25%) and usually requires formal resection rather than local excision.</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SNB</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Sentinel Node Biopsy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Not standard in CRC (unlike breast/melanoma); mentioned rarely in specialist contexts.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SNOMED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Systematized Nomenclature of Medicine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standardised clinical terminology system used in pathology reporting in the UK.</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SSL</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Sessile Serrated Lesion (previously SSA)</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serrated polyp type associated with the serrated carcinogenesis pathway; flat, difficult to see at endoscopy; associated with BRAF mutation and MSI-H tumours.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Standardised Uptake Value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semi-quantitative measure of FDG uptake in PET imaging; higher SUV typically indicates more metabolically active (and likely malignant) tissue.</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 stage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Tumour Stage (TNM)</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Describes the depth of invasion of the primary tumour through the bowel wall; T0–T4b.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TAMIS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Transanal Minimally Invasive Surgery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technique for local excision of early rectal tumours using laparoscopic instruments through a transanal port; functionally equivalent to TEM.</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TEM</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Transanal Endoscopic Microsurgery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minimally invasive technique using a rigid rectoscope for full-thickness local excision of early rectal tumours (T1 sm1-sm2) and large polyps.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Mesorectal Excision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gold standard surgical technique for rectal cancer; sharp dissection in the avascular plane between mesorectal fascia and parietal fascia; removes the tumour within intact mesorectal envelope; dramatically reduces local recurrence.</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TNM</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Tumour, Node, Metastasis</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universal cancer staging system (UICC/AJCC); T describes depth of primary tumour invasion, N describes nodal involvement, M describes distant metastases.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Neoadjuvant Therapy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strategy delivering all systemic chemotherapy and radiotherapy before surgery for locally advanced rectal cancer; investigated in RAPIDO, PRODIGE 23, and CAO/ARO/AIO-12 trials.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TRG</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Tumour Regression Grade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pathological grading scale assessing the degree of tumour cell kill and fibrosis in a resection specimen after neoadjuvant treatment; TRG 0 = no residual tumour (pCR), TRG 3 = minimal response.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TWR / 2WW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Two-Week Referral / Two-Week Wait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NHS urgent GP referral pathway for suspected cancer; must result in a specialist appointment within 14 calendar days.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UICC</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Union for International Cancer Control</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International organisation that co-maintains the TNM staging system.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VEGF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Vascular Endothelial Growth Factor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signalling protein promoting tumour angiogenesis; targeted by bevacizumab (anti-VEGF monoclonal antibody) in metastatic CRC.</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W&amp;W</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Watch and Wait</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Active surveillance strategy for rectal cancer patients achieving complete clinical response after neoadjuvant treatment; avoids immediate surgery, with salvage surgery if regrowth occurs.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Y-90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Yttrium-90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radioactive isotope loaded into microspheres for SIRT/radioembolisation; delivers local radiotherapy to liver metastases via hepatic artery delivery.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ypT / ypN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Pathological Stage Post-Neoadjuvant Therapy</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TNM staging of the resection specimen after neoadjuvant treatment; ypT0N0 = pathological complete response (pCR).</w:t>
            </w:r>
          </w:p>
        </w:tc>
      </w:tr>
    </w:tbl>
    <w:p>
      <w:r>
        <w:br w:type="page"/>
      </w:r>
    </w:p>
    <w:p>
      <w:pPr>
        <w:pStyle w:val="Heading1"/>
        <w:spacing w:before="360" w:after="200"/>
      </w:pPr>
      <w:r>
        <w:rPr>
          <w:rFonts w:ascii="Arial" w:cs="Arial" w:eastAsia="Arial" w:hAnsi="Arial"/>
          <w:b/>
          <w:bCs/>
          <w:sz w:val="32"/>
          <w:szCs w:val="32"/>
        </w:rPr>
        <w:t xml:space="preserve">Sources and Key References</w:t>
      </w:r>
    </w:p>
    <w:p>
      <w:pPr>
        <w:pStyle w:val="Heading2"/>
        <w:spacing w:before="280" w:after="160"/>
      </w:pPr>
      <w:r>
        <w:rPr>
          <w:rFonts w:ascii="Arial" w:cs="Arial" w:eastAsia="Arial" w:hAnsi="Arial"/>
          <w:b/>
          <w:bCs/>
          <w:sz w:val="28"/>
          <w:szCs w:val="28"/>
        </w:rPr>
        <w:t xml:space="preserve">NICE Guidelines and NHS England</w:t>
      </w:r>
    </w:p>
    <w:p>
      <w:pPr>
        <w:pStyle w:val="ListParagraph"/>
        <w:numPr>
          <w:ilvl w:val="0"/>
          <w:numId w:val="2"/>
        </w:numPr>
        <w:spacing w:after="80"/>
      </w:pPr>
      <w:r>
        <w:rPr>
          <w:rFonts w:ascii="Arial" w:cs="Arial" w:eastAsia="Arial" w:hAnsi="Arial"/>
          <w:sz w:val="22"/>
          <w:szCs w:val="22"/>
        </w:rPr>
        <w:t xml:space="preserve">NICE NG12 (2015, updated 2023): Suspected cancer: recognition and referral. National Institute for Health and Care Excellence.</w:t>
      </w:r>
    </w:p>
    <w:p>
      <w:pPr>
        <w:pStyle w:val="ListParagraph"/>
        <w:numPr>
          <w:ilvl w:val="0"/>
          <w:numId w:val="2"/>
        </w:numPr>
        <w:spacing w:after="80"/>
      </w:pPr>
      <w:r>
        <w:rPr>
          <w:rFonts w:ascii="Arial" w:cs="Arial" w:eastAsia="Arial" w:hAnsi="Arial"/>
          <w:sz w:val="22"/>
          <w:szCs w:val="22"/>
        </w:rPr>
        <w:t xml:space="preserve">NICE NG151 (2020): Colorectal cancer. National Institute for Health and Care Excellence.</w:t>
      </w:r>
    </w:p>
    <w:p>
      <w:pPr>
        <w:pStyle w:val="ListParagraph"/>
        <w:numPr>
          <w:ilvl w:val="0"/>
          <w:numId w:val="2"/>
        </w:numPr>
        <w:spacing w:after="80"/>
      </w:pPr>
      <w:r>
        <w:rPr>
          <w:rFonts w:ascii="Arial" w:cs="Arial" w:eastAsia="Arial" w:hAnsi="Arial"/>
          <w:sz w:val="22"/>
          <w:szCs w:val="22"/>
        </w:rPr>
        <w:t xml:space="preserve">NHS England 62-Day Cancer Wait Target Guidance (NHS England, 2023).</w:t>
      </w:r>
    </w:p>
    <w:p>
      <w:pPr>
        <w:pStyle w:val="ListParagraph"/>
        <w:numPr>
          <w:ilvl w:val="0"/>
          <w:numId w:val="2"/>
        </w:numPr>
        <w:spacing w:after="80"/>
      </w:pPr>
      <w:r>
        <w:rPr>
          <w:rFonts w:ascii="Arial" w:cs="Arial" w:eastAsia="Arial" w:hAnsi="Arial"/>
          <w:sz w:val="22"/>
          <w:szCs w:val="22"/>
        </w:rPr>
        <w:t xml:space="preserve">NICE DG31 (2017): Colorectal cancer (metastatic) — MSI testing for pembrolizumab treatment. NICE Diagnostics Guidance.</w:t>
      </w:r>
    </w:p>
    <w:p>
      <w:pPr>
        <w:pStyle w:val="Heading2"/>
        <w:spacing w:before="280" w:after="160"/>
      </w:pPr>
      <w:r>
        <w:rPr>
          <w:rFonts w:ascii="Arial" w:cs="Arial" w:eastAsia="Arial" w:hAnsi="Arial"/>
          <w:b/>
          <w:bCs/>
          <w:sz w:val="28"/>
          <w:szCs w:val="28"/>
        </w:rPr>
        <w:t xml:space="preserve">British Society of Gastroenterology (BSG) / Association of Coloproctology (ACPGBI)</w:t>
      </w:r>
    </w:p>
    <w:p>
      <w:pPr>
        <w:pStyle w:val="ListParagraph"/>
        <w:numPr>
          <w:ilvl w:val="0"/>
          <w:numId w:val="2"/>
        </w:numPr>
        <w:spacing w:after="80"/>
      </w:pPr>
      <w:r>
        <w:rPr>
          <w:rFonts w:ascii="Arial" w:cs="Arial" w:eastAsia="Arial" w:hAnsi="Arial"/>
          <w:sz w:val="22"/>
          <w:szCs w:val="22"/>
        </w:rPr>
        <w:t xml:space="preserve">Association of Coloproctology of Great Britain and Ireland (ACPGBI). Guidelines for the Management of Cancer of the Colon, Rectum and Anus, 2017. Colorectal Disease, 19(S1):1-97.</w:t>
      </w:r>
    </w:p>
    <w:p>
      <w:pPr>
        <w:pStyle w:val="ListParagraph"/>
        <w:numPr>
          <w:ilvl w:val="0"/>
          <w:numId w:val="2"/>
        </w:numPr>
        <w:spacing w:after="80"/>
      </w:pPr>
      <w:r>
        <w:rPr>
          <w:rFonts w:ascii="Arial" w:cs="Arial" w:eastAsia="Arial" w:hAnsi="Arial"/>
          <w:sz w:val="22"/>
          <w:szCs w:val="22"/>
        </w:rPr>
        <w:t xml:space="preserve">BSG/ACPGBI Colorectal Cancer Pathway Guidance 2022. Available at: acpgbi.org.uk.</w:t>
      </w:r>
    </w:p>
    <w:p>
      <w:pPr>
        <w:pStyle w:val="ListParagraph"/>
        <w:numPr>
          <w:ilvl w:val="0"/>
          <w:numId w:val="2"/>
        </w:numPr>
        <w:spacing w:after="80"/>
      </w:pPr>
      <w:r>
        <w:rPr>
          <w:rFonts w:ascii="Arial" w:cs="Arial" w:eastAsia="Arial" w:hAnsi="Arial"/>
          <w:sz w:val="22"/>
          <w:szCs w:val="22"/>
        </w:rPr>
        <w:t xml:space="preserve">Monson JR, et al. ACPGBI. Practice guidelines for the management of rectal cancer. Colorectal Disease. 2020.</w:t>
      </w:r>
    </w:p>
    <w:p>
      <w:pPr>
        <w:pStyle w:val="Heading2"/>
        <w:spacing w:before="280" w:after="160"/>
      </w:pPr>
      <w:r>
        <w:rPr>
          <w:rFonts w:ascii="Arial" w:cs="Arial" w:eastAsia="Arial" w:hAnsi="Arial"/>
          <w:b/>
          <w:bCs/>
          <w:sz w:val="28"/>
          <w:szCs w:val="28"/>
        </w:rPr>
        <w:t xml:space="preserve">European Society of Medical Oncology (ESMO)</w:t>
      </w:r>
    </w:p>
    <w:p>
      <w:pPr>
        <w:pStyle w:val="ListParagraph"/>
        <w:numPr>
          <w:ilvl w:val="0"/>
          <w:numId w:val="2"/>
        </w:numPr>
        <w:spacing w:after="80"/>
      </w:pPr>
      <w:r>
        <w:rPr>
          <w:rFonts w:ascii="Arial" w:cs="Arial" w:eastAsia="Arial" w:hAnsi="Arial"/>
          <w:sz w:val="22"/>
          <w:szCs w:val="22"/>
        </w:rPr>
        <w:t xml:space="preserve">Cervantes A, et al. ESMO Clinical Practice Guidelines: Metastatic Colorectal Cancer. Annals of Oncology. 2023;34(1):10-32.</w:t>
      </w:r>
    </w:p>
    <w:p>
      <w:pPr>
        <w:pStyle w:val="ListParagraph"/>
        <w:numPr>
          <w:ilvl w:val="0"/>
          <w:numId w:val="2"/>
        </w:numPr>
        <w:spacing w:after="80"/>
      </w:pPr>
      <w:r>
        <w:rPr>
          <w:rFonts w:ascii="Arial" w:cs="Arial" w:eastAsia="Arial" w:hAnsi="Arial"/>
          <w:sz w:val="22"/>
          <w:szCs w:val="22"/>
        </w:rPr>
        <w:t xml:space="preserve">Glimelius B, et al. ESMO Clinical Practice Guideline: Rectal Cancer. Annals of Oncology. 2017;28(S4):iv22-iv40.</w:t>
      </w:r>
    </w:p>
    <w:p>
      <w:pPr>
        <w:pStyle w:val="ListParagraph"/>
        <w:numPr>
          <w:ilvl w:val="0"/>
          <w:numId w:val="2"/>
        </w:numPr>
        <w:spacing w:after="80"/>
      </w:pPr>
      <w:r>
        <w:rPr>
          <w:rFonts w:ascii="Arial" w:cs="Arial" w:eastAsia="Arial" w:hAnsi="Arial"/>
          <w:sz w:val="22"/>
          <w:szCs w:val="22"/>
        </w:rPr>
        <w:t xml:space="preserve">Van Cutsem E, et al. ESMO Consensus Guidelines for the Management of Colorectal Cancer. Annals of Oncology. 2016.</w:t>
      </w:r>
    </w:p>
    <w:p>
      <w:pPr>
        <w:pStyle w:val="Heading2"/>
        <w:spacing w:before="280" w:after="160"/>
      </w:pPr>
      <w:r>
        <w:rPr>
          <w:rFonts w:ascii="Arial" w:cs="Arial" w:eastAsia="Arial" w:hAnsi="Arial"/>
          <w:b/>
          <w:bCs/>
          <w:sz w:val="28"/>
          <w:szCs w:val="28"/>
        </w:rPr>
        <w:t xml:space="preserve">Royal College of Radiologists (RCR)</w:t>
      </w:r>
    </w:p>
    <w:p>
      <w:pPr>
        <w:pStyle w:val="ListParagraph"/>
        <w:numPr>
          <w:ilvl w:val="0"/>
          <w:numId w:val="2"/>
        </w:numPr>
        <w:spacing w:after="80"/>
      </w:pPr>
      <w:r>
        <w:rPr>
          <w:rFonts w:ascii="Arial" w:cs="Arial" w:eastAsia="Arial" w:hAnsi="Arial"/>
          <w:sz w:val="22"/>
          <w:szCs w:val="22"/>
        </w:rPr>
        <w:t xml:space="preserve">Taylor FGM, et al. RCR/ESGAR/ESCP Guidelines on rectal cancer MRI. Clinical Radiology. 2020.</w:t>
      </w:r>
    </w:p>
    <w:p>
      <w:pPr>
        <w:pStyle w:val="ListParagraph"/>
        <w:numPr>
          <w:ilvl w:val="0"/>
          <w:numId w:val="2"/>
        </w:numPr>
        <w:spacing w:after="80"/>
      </w:pPr>
      <w:r>
        <w:rPr>
          <w:rFonts w:ascii="Arial" w:cs="Arial" w:eastAsia="Arial" w:hAnsi="Arial"/>
          <w:sz w:val="22"/>
          <w:szCs w:val="22"/>
        </w:rPr>
        <w:t xml:space="preserve">MERCURY Study Group. Extramural depth of tumor invasion at thin-section MR in patients with rectal cancer. Radiology. 2007;243(1):132-139.</w:t>
      </w:r>
    </w:p>
    <w:p>
      <w:pPr>
        <w:pStyle w:val="Heading2"/>
        <w:spacing w:before="280" w:after="160"/>
      </w:pPr>
      <w:r>
        <w:rPr>
          <w:rFonts w:ascii="Arial" w:cs="Arial" w:eastAsia="Arial" w:hAnsi="Arial"/>
          <w:b/>
          <w:bCs/>
          <w:sz w:val="28"/>
          <w:szCs w:val="28"/>
        </w:rPr>
        <w:t xml:space="preserve">Key Clinical Trials</w:t>
      </w:r>
    </w:p>
    <w:p>
      <w:pPr>
        <w:pStyle w:val="ListParagraph"/>
        <w:numPr>
          <w:ilvl w:val="0"/>
          <w:numId w:val="2"/>
        </w:numPr>
        <w:spacing w:after="80"/>
      </w:pPr>
      <w:r>
        <w:rPr>
          <w:rFonts w:ascii="Arial" w:cs="Arial" w:eastAsia="Arial" w:hAnsi="Arial"/>
          <w:sz w:val="22"/>
          <w:szCs w:val="22"/>
        </w:rPr>
        <w:t xml:space="preserve">Foxtrot Collaborative Group. Preoperative chemotherapy for operable colon cancer (FOXTROT). Lancet Oncology. 2020;21(11):1471-1482. DOI:10.1016/S1470-2045(20)30545-0.</w:t>
      </w:r>
    </w:p>
    <w:p>
      <w:pPr>
        <w:pStyle w:val="ListParagraph"/>
        <w:numPr>
          <w:ilvl w:val="0"/>
          <w:numId w:val="2"/>
        </w:numPr>
        <w:spacing w:after="80"/>
      </w:pPr>
      <w:r>
        <w:rPr>
          <w:rFonts w:ascii="Arial" w:cs="Arial" w:eastAsia="Arial" w:hAnsi="Arial"/>
          <w:sz w:val="22"/>
          <w:szCs w:val="22"/>
        </w:rPr>
        <w:t xml:space="preserve">Bahadoer RR, et al. Short-course radiotherapy followed by chemotherapy before TME in locally advanced rectal cancer (RAPIDO). Lancet Oncology. 2021;22(1):29-42.</w:t>
      </w:r>
    </w:p>
    <w:p>
      <w:pPr>
        <w:pStyle w:val="ListParagraph"/>
        <w:numPr>
          <w:ilvl w:val="0"/>
          <w:numId w:val="2"/>
        </w:numPr>
        <w:spacing w:after="80"/>
      </w:pPr>
      <w:r>
        <w:rPr>
          <w:rFonts w:ascii="Arial" w:cs="Arial" w:eastAsia="Arial" w:hAnsi="Arial"/>
          <w:sz w:val="22"/>
          <w:szCs w:val="22"/>
        </w:rPr>
        <w:t xml:space="preserve">Conroy T, et al. Neoadjuvant chemotherapy with FOLFIRINOX and preoperative chemoradiotherapy for patients with locally advanced rectal cancer (PRODIGE 23). Lancet Oncology. 2021;22(5):702-715.</w:t>
      </w:r>
    </w:p>
    <w:p>
      <w:pPr>
        <w:pStyle w:val="ListParagraph"/>
        <w:numPr>
          <w:ilvl w:val="0"/>
          <w:numId w:val="2"/>
        </w:numPr>
        <w:spacing w:after="80"/>
      </w:pPr>
      <w:r>
        <w:rPr>
          <w:rFonts w:ascii="Arial" w:cs="Arial" w:eastAsia="Arial" w:hAnsi="Arial"/>
          <w:sz w:val="22"/>
          <w:szCs w:val="22"/>
        </w:rPr>
        <w:t xml:space="preserve">Sauer R, et al. Preoperative versus postoperative chemoradiotherapy for rectal cancer (CAO/ARO/AIO-94). NEJM. 2004;351:1731-1740.</w:t>
      </w:r>
    </w:p>
    <w:p>
      <w:pPr>
        <w:pStyle w:val="ListParagraph"/>
        <w:numPr>
          <w:ilvl w:val="0"/>
          <w:numId w:val="2"/>
        </w:numPr>
        <w:spacing w:after="80"/>
      </w:pPr>
      <w:r>
        <w:rPr>
          <w:rFonts w:ascii="Arial" w:cs="Arial" w:eastAsia="Arial" w:hAnsi="Arial"/>
          <w:sz w:val="22"/>
          <w:szCs w:val="22"/>
        </w:rPr>
        <w:t xml:space="preserve">Rödel C, et al. Oxaliplatin added to fluorouracil-based preoperative chemoradiotherapy and postoperative chemotherapy of locally advanced rectal cancer (CAO/ARO/AIO-04). Lancet Oncology. 2015;16:979-989.</w:t>
      </w:r>
    </w:p>
    <w:p>
      <w:pPr>
        <w:pStyle w:val="ListParagraph"/>
        <w:numPr>
          <w:ilvl w:val="0"/>
          <w:numId w:val="2"/>
        </w:numPr>
        <w:spacing w:after="80"/>
      </w:pPr>
      <w:r>
        <w:rPr>
          <w:rFonts w:ascii="Arial" w:cs="Arial" w:eastAsia="Arial" w:hAnsi="Arial"/>
          <w:sz w:val="22"/>
          <w:szCs w:val="22"/>
        </w:rPr>
        <w:t xml:space="preserve">Martens MH, et al. Long-term Outcome of an Organ Preservation Program After Neoadjuvant Treatment for Rectal Cancer (ARISTOTLE observational). Journal of the National Cancer Institute. 2016;108(12):djw171.</w:t>
      </w:r>
    </w:p>
    <w:p>
      <w:pPr>
        <w:pStyle w:val="ListParagraph"/>
        <w:numPr>
          <w:ilvl w:val="0"/>
          <w:numId w:val="2"/>
        </w:numPr>
        <w:spacing w:after="80"/>
      </w:pPr>
      <w:r>
        <w:rPr>
          <w:rFonts w:ascii="Arial" w:cs="Arial" w:eastAsia="Arial" w:hAnsi="Arial"/>
          <w:sz w:val="22"/>
          <w:szCs w:val="22"/>
        </w:rPr>
        <w:t xml:space="preserve">Habr-Gama A, et al. Operative versus Nonoperative Treatment for Stage 0 Distal Rectal Cancer following Chemoradiation. Annals of Surgery. 2004;240(4):711-718.</w:t>
      </w:r>
    </w:p>
    <w:p>
      <w:pPr>
        <w:pStyle w:val="ListParagraph"/>
        <w:numPr>
          <w:ilvl w:val="0"/>
          <w:numId w:val="2"/>
        </w:numPr>
        <w:spacing w:after="80"/>
      </w:pPr>
      <w:r>
        <w:rPr>
          <w:rFonts w:ascii="Arial" w:cs="Arial" w:eastAsia="Arial" w:hAnsi="Arial"/>
          <w:sz w:val="22"/>
          <w:szCs w:val="22"/>
        </w:rPr>
        <w:t xml:space="preserve">International Watch and Wait Database (IWWD) Consortium. Management of Rectal Cancer by Watch and Wait. Lancet. 2018;391(10139):2537-2545.</w:t>
      </w:r>
    </w:p>
    <w:p>
      <w:pPr>
        <w:pStyle w:val="ListParagraph"/>
        <w:numPr>
          <w:ilvl w:val="0"/>
          <w:numId w:val="2"/>
        </w:numPr>
        <w:spacing w:after="80"/>
      </w:pPr>
      <w:r>
        <w:rPr>
          <w:rFonts w:ascii="Arial" w:cs="Arial" w:eastAsia="Arial" w:hAnsi="Arial"/>
          <w:sz w:val="22"/>
          <w:szCs w:val="22"/>
        </w:rPr>
        <w:t xml:space="preserve">André T, et al. Pembrolizumab in Microsatellite-Instability-High Advanced Colorectal Cancer (KEYNOTE-177). NEJM. 2020;383:2207-2218.</w:t>
      </w:r>
    </w:p>
    <w:p>
      <w:pPr>
        <w:pStyle w:val="ListParagraph"/>
        <w:numPr>
          <w:ilvl w:val="0"/>
          <w:numId w:val="2"/>
        </w:numPr>
        <w:spacing w:after="80"/>
      </w:pPr>
      <w:r>
        <w:rPr>
          <w:rFonts w:ascii="Arial" w:cs="Arial" w:eastAsia="Arial" w:hAnsi="Arial"/>
          <w:sz w:val="22"/>
          <w:szCs w:val="22"/>
        </w:rPr>
        <w:t xml:space="preserve">Heinemann V, et al. FOLFIRI plus cetuximab vs FOLFIRI plus bevacizumab as first-line treatment for patients with metastatic colorectal cancer (FIRE-3). Lancet Oncology. 2014;15(10):1065-1075.</w:t>
      </w:r>
    </w:p>
    <w:p>
      <w:pPr>
        <w:pStyle w:val="ListParagraph"/>
        <w:numPr>
          <w:ilvl w:val="0"/>
          <w:numId w:val="2"/>
        </w:numPr>
        <w:spacing w:after="80"/>
      </w:pPr>
      <w:r>
        <w:rPr>
          <w:rFonts w:ascii="Arial" w:cs="Arial" w:eastAsia="Arial" w:hAnsi="Arial"/>
          <w:sz w:val="22"/>
          <w:szCs w:val="22"/>
        </w:rPr>
        <w:t xml:space="preserve">Bokemeyer C, et al. Fluorouracil, leucovorin and oxaliplatin with and without cetuximab in the first-line treatment of metastatic colorectal cancer (OPUS). Journal of Clinical Oncology. 2009;27(5):663-671.</w:t>
      </w:r>
    </w:p>
    <w:p>
      <w:pPr>
        <w:pStyle w:val="ListParagraph"/>
        <w:numPr>
          <w:ilvl w:val="0"/>
          <w:numId w:val="2"/>
        </w:numPr>
        <w:spacing w:after="80"/>
      </w:pPr>
      <w:r>
        <w:rPr>
          <w:rFonts w:ascii="Arial" w:cs="Arial" w:eastAsia="Arial" w:hAnsi="Arial"/>
          <w:sz w:val="22"/>
          <w:szCs w:val="22"/>
        </w:rPr>
        <w:t xml:space="preserve">Tabernero J, et al. Ramucirumab versus placebo in combination with second-line FOLFIRI in patients with metastatic colorectal carcinoma (RAISE). Lancet Oncology. 2015;16(5):499-508.</w:t>
      </w:r>
    </w:p>
    <w:p>
      <w:pPr>
        <w:pStyle w:val="ListParagraph"/>
        <w:numPr>
          <w:ilvl w:val="0"/>
          <w:numId w:val="2"/>
        </w:numPr>
        <w:spacing w:after="80"/>
      </w:pPr>
      <w:r>
        <w:rPr>
          <w:rFonts w:ascii="Arial" w:cs="Arial" w:eastAsia="Arial" w:hAnsi="Arial"/>
          <w:sz w:val="22"/>
          <w:szCs w:val="22"/>
        </w:rPr>
        <w:t xml:space="preserve">Kim JH, et al. Encorafenib plus binimetinib and cetuximab combination in BRAF V600E-mutated colorectal cancer (BEACON CRC). NEJM Evidence. 2020.</w:t>
      </w:r>
    </w:p>
    <w:p>
      <w:pPr>
        <w:pStyle w:val="ListParagraph"/>
        <w:numPr>
          <w:ilvl w:val="0"/>
          <w:numId w:val="2"/>
        </w:numPr>
        <w:spacing w:after="80"/>
      </w:pPr>
      <w:r>
        <w:rPr>
          <w:rFonts w:ascii="Arial" w:cs="Arial" w:eastAsia="Arial" w:hAnsi="Arial"/>
          <w:sz w:val="22"/>
          <w:szCs w:val="22"/>
        </w:rPr>
        <w:t xml:space="preserve">Rosman AS, Korsten MA. Meta-analysis comparing CT colonography, air contrast barium enema, and colonoscopy. American Journal of Medicine. 2007.</w:t>
      </w:r>
    </w:p>
    <w:p>
      <w:pPr>
        <w:pStyle w:val="Heading2"/>
        <w:spacing w:before="280" w:after="160"/>
      </w:pPr>
      <w:r>
        <w:rPr>
          <w:rFonts w:ascii="Arial" w:cs="Arial" w:eastAsia="Arial" w:hAnsi="Arial"/>
          <w:b/>
          <w:bCs/>
          <w:sz w:val="28"/>
          <w:szCs w:val="28"/>
        </w:rPr>
        <w:t xml:space="preserve">Staging and Pathology Guidelines</w:t>
      </w:r>
    </w:p>
    <w:p>
      <w:pPr>
        <w:pStyle w:val="ListParagraph"/>
        <w:numPr>
          <w:ilvl w:val="0"/>
          <w:numId w:val="2"/>
        </w:numPr>
        <w:spacing w:after="80"/>
      </w:pPr>
      <w:r>
        <w:rPr>
          <w:rFonts w:ascii="Arial" w:cs="Arial" w:eastAsia="Arial" w:hAnsi="Arial"/>
          <w:sz w:val="22"/>
          <w:szCs w:val="22"/>
        </w:rPr>
        <w:t xml:space="preserve">TNM Classification of Malignant Tumours, 8th Edition. Brierley JD, Gospodarowicz MK, Wittekind C (Eds). UICC/Wiley Blackwell, 2017.</w:t>
      </w:r>
    </w:p>
    <w:p>
      <w:pPr>
        <w:pStyle w:val="ListParagraph"/>
        <w:numPr>
          <w:ilvl w:val="0"/>
          <w:numId w:val="2"/>
        </w:numPr>
        <w:spacing w:after="80"/>
      </w:pPr>
      <w:r>
        <w:rPr>
          <w:rFonts w:ascii="Arial" w:cs="Arial" w:eastAsia="Arial" w:hAnsi="Arial"/>
          <w:sz w:val="22"/>
          <w:szCs w:val="22"/>
        </w:rPr>
        <w:t xml:space="preserve">College of American Pathologists (CAP). Protocol for Examination of Resection Specimens from Patients with Primary Carcinoma of the Colon and Rectum. 2022.</w:t>
      </w:r>
    </w:p>
    <w:p>
      <w:pPr>
        <w:pStyle w:val="ListParagraph"/>
        <w:numPr>
          <w:ilvl w:val="0"/>
          <w:numId w:val="2"/>
        </w:numPr>
        <w:spacing w:after="80"/>
      </w:pPr>
      <w:r>
        <w:rPr>
          <w:rFonts w:ascii="Arial" w:cs="Arial" w:eastAsia="Arial" w:hAnsi="Arial"/>
          <w:sz w:val="22"/>
          <w:szCs w:val="22"/>
        </w:rPr>
        <w:t xml:space="preserve">Nagtegaal ID, et al. The circumferential margin is still an important predictor of local recurrence in rectal carcinoma. Not one millimeter but two millimeters is the limit. American Journal of Surgery and Pathology. 2002.</w:t>
      </w:r>
    </w:p>
    <w:p>
      <w:pPr>
        <w:pStyle w:val="ListParagraph"/>
        <w:numPr>
          <w:ilvl w:val="0"/>
          <w:numId w:val="2"/>
        </w:numPr>
        <w:spacing w:after="80"/>
      </w:pPr>
      <w:r>
        <w:rPr>
          <w:rFonts w:ascii="Arial" w:cs="Arial" w:eastAsia="Arial" w:hAnsi="Arial"/>
          <w:sz w:val="22"/>
          <w:szCs w:val="22"/>
        </w:rPr>
        <w:t xml:space="preserve">Quirke P, et al. Local recurrence of rectal adenocarcinoma due to inadequate surgical resection. Lancet. 1986;328(8514):996-999. (Original paper establishing CRM importance.)</w:t>
      </w:r>
    </w:p>
    <w:p>
      <w:pPr>
        <w:pStyle w:val="ListParagraph"/>
        <w:numPr>
          <w:ilvl w:val="0"/>
          <w:numId w:val="2"/>
        </w:numPr>
        <w:spacing w:after="80"/>
      </w:pPr>
      <w:r>
        <w:rPr>
          <w:rFonts w:ascii="Arial" w:cs="Arial" w:eastAsia="Arial" w:hAnsi="Arial"/>
          <w:sz w:val="22"/>
          <w:szCs w:val="22"/>
        </w:rPr>
        <w:t xml:space="preserve">WHO Classification of Tumours of the Digestive System, 5th Edition. IARC Press, Lyon, 2019.</w:t>
      </w:r>
    </w:p>
    <w:p>
      <w:pPr>
        <w:pStyle w:val="Heading2"/>
        <w:spacing w:before="280" w:after="160"/>
      </w:pPr>
      <w:r>
        <w:rPr>
          <w:rFonts w:ascii="Arial" w:cs="Arial" w:eastAsia="Arial" w:hAnsi="Arial"/>
          <w:b/>
          <w:bCs/>
          <w:sz w:val="28"/>
          <w:szCs w:val="28"/>
        </w:rPr>
        <w:t xml:space="preserve">Bowel Cancer Screening</w:t>
      </w:r>
    </w:p>
    <w:p>
      <w:pPr>
        <w:pStyle w:val="ListParagraph"/>
        <w:numPr>
          <w:ilvl w:val="0"/>
          <w:numId w:val="2"/>
        </w:numPr>
        <w:spacing w:after="80"/>
      </w:pPr>
      <w:r>
        <w:rPr>
          <w:rFonts w:ascii="Arial" w:cs="Arial" w:eastAsia="Arial" w:hAnsi="Arial"/>
          <w:sz w:val="22"/>
          <w:szCs w:val="22"/>
        </w:rPr>
        <w:t xml:space="preserve">Logan RFA, et al. Outcomes of the Bowel Cancer Screening Programme in England after the first 11 years of the full programme. Gut. 2022;71:491-499.</w:t>
      </w:r>
    </w:p>
    <w:p>
      <w:pPr>
        <w:pStyle w:val="ListParagraph"/>
        <w:numPr>
          <w:ilvl w:val="0"/>
          <w:numId w:val="2"/>
        </w:numPr>
        <w:spacing w:after="80"/>
      </w:pPr>
      <w:r>
        <w:rPr>
          <w:rFonts w:ascii="Arial" w:cs="Arial" w:eastAsia="Arial" w:hAnsi="Arial"/>
          <w:sz w:val="22"/>
          <w:szCs w:val="22"/>
        </w:rPr>
        <w:t xml:space="preserve">NHS Bowel Cancer Screening Programme. Operational Guidance. NHS England, 2020.</w:t>
      </w:r>
    </w:p>
    <w:p>
      <w:pPr>
        <w:pStyle w:val="Heading2"/>
        <w:spacing w:before="280" w:after="160"/>
      </w:pPr>
      <w:r>
        <w:rPr>
          <w:rFonts w:ascii="Arial" w:cs="Arial" w:eastAsia="Arial" w:hAnsi="Arial"/>
          <w:b/>
          <w:bCs/>
          <w:sz w:val="28"/>
          <w:szCs w:val="28"/>
        </w:rPr>
        <w:t xml:space="preserve">Surgical Technique</w:t>
      </w:r>
    </w:p>
    <w:p>
      <w:pPr>
        <w:pStyle w:val="ListParagraph"/>
        <w:numPr>
          <w:ilvl w:val="0"/>
          <w:numId w:val="2"/>
        </w:numPr>
        <w:spacing w:after="80"/>
      </w:pPr>
      <w:r>
        <w:rPr>
          <w:rFonts w:ascii="Arial" w:cs="Arial" w:eastAsia="Arial" w:hAnsi="Arial"/>
          <w:sz w:val="22"/>
          <w:szCs w:val="22"/>
        </w:rPr>
        <w:t xml:space="preserve">Heald RJ, Husband EM, Ryall RD. The mesorectum in rectal cancer surgery — the clue to pelvic recurrence? British Journal of Surgery. 1982;69(10):613-616. (Original TME paper.)</w:t>
      </w:r>
    </w:p>
    <w:p>
      <w:pPr>
        <w:pStyle w:val="ListParagraph"/>
        <w:numPr>
          <w:ilvl w:val="0"/>
          <w:numId w:val="2"/>
        </w:numPr>
        <w:spacing w:after="80"/>
      </w:pPr>
      <w:r>
        <w:rPr>
          <w:rFonts w:ascii="Arial" w:cs="Arial" w:eastAsia="Arial" w:hAnsi="Arial"/>
          <w:sz w:val="22"/>
          <w:szCs w:val="22"/>
        </w:rPr>
        <w:t xml:space="preserve">West NP, et al. Pathology grading of colon cancer surgical resection and its association with survival: a retrospective observational study. Lancet Oncology. 2008;9(9):857-865.</w:t>
      </w:r>
    </w:p>
    <w:p>
      <w:pPr>
        <w:pStyle w:val="ListParagraph"/>
        <w:numPr>
          <w:ilvl w:val="0"/>
          <w:numId w:val="2"/>
        </w:numPr>
        <w:spacing w:after="80"/>
      </w:pPr>
      <w:r>
        <w:rPr>
          <w:rFonts w:ascii="Arial" w:cs="Arial" w:eastAsia="Arial" w:hAnsi="Arial"/>
          <w:sz w:val="22"/>
          <w:szCs w:val="22"/>
        </w:rPr>
        <w:t xml:space="preserve">Holm T, et al. Extended abdominoperineal resection with gluteus maximus flap reconstruction of the pelvic floor for rectal cancer. British Journal of Surgery. 2007;94(2):232-238.</w:t>
      </w:r>
    </w:p>
    <w:p>
      <w:pPr>
        <w:spacing w:before="480" w:after="240"/>
        <w:jc w:val="center"/>
      </w:pPr>
      <w:r>
        <w:rPr>
          <w:rFonts w:ascii="Arial" w:cs="Arial" w:eastAsia="Arial" w:hAnsi="Arial"/>
          <w:b/>
          <w:bCs/>
          <w:i/>
          <w:iCs/>
          <w:color w:val="888888"/>
          <w:sz w:val="22"/>
          <w:szCs w:val="22"/>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497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2026-03-15T22:33:06.735Z</dcterms:created>
  <dcterms:modified xsi:type="dcterms:W3CDTF">2026-03-15T22:33:06.735Z</dcterms:modified>
</cp:coreProperties>
</file>

<file path=docProps/custom.xml><?xml version="1.0" encoding="utf-8"?>
<Properties xmlns="http://schemas.openxmlformats.org/officeDocument/2006/custom-properties" xmlns:vt="http://schemas.openxmlformats.org/officeDocument/2006/docPropsVTypes"/>
</file>