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Colorectal Multidisciplinary Meeting 12/01/2025 (i)</w:t>
      </w:r>
    </w:p>
    <w:tbl>
      <w:tblPr>
        <w:tblStyle w:val="TableNormal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 xml:space="preserve">Patient Details </w:t>
            </w:r>
          </w:p>
        </w:tc>
        <w:tc>
          <w:tcPr>
            <w:tcW w:type="dxa" w:w="2880"/>
          </w:tcPr>
          <w:p>
            <w:r>
              <w:t xml:space="preserve">Patient Details </w:t>
            </w:r>
          </w:p>
        </w:tc>
        <w:tc>
          <w:tcPr>
            <w:tcW w:type="dxa" w:w="2880"/>
          </w:tcPr>
          <w:p>
            <w:r>
              <w:t>Cancer Target Dates</w:t>
            </w:r>
          </w:p>
        </w:tc>
      </w:tr>
      <w:tr>
        <w:tc>
          <w:tcPr>
            <w:tcW w:type="dxa" w:w="2880"/>
          </w:tcPr>
          <w:p>
            <w:r>
              <w:t>Hospital Number: 9999013</w:t>
              <w:br/>
              <w:t>NHS Number: 9998009013</w:t>
              <w:br/>
              <w:t>Leah Morris</w:t>
              <w:br/>
              <w:t>Female</w:t>
              <w:br/>
              <w:t xml:space="preserve">DOB: 28/04/1952   Age: 74 Years </w:t>
            </w:r>
          </w:p>
        </w:tc>
        <w:tc>
          <w:tcPr>
            <w:tcW w:type="dxa" w:w="2880"/>
          </w:tcPr>
          <w:p>
            <w:r>
              <w:t>Hospital Number: 9999013</w:t>
              <w:br/>
              <w:t>NHS Number: 9998009013</w:t>
              <w:br/>
              <w:t>Leah Morris</w:t>
              <w:br/>
              <w:t>Female</w:t>
              <w:br/>
              <w:t xml:space="preserve">DOB: 28/04/1952   Age: 74 Years </w:t>
            </w:r>
          </w:p>
        </w:tc>
        <w:tc>
          <w:tcPr>
            <w:tcW w:type="dxa" w:w="2880"/>
          </w:tcPr>
          <w:p>
            <w:r>
              <w:t>62 DAY TARGET: 15/03/2025</w:t>
              <w:br/>
              <w:br/>
              <w:t>Please note: If the 62 Day Breach Date is blank, the patient is on a 31 Day Pathway. Please ensure that the Decision To Treat Date is within 31 days of the Treatment Date.</w:t>
            </w:r>
          </w:p>
        </w:tc>
      </w:tr>
      <w:tr>
        <w:tc>
          <w:tcPr>
            <w:tcW w:type="dxa" w:w="2880"/>
          </w:tcPr>
          <w:p>
            <w:r>
              <w:t>Staging &amp; Diagnosis(g)</w:t>
            </w:r>
          </w:p>
        </w:tc>
        <w:tc>
          <w:tcPr>
            <w:tcW w:type="dxa" w:w="2880"/>
          </w:tcPr>
          <w:p>
            <w:r>
              <w:t>Staging &amp; Diagnosis(g)</w:t>
            </w:r>
          </w:p>
        </w:tc>
        <w:tc>
          <w:tcPr>
            <w:tcW w:type="dxa" w:w="2880"/>
          </w:tcPr>
          <w:p>
            <w:r>
              <w:t>Staging &amp; Diagnosis(g)</w:t>
            </w:r>
          </w:p>
        </w:tc>
      </w:tr>
      <w:tr>
        <w:tc>
          <w:tcPr>
            <w:tcW w:type="dxa" w:w="2880"/>
          </w:tcPr>
          <w:p>
            <w:r>
              <w:t>Diagnosis: MMR‑deficient rectal adenocarcinoma</w:t>
              <w:br/>
              <w:t>ICD10 Code: D12.6</w:t>
              <w:br/>
              <w:t>Differentiation: Well differentiated</w:t>
              <w:br/>
            </w:r>
          </w:p>
        </w:tc>
        <w:tc>
          <w:tcPr>
            <w:tcW w:type="dxa" w:w="2880"/>
          </w:tcPr>
          <w:p>
            <w:r>
              <w:t xml:space="preserve">Staging:  </w:t>
              <w:br/>
              <w:t xml:space="preserve">Integrated TNM Stage: </w:t>
              <w:br/>
              <w:t xml:space="preserve">Dukes:                                 </w:t>
            </w:r>
          </w:p>
        </w:tc>
        <w:tc>
          <w:tcPr>
            <w:tcW w:type="dxa" w:w="2880"/>
          </w:tcPr>
          <w:p>
            <w:r>
              <w:t xml:space="preserve">Staging:  </w:t>
              <w:br/>
              <w:t xml:space="preserve">Integrated TNM Stage: </w:t>
              <w:br/>
              <w:t xml:space="preserve">Dukes:                                 </w:t>
            </w:r>
          </w:p>
        </w:tc>
      </w:tr>
      <w:tr>
        <w:tc>
          <w:tcPr>
            <w:tcW w:type="dxa" w:w="2880"/>
          </w:tcPr>
          <w:p>
            <w:r>
              <w:t>Clinical Details(f):</w:t>
            </w:r>
          </w:p>
        </w:tc>
        <w:tc>
          <w:tcPr>
            <w:tcW w:type="dxa" w:w="2880"/>
          </w:tcPr>
          <w:p>
            <w:r>
              <w:t>Clinical Details(f):</w:t>
            </w:r>
          </w:p>
        </w:tc>
        <w:tc>
          <w:tcPr>
            <w:tcW w:type="dxa" w:w="2880"/>
          </w:tcPr>
          <w:p>
            <w:r>
              <w:t>Clinical Details(f):</w:t>
            </w:r>
          </w:p>
        </w:tc>
      </w:tr>
      <w:tr>
        <w:tc>
          <w:tcPr>
            <w:tcW w:type="dxa" w:w="2880"/>
          </w:tcPr>
          <w:p>
            <w:r>
              <w:t xml:space="preserve">Known breast cancer, had PET-CT which also showed (29/12/2024): FDG‑avid lesion in the rectum, avid breast lesion. </w:t>
              <w:br/>
              <w:t xml:space="preserve">Breast cancer being treated with curative intent </w:t>
              <w:br/>
              <w:br/>
            </w:r>
          </w:p>
        </w:tc>
        <w:tc>
          <w:tcPr>
            <w:tcW w:type="dxa" w:w="2880"/>
          </w:tcPr>
          <w:p>
            <w:r>
              <w:t xml:space="preserve">Known breast cancer, had PET-CT which also showed (29/12/2024): FDG‑avid lesion in the rectum, avid breast lesion. </w:t>
              <w:br/>
              <w:t xml:space="preserve">Breast cancer being treated with curative intent </w:t>
              <w:br/>
              <w:br/>
            </w:r>
          </w:p>
        </w:tc>
        <w:tc>
          <w:tcPr>
            <w:tcW w:type="dxa" w:w="2880"/>
          </w:tcPr>
          <w:p>
            <w:r>
              <w:t xml:space="preserve">Known breast cancer, had PET-CT which also showed (29/12/2024): FDG‑avid lesion in the rectum, avid breast lesion. </w:t>
              <w:br/>
              <w:t xml:space="preserve">Breast cancer being treated with curative intent </w:t>
              <w:br/>
              <w:br/>
            </w:r>
          </w:p>
        </w:tc>
      </w:tr>
      <w:tr>
        <w:tc>
          <w:tcPr>
            <w:tcW w:type="dxa" w:w="2880"/>
          </w:tcPr>
          <w:p>
            <w:r>
              <w:t>MDT Outcome(h)</w:t>
            </w:r>
          </w:p>
        </w:tc>
        <w:tc>
          <w:tcPr>
            <w:tcW w:type="dxa" w:w="2880"/>
          </w:tcPr>
          <w:p>
            <w:r>
              <w:t>MDT Outcome(h)</w:t>
            </w:r>
          </w:p>
        </w:tc>
        <w:tc>
          <w:tcPr>
            <w:tcW w:type="dxa" w:w="2880"/>
          </w:tcPr>
          <w:p>
            <w:r>
              <w:t>MDT Outcome(h)</w:t>
            </w:r>
          </w:p>
        </w:tc>
      </w:tr>
      <w:tr>
        <w:tc>
          <w:tcPr>
            <w:tcW w:type="dxa" w:w="2880"/>
          </w:tcPr>
          <w:p>
            <w:r>
              <w:t>Colpnoscopy, biopsy, MRI</w:t>
            </w:r>
          </w:p>
        </w:tc>
        <w:tc>
          <w:tcPr>
            <w:tcW w:type="dxa" w:w="2880"/>
          </w:tcPr>
          <w:p>
            <w:r>
              <w:t>Colpnoscopy, biopsy, MRI</w:t>
            </w:r>
          </w:p>
        </w:tc>
        <w:tc>
          <w:tcPr>
            <w:tcW w:type="dxa" w:w="2880"/>
          </w:tcPr>
          <w:p>
            <w:r>
              <w:t>Colpnoscopy, biopsy, MRI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