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Meeting05/01/2025(i)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9999015</w:t>
              <w:br/>
              <w:t>NHS Number: 9998009015</w:t>
              <w:br/>
              <w:t>Ollie Armstrong</w:t>
              <w:br/>
              <w:t>Male</w:t>
              <w:br/>
              <w:t>DOB: 27/03/1972   Age: 54 Years</w:t>
              <w:br/>
            </w:r>
          </w:p>
        </w:tc>
        <w:tc>
          <w:tcPr>
            <w:tcW w:type="dxa" w:w="2880"/>
          </w:tcPr>
          <w:p>
            <w:r>
              <w:t>Hospital Number: 9999015</w:t>
              <w:br/>
              <w:t>NHS Number: 9998009015</w:t>
              <w:br/>
              <w:t>Ollie Armstrong</w:t>
              <w:br/>
              <w:t>Male</w:t>
              <w:br/>
              <w:t>DOB: 27/03/1972   Age: 54 Years</w:t>
              <w:br/>
            </w:r>
          </w:p>
        </w:tc>
        <w:tc>
          <w:tcPr>
            <w:tcW w:type="dxa" w:w="2880"/>
          </w:tcPr>
          <w:p>
            <w:r>
              <w:t>62 DAY TARGET: 08/03/2025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Right‑sided colonic tumour</w:t>
              <w:br/>
              <w:t>ICD10 Code: C20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mucous discharge and weight loss over 8 weeks, with increasing severity. Patient also reports early satiety.</w:t>
              <w:br/>
              <w:br/>
              <w:br/>
              <w:t>MRI pelvis on 01/12/2024: T1 sm1, CRM involved, EMVI positive.</w:t>
              <w:br/>
            </w:r>
          </w:p>
        </w:tc>
        <w:tc>
          <w:tcPr>
            <w:tcW w:type="dxa" w:w="2880"/>
          </w:tcPr>
          <w:p>
            <w:r>
              <w:t>Patient reports mucous discharge and weight loss over 8 weeks, with increasing severity. Patient also reports early satiety.</w:t>
              <w:br/>
              <w:br/>
              <w:br/>
              <w:t>MRI pelvis on 01/12/2024: T1 sm1, CRM involved, EMVI positive.</w:t>
              <w:br/>
            </w:r>
          </w:p>
        </w:tc>
        <w:tc>
          <w:tcPr>
            <w:tcW w:type="dxa" w:w="2880"/>
          </w:tcPr>
          <w:p>
            <w:r>
              <w:t>Patient reports mucous discharge and weight loss over 8 weeks, with increasing severity. Patient also reports early satiety.</w:t>
              <w:br/>
              <w:br/>
              <w:br/>
              <w:t>MRI pelvis on 01/12/2024: T1 sm1, CRM involved, EMVI positive.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Review ? Local excision </w:t>
              <w:br/>
              <w:t>Needs CT</w:t>
            </w:r>
          </w:p>
        </w:tc>
        <w:tc>
          <w:tcPr>
            <w:tcW w:type="dxa" w:w="2880"/>
          </w:tcPr>
          <w:p>
            <w:r>
              <w:t xml:space="preserve">Review ? Local excision </w:t>
              <w:br/>
              <w:t>Needs CT</w:t>
            </w:r>
          </w:p>
        </w:tc>
        <w:tc>
          <w:tcPr>
            <w:tcW w:type="dxa" w:w="2880"/>
          </w:tcPr>
          <w:p>
            <w:r>
              <w:t xml:space="preserve">Review ? Local excision </w:t>
              <w:br/>
              <w:t>Needs 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