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Colorectal Multidisciplinary Meeting 20/08/2024(i)</w:t>
      </w:r>
    </w:p>
    <w:tbl>
      <w:tblPr>
        <w:tblStyle w:val="TableNormal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>Cancer Target Dates</w:t>
            </w:r>
          </w:p>
        </w:tc>
      </w:tr>
      <w:tr>
        <w:tc>
          <w:tcPr>
            <w:tcW w:type="dxa" w:w="2880"/>
          </w:tcPr>
          <w:p>
            <w:r>
              <w:t>Hospital Number: 9999008</w:t>
              <w:br/>
              <w:t>NHS Number: 9998009008</w:t>
              <w:br/>
              <w:t>Freida Smale</w:t>
              <w:br/>
              <w:t>Female</w:t>
              <w:br/>
              <w:t>DOB: 08/08/1951   Age: 75 Years</w:t>
            </w:r>
          </w:p>
        </w:tc>
        <w:tc>
          <w:tcPr>
            <w:tcW w:type="dxa" w:w="2880"/>
          </w:tcPr>
          <w:p>
            <w:r>
              <w:t>Hospital Number: 9999008</w:t>
              <w:br/>
              <w:t>NHS Number: 9998009008</w:t>
              <w:br/>
              <w:t>Freida Smale</w:t>
              <w:br/>
              <w:t>Female</w:t>
              <w:br/>
              <w:t>DOB: 08/08/1951   Age: 75 Years</w:t>
            </w:r>
          </w:p>
        </w:tc>
        <w:tc>
          <w:tcPr>
            <w:tcW w:type="dxa" w:w="2880"/>
          </w:tcPr>
          <w:p>
            <w:r>
              <w:t>62 DAY TARGET: 21/10/2024</w:t>
              <w:br/>
              <w:br/>
              <w:t>Please note: If the 62 Day Breach Date is blank, the patient is on a 31 Day Pathway. Please ensure that the Decision To Treat Date is within 31 days of the Treatment Date.</w:t>
            </w:r>
          </w:p>
        </w:tc>
      </w:tr>
      <w:tr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</w:tr>
      <w:tr>
        <w:tc>
          <w:tcPr>
            <w:tcW w:type="dxa" w:w="2880"/>
          </w:tcPr>
          <w:p>
            <w:r>
              <w:t>Diagnosis: Right‑sided colonic tumour</w:t>
              <w:br/>
              <w:t>ICD10 Code: C18.7</w:t>
              <w:br/>
              <w:t xml:space="preserve">Differentiation: Moderately differentiated  </w:t>
              <w:br/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</w:tr>
      <w:tr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</w:tr>
      <w:tr>
        <w:tc>
          <w:tcPr>
            <w:tcW w:type="dxa" w:w="2880"/>
          </w:tcPr>
          <w:p>
            <w:r>
              <w:t>Symptoms include weight loss, altered bowel habit, reduced appetite, and intermittent bloating for 8 weeks. Patient also reports tenesmus.</w:t>
              <w:br/>
              <w:br/>
              <w:t>MRI pelvis on 30/07/2024: T3a, N1c , CRM clear, EMVI positive.</w:t>
              <w:br/>
            </w:r>
          </w:p>
        </w:tc>
        <w:tc>
          <w:tcPr>
            <w:tcW w:type="dxa" w:w="2880"/>
          </w:tcPr>
          <w:p>
            <w:r>
              <w:t>Symptoms include weight loss, altered bowel habit, reduced appetite, and intermittent bloating for 8 weeks. Patient also reports tenesmus.</w:t>
              <w:br/>
              <w:br/>
              <w:t>MRI pelvis on 30/07/2024: T3a, N1c , CRM clear, EMVI positive.</w:t>
              <w:br/>
            </w:r>
          </w:p>
        </w:tc>
        <w:tc>
          <w:tcPr>
            <w:tcW w:type="dxa" w:w="2880"/>
          </w:tcPr>
          <w:p>
            <w:r>
              <w:t>Symptoms include weight loss, altered bowel habit, reduced appetite, and intermittent bloating for 8 weeks. Patient also reports tenesmus.</w:t>
              <w:br/>
              <w:br/>
              <w:t>MRI pelvis on 30/07/2024: T3a, N1c , CRM clear, EMVI positive.</w:t>
              <w:br/>
            </w:r>
          </w:p>
        </w:tc>
      </w:tr>
      <w:tr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</w:tr>
      <w:tr>
        <w:tc>
          <w:tcPr>
            <w:tcW w:type="dxa" w:w="2880"/>
          </w:tcPr>
          <w:p>
            <w:r>
              <w:t>Plan neoadjuvant CRT and repeat MRI in 6 weeks.</w:t>
            </w:r>
          </w:p>
        </w:tc>
        <w:tc>
          <w:tcPr>
            <w:tcW w:type="dxa" w:w="2880"/>
          </w:tcPr>
          <w:p>
            <w:r>
              <w:t>Plan neoadjuvant CRT and repeat MRI in 6 weeks.</w:t>
            </w:r>
          </w:p>
        </w:tc>
        <w:tc>
          <w:tcPr>
            <w:tcW w:type="dxa" w:w="2880"/>
          </w:tcPr>
          <w:p>
            <w:r>
              <w:t>Plan neoadjuvant CRT and repeat MRI in 6 weeks.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