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t5xsgqar10yb" w:id="0"/>
      <w:bookmarkEnd w:id="0"/>
      <w:r w:rsidDel="00000000" w:rsidR="00000000" w:rsidRPr="00000000">
        <w:rPr>
          <w:rFonts w:ascii="Times New Roman" w:cs="Times New Roman" w:eastAsia="Times New Roman" w:hAnsi="Times New Roman"/>
          <w:b w:val="1"/>
          <w:bCs w:val="1"/>
          <w:sz w:val="36"/>
          <w:szCs w:val="36"/>
          <w:rtl w:val="0"/>
        </w:rPr>
        <w:t xml:space="preserve">HelpDesk Pro – Data Quality and Validation Report</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HelpDesk Pro – End-to-End Business Analysis of an IT Service Management System</w:t>
        <w:br w:type="textWrapping"/>
      </w:r>
      <w:r w:rsidDel="00000000" w:rsidR="00000000" w:rsidRPr="00000000">
        <w:rPr>
          <w:rFonts w:ascii="Times New Roman" w:cs="Times New Roman" w:eastAsia="Times New Roman" w:hAnsi="Times New Roman"/>
          <w:b w:val="1"/>
          <w:bCs w:val="1"/>
          <w:sz w:val="28"/>
          <w:szCs w:val="28"/>
          <w:rtl w:val="0"/>
        </w:rPr>
        <w:t xml:space="preserve">Phase:</w:t>
      </w:r>
      <w:r w:rsidDel="00000000" w:rsidR="00000000" w:rsidRPr="00000000">
        <w:rPr>
          <w:rFonts w:ascii="Times New Roman" w:cs="Times New Roman" w:eastAsia="Times New Roman" w:hAnsi="Times New Roman"/>
          <w:sz w:val="28"/>
          <w:szCs w:val="28"/>
          <w:rtl w:val="0"/>
        </w:rPr>
        <w:t xml:space="preserve"> Phase 4 – Data Analysis &amp; Reporting</w:t>
        <w:br w:type="textWrapping"/>
      </w:r>
      <w:r w:rsidDel="00000000" w:rsidR="00000000" w:rsidRPr="00000000">
        <w:rPr>
          <w:rFonts w:ascii="Times New Roman" w:cs="Times New Roman" w:eastAsia="Times New Roman" w:hAnsi="Times New Roman"/>
          <w:b w:val="1"/>
          <w:bCs w:val="1"/>
          <w:sz w:val="28"/>
          <w:szCs w:val="28"/>
          <w:rtl w:val="0"/>
        </w:rPr>
        <w:t xml:space="preserve">Dataset:</w:t>
      </w:r>
      <w:r w:rsidDel="00000000" w:rsidR="00000000" w:rsidRPr="00000000">
        <w:rPr>
          <w:rFonts w:ascii="Times New Roman" w:cs="Times New Roman" w:eastAsia="Times New Roman" w:hAnsi="Times New Roman"/>
          <w:sz w:val="28"/>
          <w:szCs w:val="28"/>
          <w:rtl w:val="0"/>
        </w:rPr>
        <w:t xml:space="preserve"> 100 simulated support tickets</w:t>
        <w:br w:type="textWrapping"/>
      </w:r>
      <w:r w:rsidDel="00000000" w:rsidR="00000000" w:rsidRPr="00000000">
        <w:rPr>
          <w:rFonts w:ascii="Times New Roman" w:cs="Times New Roman" w:eastAsia="Times New Roman" w:hAnsi="Times New Roman"/>
          <w:b w:val="1"/>
          <w:bCs w:val="1"/>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Draft – For Stakeholder Review</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boeyks74by1" w:id="1"/>
      <w:bookmarkEnd w:id="1"/>
      <w:r w:rsidDel="00000000" w:rsidR="00000000" w:rsidRPr="00000000">
        <w:rPr>
          <w:rFonts w:ascii="Times New Roman" w:cs="Times New Roman" w:eastAsia="Times New Roman" w:hAnsi="Times New Roman"/>
          <w:b w:val="1"/>
          <w:bCs w:val="1"/>
          <w:sz w:val="28"/>
          <w:szCs w:val="28"/>
          <w:rtl w:val="0"/>
        </w:rPr>
        <w:t xml:space="preserve">1. Purpose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documents the initial validation performed on the HelpDesk Pro sample dataset, identifies assumptions used in the SQL analysis and Power BI dashboard, and records additional checks required before the solution could be used in a real business environment.</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hu8d0lbv7ly" w:id="2"/>
      <w:bookmarkEnd w:id="2"/>
      <w:r w:rsidDel="00000000" w:rsidR="00000000" w:rsidRPr="00000000">
        <w:rPr>
          <w:rFonts w:ascii="Times New Roman" w:cs="Times New Roman" w:eastAsia="Times New Roman" w:hAnsi="Times New Roman"/>
          <w:b w:val="1"/>
          <w:bCs w:val="1"/>
          <w:sz w:val="28"/>
          <w:szCs w:val="28"/>
          <w:rtl w:val="0"/>
        </w:rPr>
        <w:t xml:space="preserve">2. Initial Dataset Validation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checks were performed on the sample dataset:</w:t>
      </w:r>
    </w:p>
    <w:tbl>
      <w:tblPr>
        <w:tblStyle w:val="Table1"/>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5"/>
        <w:gridCol w:w="890"/>
        <w:tblGridChange w:id="0">
          <w:tblGrid>
            <w:gridCol w:w="7115"/>
            <w:gridCol w:w="8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contains 100 ticket records, excluding the 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IDs are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values are limited to High, Medium, and 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values match the expected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Unresolved tickets have blank resolution date and resolution time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r>
    </w:tbl>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checks confirm the initial conditions tested in the simulated dataset. They do not establish that every field is complete, accurate, or consistent.</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h0oelycl7f1" w:id="3"/>
      <w:bookmarkEnd w:id="3"/>
      <w:r w:rsidDel="00000000" w:rsidR="00000000" w:rsidRPr="00000000">
        <w:rPr>
          <w:rFonts w:ascii="Times New Roman" w:cs="Times New Roman" w:eastAsia="Times New Roman" w:hAnsi="Times New Roman"/>
          <w:b w:val="1"/>
          <w:bCs w:val="1"/>
          <w:sz w:val="28"/>
          <w:szCs w:val="28"/>
          <w:rtl w:val="0"/>
        </w:rPr>
        <w:t xml:space="preserve">3. SQL and Dashboard Reconciliation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SQL results were compared with the corresponding Power BI visuals and KPI cards.</w:t>
      </w:r>
    </w:p>
    <w:tbl>
      <w:tblPr>
        <w:tblStyle w:val="Table2"/>
        <w:tblW w:w="9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2735"/>
        <w:gridCol w:w="2735"/>
        <w:gridCol w:w="1070"/>
        <w:tblGridChange w:id="0">
          <w:tblGrid>
            <w:gridCol w:w="2675"/>
            <w:gridCol w:w="2735"/>
            <w:gridCol w:w="2735"/>
            <w:gridCol w:w="10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SQL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Power BI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Escalated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41.03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41.03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by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match SQL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match SQL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by 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match SQL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match SQL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by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match SQL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 match SQL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w:t>
            </w:r>
          </w:p>
        </w:tc>
      </w:tr>
    </w:tbl>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slicers were also tested individually and in combination, and the original totals were restored after clearing the filters.</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e8rwxcv4fct" w:id="4"/>
      <w:bookmarkEnd w:id="4"/>
      <w:r w:rsidDel="00000000" w:rsidR="00000000" w:rsidRPr="00000000">
        <w:rPr>
          <w:rFonts w:ascii="Times New Roman" w:cs="Times New Roman" w:eastAsia="Times New Roman" w:hAnsi="Times New Roman"/>
          <w:b w:val="1"/>
          <w:bCs w:val="1"/>
          <w:sz w:val="28"/>
          <w:szCs w:val="28"/>
          <w:rtl w:val="0"/>
        </w:rPr>
        <w:t xml:space="preserve">4. Assumptions</w:t>
      </w:r>
    </w:p>
    <w:p w:rsidR="00000000" w:rsidDel="00000000" w:rsidP="00000000" w:rsidRDefault="00000000" w:rsidRPr="00000000" w14:paraId="0000003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simulated for portfolio demonstration.</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Due-date targets are illustrative: 24 hours for High priority, 72 hours for Medium priority, and 120 hours for Low priority.</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overdue analysis uses a reporting cutoff of 10 October 2026 at 12:00 PM.</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time is measured in elapsed hours, not business hours.</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overdue calculation considers Open, In Progress, and Awaiting Information tickets as unresolved.</w:t>
      </w:r>
    </w:p>
    <w:p w:rsidR="00000000" w:rsidDel="00000000" w:rsidP="00000000" w:rsidRDefault="00000000" w:rsidRPr="00000000" w14:paraId="0000003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analysis does not represent actual company performance.</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te8ahzl4tz" w:id="5"/>
      <w:bookmarkEnd w:id="5"/>
      <w:r w:rsidDel="00000000" w:rsidR="00000000" w:rsidRPr="00000000">
        <w:rPr>
          <w:rFonts w:ascii="Times New Roman" w:cs="Times New Roman" w:eastAsia="Times New Roman" w:hAnsi="Times New Roman"/>
          <w:b w:val="1"/>
          <w:bCs w:val="1"/>
          <w:sz w:val="28"/>
          <w:szCs w:val="28"/>
          <w:rtl w:val="0"/>
        </w:rPr>
        <w:t xml:space="preserve">5. Additional Data Quality Checks Recommended</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using a production dataset, the following checks should be completed:</w:t>
      </w:r>
    </w:p>
    <w:p w:rsidR="00000000" w:rsidDel="00000000" w:rsidP="00000000" w:rsidRDefault="00000000" w:rsidRPr="00000000" w14:paraId="0000004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customer IDs and assigned agent names reference valid records.</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missing values in mandatory ticket fields.</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ticket creation, update, due, and resolution timestamps follow the agreed lifecycle rules.</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that resolution times are non-negative and consistent with the recorded timestamps.</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escalated tickets have the required escalation details.</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ticket statuses, priority levels, and issue categories follow approved business definitions.</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due-date calculations and service-level targets are approved by stakeholders.</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duplicate or related tickets according to agreed business rules.</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wldpsory1fb" w:id="6"/>
      <w:bookmarkEnd w:id="6"/>
      <w:r w:rsidDel="00000000" w:rsidR="00000000" w:rsidRPr="00000000">
        <w:rPr>
          <w:rFonts w:ascii="Times New Roman" w:cs="Times New Roman" w:eastAsia="Times New Roman" w:hAnsi="Times New Roman"/>
          <w:b w:val="1"/>
          <w:bCs w:val="1"/>
          <w:sz w:val="28"/>
          <w:szCs w:val="28"/>
          <w:rtl w:val="0"/>
        </w:rPr>
        <w:t xml:space="preserve">6. Limitations</w:t>
      </w:r>
    </w:p>
    <w:p w:rsidR="00000000" w:rsidDel="00000000" w:rsidP="00000000" w:rsidRDefault="00000000" w:rsidRPr="00000000" w14:paraId="0000004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synthetic and may not represent the complexity of real support operations.</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dashboard provides aggregate reporting rather than a complete ticket-management interface.</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overdue KPI uses a fixed cutoff and illustrative due-date rules; it is not a live operational measure.</w:t>
      </w:r>
    </w:p>
    <w:p w:rsidR="00000000" w:rsidDel="00000000" w:rsidP="00000000" w:rsidRDefault="00000000" w:rsidRPr="00000000" w14:paraId="0000004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Data-quality checks have been performed only for the listed conditions. Additional validation is still required.</w:t>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4abgs7ha42b" w:id="7"/>
      <w:bookmarkEnd w:id="7"/>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dataset checks passed, and the key SQL results matched the Power BI dashboard values. This supports the internal consistency of the reported metrics for the tested sample.</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validation of business rules, field relationships, timestamp consistency, and production data quality would be required before operational deployment.</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