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Protección y conservación de datos de contacto en Colombia</w:t>
      </w:r>
    </w:p>
    <w:p>
      <w:r>
        <w:t>Guía para una app que recopila correo electrónico y teléfono</w:t>
      </w:r>
    </w:p>
    <w:p>
      <w:r>
        <w:t>Fecha de consulta normativa 28 de octubre de 2026</w:t>
      </w:r>
    </w:p>
    <w:p>
      <w:pPr>
        <w:pStyle w:val="Heading1"/>
      </w:pPr>
      <w:r>
        <w:t>Objeto y conclusión</w:t>
      </w:r>
    </w:p>
    <w:p>
      <w:r>
        <w:t>La app debe explicar para qué solicita cada dato, obtener la autorización que corresponda, proteger la información y permitir que las personas ejerzan sus derechos. No existe un plazo general que obligue a conservar todos los correos y teléfonos durante un número fijo de años. La conservación depende de la finalidad y de obligaciones concretas. [1] [2]</w:t>
      </w:r>
    </w:p>
    <w:p>
      <w:r>
        <w:t>El alcance de esta guía es una app que recopila únicamente datos de contacto. No presupone que envíe publicidad, cobre obligaciones, trate datos de menores o preste servicios regulados. Es una guía de implementación; antes de publicar una política deben completarse los datos del responsable y validarse los usos reales de la app.</w:t>
      </w:r>
    </w:p>
    <w:p>
      <w:pPr>
        <w:pStyle w:val="Heading1"/>
      </w:pPr>
      <w:r>
        <w:t>Normas principales</w:t>
      </w:r>
    </w:p>
    <w:p>
      <w:pPr>
        <w:pStyle w:val="Heading2"/>
      </w:pPr>
      <w:r>
        <w:t>Ley 1581 de 2012</w:t>
      </w:r>
    </w:p>
    <w:p>
      <w:r>
        <w:t>Es el régimen general de protección de datos personales, desarrollado a partir del derecho constitucional al hábeas data. Un correo o teléfono que permita identificar a una persona es un dato personal. El responsable decide las finalidades; el encargado trata datos por su cuenta. Son relevantes los artículos 4, 8 a 12, 14 a 18 y 26. [1]</w:t>
      </w:r>
    </w:p>
    <w:p>
      <w:pPr>
        <w:pStyle w:val="Heading2"/>
      </w:pPr>
      <w:r>
        <w:t>Decreto 1074 de 2015</w:t>
      </w:r>
    </w:p>
    <w:p>
      <w:r>
        <w:t>El capítulo 25 reglamenta autorización, políticas, aviso de privacidad, conservación, atención al titular y relaciones con encargados. Recoge disposiciones del Decreto 1377 de 2013. El capítulo 26 regula el Registro Nacional de Bases de Datos. [2] [6]</w:t>
      </w:r>
    </w:p>
    <w:p>
      <w:pPr>
        <w:pStyle w:val="Heading2"/>
      </w:pPr>
      <w:r>
        <w:t>Ley 2300 de 2023</w:t>
      </w:r>
    </w:p>
    <w:p>
      <w:r>
        <w:t>Si se utilizan los contactos para mensajes comerciales o publicitarios, debe revisarse su artículo 5, junto con las restricciones de contacto aplicables. También regula las gestiones de cobranza. Recopilar un teléfono no equivale por sí solo a autorizar publicidad. [3]</w:t>
      </w:r>
    </w:p>
    <w:p>
      <w:pPr>
        <w:pStyle w:val="Heading2"/>
      </w:pPr>
      <w:r>
        <w:t>Ley 527 de 1999 y Ley 962 de 2005</w:t>
      </w:r>
    </w:p>
    <w:p>
      <w:r>
        <w:t>La primera establece condiciones para conservar mensajes y documentos electrónicos. La segunda fija reglas para libros y papeles del comerciante; su plazo no se aplica automáticamente a toda la base de contactos. [4] [5]</w:t>
      </w:r>
    </w:p>
    <w:p>
      <w:r>
        <w:br w:type="page"/>
      </w:r>
    </w:p>
    <w:p>
      <w:pPr>
        <w:pStyle w:val="Heading1"/>
      </w:pPr>
      <w:r>
        <w:t>Autorización y transparencia en la app</w:t>
      </w:r>
    </w:p>
    <w:p>
      <w:r>
        <w:t>La Ley 1581 exige autorización previa e informada, salvo una excepción legal aplicable. Debe poder consultarse después. La app debe informar finalidad, derechos e identidad y contacto del responsable. El titular puede conocer, actualizar y rectificar sus datos, pedir prueba de autorización y solicitar supresión o revocatoria en los términos legales. [1]</w:t>
      </w:r>
    </w:p>
    <w:p>
      <w:r>
        <w:t>La política debe identificar al responsable y sus canales, describir tratamiento y finalidades, derechos, persona o área de atención, procedimiento y vigencia de la política y de las bases. El silencio no equivale a autorización. Conservar prueba de la autorización es una obligación. [2]</w:t>
      </w:r>
    </w:p>
    <w:p>
      <w:pPr>
        <w:pStyle w:val="Heading2"/>
      </w:pPr>
      <w:r>
        <w:t>Recomendaciones para el formulario</w:t>
      </w:r>
    </w:p>
    <w:p>
      <w:pPr>
        <w:pStyle w:val="ListBullet"/>
      </w:pPr>
      <w:r>
        <w:t>Pedir únicamente el contacto necesario. Si basta el correo, evaluar que el teléfono sea opcional.</w:t>
      </w:r>
    </w:p>
    <w:p>
      <w:pPr>
        <w:pStyle w:val="ListBullet"/>
      </w:pPr>
      <w:r>
        <w:t>Mostrar una explicación breve junto al formulario y un enlace visible a la política completa.</w:t>
      </w:r>
    </w:p>
    <w:p>
      <w:pPr>
        <w:pStyle w:val="ListBullet"/>
      </w:pPr>
      <w:r>
        <w:t>Usar una casilla sin marcar para registrar una decisión expresa y separar la opción de publicidad de las comunicaciones necesarias del servicio.</w:t>
      </w:r>
    </w:p>
    <w:p>
      <w:pPr>
        <w:pStyle w:val="ListBullet"/>
      </w:pPr>
      <w:r>
        <w:t>Guardar fecha, versión del texto aceptado, finalidad, canal y evidencia de la acción. Evitar registrar datos técnicos innecesarios.</w:t>
      </w:r>
    </w:p>
    <w:p>
      <w:pPr>
        <w:pStyle w:val="ListBullet"/>
      </w:pPr>
      <w:r>
        <w:t>Verificar correo o teléfono cuando sea útil para reducir registros de contactos ajenos. La verificación de titularidad no reemplaza la autorización.</w:t>
      </w:r>
    </w:p>
    <w:p>
      <w:pPr>
        <w:pStyle w:val="Heading2"/>
      </w:pPr>
      <w:r>
        <w:t>Texto orientativo para adaptar</w:t>
      </w:r>
    </w:p>
    <w:p>
      <w:r>
        <w:t>Autorizo a [nombre o razón social del responsable] a tratar mi correo electrónico y mi teléfono para [describir la función concreta de la app]. Conozco la política de tratamiento disponible en [enlace] y puedo ejercer mis derechos mediante [correo o canal de atención].</w:t>
      </w:r>
    </w:p>
    <w:p>
      <w:r>
        <w:t>Opción adicional si se envía publicidad: Autorizo recibir información comercial de [responsable] sobre [productos o servicios] mediante los canales que seleccione: correo electrónico, SMS o llamadas. Puedo retirar esta autorización mediante [mecanismo].</w:t>
      </w:r>
    </w:p>
    <w:p>
      <w:r>
        <w:t>Estos textos son una base de redacción. Los campos entre corchetes deben completarse y las finalidades deben corresponder al funcionamiento real. No deben presentarse como una política terminada.</w:t>
      </w:r>
    </w:p>
    <w:p>
      <w:pPr>
        <w:pStyle w:val="Heading2"/>
      </w:pPr>
      <w:r>
        <w:t>Mensajes comerciales</w:t>
      </w:r>
    </w:p>
    <w:p>
      <w:r>
        <w:t>Para publicidad, aplicar los horarios pertinentes: lunes a viernes de 7 a. m. a 7 p. m. y sábados de 8 a. m. a 3 p. m., excluidos domingos y festivos. Implementar retiro sencillo y revisar las reglas de canales y periodicidad según la actividad, así como el Registro de Números Excluidos antes de campañas. [3] [9]</w:t>
      </w:r>
    </w:p>
    <w:p>
      <w:r>
        <w:br w:type="page"/>
      </w:r>
    </w:p>
    <w:p>
      <w:pPr>
        <w:pStyle w:val="Heading1"/>
      </w:pPr>
      <w:r>
        <w:t>Conservación y eliminación</w:t>
      </w:r>
    </w:p>
    <w:p>
      <w:r>
        <w:t>El artículo 2.2.2.25.2.8 del Decreto 1074 permite tratar los datos durante el tiempo razonable y necesario para la finalidad. Cumplida esta, procede suprimirlos, salvo deber legal o contractual de conservación. La política no debe prometer borrado absoluto e inmediato si existe una obligación específica que lo impida. [2]</w:t>
      </w:r>
    </w:p>
    <w:p>
      <w:pPr>
        <w:pStyle w:val="Heading2"/>
      </w:pPr>
      <w:r>
        <w:t>Matriz inicial para aprobar internamente</w:t>
      </w:r>
    </w:p>
    <w:p>
      <w:r>
        <w:t>Las siguientes son propuestas de operación, no plazos impuestos por la ley. Deben ajustarse al uso real y documentarse en un calendario de conservación.</w:t>
      </w:r>
    </w:p>
    <w:p>
      <w:pPr>
        <w:pStyle w:val="Heading2"/>
      </w:pPr>
      <w:r>
        <w:t>Contacto de usuario activo</w:t>
      </w:r>
    </w:p>
    <w:p>
      <w:r>
        <w:t>Conservar mientras sea necesario para prestar el servicio. Al cerrar la cuenta, revisar qué debe eliminarse y qué tiene una justificación concreta de conservación.</w:t>
      </w:r>
    </w:p>
    <w:p>
      <w:pPr>
        <w:pStyle w:val="Heading2"/>
      </w:pPr>
      <w:r>
        <w:t>Registro que no completa la vinculación</w:t>
      </w:r>
    </w:p>
    <w:p>
      <w:r>
        <w:t>Propuesta: eliminar a los 30 días si no existe otra finalidad autorizada y vigente.</w:t>
      </w:r>
    </w:p>
    <w:p>
      <w:pPr>
        <w:pStyle w:val="Heading2"/>
      </w:pPr>
      <w:r>
        <w:t>Contacto autorizado para publicidad</w:t>
      </w:r>
    </w:p>
    <w:p>
      <w:r>
        <w:t>Propuesta: revisar cada 12 meses la necesidad y pertinencia de mantenerlo; retirar de campañas cuando revoque. La revisión anual no autoriza a conservar indefinidamente.</w:t>
      </w:r>
    </w:p>
    <w:p>
      <w:pPr>
        <w:pStyle w:val="Heading2"/>
      </w:pPr>
      <w:r>
        <w:t>Prueba de autorización y solicitudes</w:t>
      </w:r>
    </w:p>
    <w:p>
      <w:r>
        <w:t>Definir un plazo documentado según la necesidad de demostrar cumplimiento y gestionar reclamaciones. Conservar solo la evidencia mínima y restringir su acceso.</w:t>
      </w:r>
    </w:p>
    <w:p>
      <w:pPr>
        <w:pStyle w:val="Heading2"/>
      </w:pPr>
      <w:r>
        <w:t>Copias de respaldo</w:t>
      </w:r>
    </w:p>
    <w:p>
      <w:r>
        <w:t>Propuesta: rotación de 30 a 90 días, según necesidad técnica. Registrar las eliminaciones y reaplicarlas si se restaura una copia.</w:t>
      </w:r>
    </w:p>
    <w:p>
      <w:pPr>
        <w:pStyle w:val="Heading2"/>
      </w:pPr>
      <w:r>
        <w:t>Exclusión de publicidad</w:t>
      </w:r>
    </w:p>
    <w:p>
      <w:r>
        <w:t>Valorar un registro mínimo de exclusión para evitar nuevos envíos. Documentar fundamento, acceso restringido y duración; no reutilizarlo para campañas.</w:t>
      </w:r>
    </w:p>
    <w:p>
      <w:pPr>
        <w:pStyle w:val="Heading2"/>
      </w:pPr>
      <w:r>
        <w:t>Documentos comerciales y archivos electrónicos</w:t>
      </w:r>
    </w:p>
    <w:p>
      <w:r>
        <w:t>El artículo 28 de la Ley 962 establece diez años para libros y papeles del comerciante, contados desde el último asiento, documento o comprobante, sin perjuicio de reglas especiales. Esto no justifica guardar diez años cada contacto capturado. [5]</w:t>
      </w:r>
    </w:p>
    <w:p>
      <w:r>
        <w:t>Cuando exista obligación de conservar documentos electrónicos, la Ley 527 exige accesibilidad posterior, reproducción exacta y conservación de información de origen, destino, fecha y hora cuando exista. [4]</w:t>
      </w:r>
    </w:p>
    <w:p>
      <w:r>
        <w:br w:type="page"/>
      </w:r>
    </w:p>
    <w:p>
      <w:pPr>
        <w:pStyle w:val="Heading1"/>
      </w:pPr>
      <w:r>
        <w:t>Atención de usuarios y seguridad</w:t>
      </w:r>
    </w:p>
    <w:p>
      <w:pPr>
        <w:pStyle w:val="Heading2"/>
      </w:pPr>
      <w:r>
        <w:t>Procedimiento para solicitudes</w:t>
      </w:r>
    </w:p>
    <w:p>
      <w:r>
        <w:t>Las consultas se atienden en máximo 10 días hábiles desde su recepción; puede haber hasta 5 días hábiles adicionales con aviso previo y motivado. Los reclamos se resuelven en 15 días hábiles desde el día siguiente a su recibo; la ampliación máxima es de 8 días hábiles, informada antes del vencimiento. La fuente legal son los artículos 14 y 15 de la Ley 1581. [1] [8]</w:t>
      </w:r>
    </w:p>
    <w:p>
      <w:r>
        <w:t>Recomendación operativa: habilitar un correo y un formulario de atención; registrar recepción, verificar identidad proporcionalmente, clasificar la solicitud, calcular vencimientos y conservar evidencia de respuesta. En supresión, informar qué se elimina y cualquier conservación justificada.</w:t>
      </w:r>
    </w:p>
    <w:p>
      <w:pPr>
        <w:pStyle w:val="Heading2"/>
      </w:pPr>
      <w:r>
        <w:t>Controles recomendados</w:t>
      </w:r>
    </w:p>
    <w:p>
      <w:pPr>
        <w:pStyle w:val="ListBullet"/>
      </w:pPr>
      <w:r>
        <w:t>Cifrar comunicaciones con HTTPS, restringir accesos por función y activar autenticación multifactor en las cuentas administrativas.</w:t>
      </w:r>
    </w:p>
    <w:p>
      <w:pPr>
        <w:pStyle w:val="ListBullet"/>
      </w:pPr>
      <w:r>
        <w:t>Evitar bases públicas, secretos en el código y listados de contactos en registros de errores o analítica.</w:t>
      </w:r>
    </w:p>
    <w:p>
      <w:pPr>
        <w:pStyle w:val="ListBullet"/>
      </w:pPr>
      <w:r>
        <w:t>Separar ambientes de desarrollo y producción; usar datos ficticios en pruebas y revisar accesos periódicamente.</w:t>
      </w:r>
    </w:p>
    <w:p>
      <w:pPr>
        <w:pStyle w:val="ListBullet"/>
      </w:pPr>
      <w:r>
        <w:t>Probar borrado de registros, restauración de respaldos y exclusión de publicidad antes del lanzamiento.</w:t>
      </w:r>
    </w:p>
    <w:p>
      <w:pPr>
        <w:pStyle w:val="Heading2"/>
      </w:pPr>
      <w:r>
        <w:t>Servicios en la nube y terceros</w:t>
      </w:r>
    </w:p>
    <w:p>
      <w:r>
        <w:t>Identificar dónde alojan datos los proveedores y si actúan como encargados o como responsables independientes. Las transmisiones requieren el tratamiento contractual correspondiente; las transferencias internacionales deben analizarse bajo el artículo 26 de la Ley 1581. No basta con que el proveedor tenga una política pública. [1] [2]</w:t>
      </w:r>
    </w:p>
    <w:p>
      <w:pPr>
        <w:pStyle w:val="Heading2"/>
      </w:pPr>
      <w:r>
        <w:t>Incidentes de seguridad</w:t>
      </w:r>
    </w:p>
    <w:p>
      <w:r>
        <w:t>Preparar un procedimiento para contener accesos indebidos, preservar evidencia y evaluar el alcance. La SIC indica que los incidentes deben reportarse dentro de los 15 días hábiles siguientes a su detección y puesta en conocimiento del área o persona encargada. El canal depende de si se está obligado al RNBD. [7]</w:t>
      </w:r>
    </w:p>
    <w:p>
      <w:pPr>
        <w:pStyle w:val="Heading2"/>
      </w:pPr>
      <w:r>
        <w:t>Registro Nacional de Bases de Datos</w:t>
      </w:r>
    </w:p>
    <w:p>
      <w:r>
        <w:t>Según la SIC, están obligadas las sociedades y entidades sin ánimo de lucro con activos totales superiores a 100.000 UVT, y las personas jurídicas públicas. No estar obligado a registrar no elimina las demás obligaciones de protección de datos. [6]</w:t>
      </w:r>
    </w:p>
    <w:p>
      <w:pPr>
        <w:pStyle w:val="Heading2"/>
      </w:pPr>
      <w:r>
        <w:t>Antes de poner la app en producción</w:t>
      </w:r>
    </w:p>
    <w:p>
      <w:r>
        <w:t>Completar identidad y contacto del responsable; aprobar política y calendario de conservación; verificar formulario y evidencia de autorización; probar atención y eliminación; revisar contratos con proveedores; y, si habrá campañas, habilitar retiro y controles de contacto. Si se admitirán menores o se ampliarán los datos o finalidades, revisar el alcance antes de activar esas funciones.</w:t>
      </w:r>
    </w:p>
    <w:p>
      <w:r>
        <w:br w:type="page"/>
      </w:r>
    </w:p>
    <w:p>
      <w:pPr>
        <w:pStyle w:val="Heading1"/>
      </w:pPr>
      <w:r>
        <w:t>Fuentes oficiales consultadas</w:t>
      </w:r>
    </w:p>
    <w:p>
      <w:r>
        <w:t>Las referencias enlazan normas y orientaciones oficiales. Las recomendaciones operativas de esta guía se distinguen expresamente de los plazos y obligaciones legales.</w:t>
      </w:r>
    </w:p>
    <w:p>
      <w:pPr>
        <w:pStyle w:val="Heading2"/>
      </w:pPr>
      <w:r>
        <w:t>[1] Ley 1581 de 2012</w:t>
      </w:r>
    </w:p>
    <w:p>
      <w:r>
        <w:t>Régimen general y artículos citados.</w:t>
      </w:r>
    </w:p>
    <w:p>
      <w:hyperlink r:id="rId9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[2] Decreto 1074 de 2015</w:t>
      </w:r>
    </w:p>
    <w:p>
      <w:r>
        <w:t>Capítulo 25, especialmente artículos 2.2.2.25.2.2 a 2.2.2.25.2.8, 2.2.2.25.3.1 y sección 5.</w:t>
      </w:r>
    </w:p>
    <w:p>
      <w:hyperlink r:id="rId10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[3] Ley 2300 de 2023</w:t>
      </w:r>
    </w:p>
    <w:p>
      <w:r>
        <w:t>Restricciones de contacto y artículo 5 sobre mensajes comerciales.</w:t>
      </w:r>
    </w:p>
    <w:p>
      <w:hyperlink r:id="rId11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[4] Ley 527 de 1999</w:t>
      </w:r>
    </w:p>
    <w:p>
      <w:r>
        <w:t>Artículos 12 y 13, conservación electrónica.</w:t>
      </w:r>
    </w:p>
    <w:p>
      <w:hyperlink r:id="rId12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[5] Ley 962 de 2005</w:t>
      </w:r>
    </w:p>
    <w:p>
      <w:r>
        <w:t>Artículo 28, libros y papeles del comerciante.</w:t>
      </w:r>
    </w:p>
    <w:p>
      <w:hyperlink r:id="rId13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[6] SIC sobre obligados al RNBD</w:t>
      </w:r>
    </w:p>
    <w:p>
      <w:r>
        <w:t>Concepto publicado el 16 de noviembre de 2022.</w:t>
      </w:r>
    </w:p>
    <w:p>
      <w:hyperlink r:id="rId14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[7] SIC sobre reporte de incidentes</w:t>
      </w:r>
    </w:p>
    <w:p>
      <w:r>
        <w:t>Concepto publicado el 20 de abril de 2021.</w:t>
      </w:r>
    </w:p>
    <w:p>
      <w:hyperlink r:id="rId15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[8] SIC sobre atención de solicitudes</w:t>
      </w:r>
    </w:p>
    <w:p>
      <w:r>
        <w:t>Política institucional, como referencia operativa; la obligación proviene de la Ley 1581.</w:t>
      </w:r>
    </w:p>
    <w:p>
      <w:hyperlink r:id="rId16">
        <w:r>
          <w:rPr>
            <w:color w:val="245980"/>
          </w:rPr>
          <w:t>Consultar fuente oficial</w:t>
        </w:r>
      </w:hyperlink>
    </w:p>
    <w:p>
      <w:pPr>
        <w:pStyle w:val="Heading2"/>
      </w:pPr>
      <w:r>
        <w:t>[9] CRC sobre contacto comercial y RNE</w:t>
      </w:r>
    </w:p>
    <w:p>
      <w:r>
        <w:t>Concepto 513485 de 2024.</w:t>
      </w:r>
    </w:p>
    <w:p>
      <w:hyperlink r:id="rId17">
        <w:r>
          <w:rPr>
            <w:color w:val="245980"/>
          </w:rPr>
          <w:t>Consultar fuente oficial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cilleria.gov.co/normograma/compilacion/docs/ley_1581_2012.htm" TargetMode="External"/><Relationship Id="rId10" Type="http://schemas.openxmlformats.org/officeDocument/2006/relationships/hyperlink" Target="https://normativa.colpensiones.gov.co/colpens/docs/decreto_1074_2015_pr026.htm" TargetMode="External"/><Relationship Id="rId11" Type="http://schemas.openxmlformats.org/officeDocument/2006/relationships/hyperlink" Target="https://www.funcionpublica.gov.co/eva/gestornormativo/norma_pdf.php?i=213990" TargetMode="External"/><Relationship Id="rId12" Type="http://schemas.openxmlformats.org/officeDocument/2006/relationships/hyperlink" Target="https://www1.funcionpublica.gov.co/eva/gestornormativo/norma_pdf.php?i=4276" TargetMode="External"/><Relationship Id="rId13" Type="http://schemas.openxmlformats.org/officeDocument/2006/relationships/hyperlink" Target="https://www.funcionpublica.gov.co/eva/gestornormativo/norma.php?30=&amp;i=17004" TargetMode="External"/><Relationship Id="rId14" Type="http://schemas.openxmlformats.org/officeDocument/2006/relationships/hyperlink" Target="https://sedeelectronica.sic.gov.co/publicaciones/boletin-juridico/concepto/cuales-personas-estan-obligadas-realizar-el-registro-de-bases-de-datos-personales-en-el-rnbd" TargetMode="External"/><Relationship Id="rId15" Type="http://schemas.openxmlformats.org/officeDocument/2006/relationships/hyperlink" Target="https://sedeelectronica.sic.gov.co/publicaciones/boletin-juridico/concepto/cumplimiento-de-la-obligacion-del-reporte-de-incidentes-de-seguridad" TargetMode="External"/><Relationship Id="rId16" Type="http://schemas.openxmlformats.org/officeDocument/2006/relationships/hyperlink" Target="https://sedeelectronica.sic.gov.co/politica-de-tratamiento-de-datos-personales" TargetMode="External"/><Relationship Id="rId17" Type="http://schemas.openxmlformats.org/officeDocument/2006/relationships/hyperlink" Target="https://normograma.crcom.gov.co/crc/compilacion/docs/concepto_crc_0513485_202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Protección y conservación de datos de contacto en Colombia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