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rPr>
          <w:kern w:val="48"/>
        </w:rPr>
      </w:pPr>
      <w:r>
        <w:rPr>
          <w:kern w:val="48"/>
        </w:rPr>
        <w:t>PrivacyPilot: Static Analysis of Source Code and Privacy Policies for DPDP Act 2023 Compliance</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pPr>
        <w:pStyle w:val="Abstract"/>
      </w:pPr>
      <w:r>
        <w:rPr>
          <w:i/>
          <w:iCs/>
        </w:rPr>
        <w:t>Abstract</w:t>
      </w:r>
      <w:r>
        <w:t>—</w:t>
      </w:r>
      <w:r>
        <w:t xml:space="preserve">India’s Digital Personal Data Protection (DPDP) Act, 2023 and the DPDP Rules, 2025 require a data fiduciary to give notice of the personal data it processes and the purpose of processing, to process that data only for the purpose consented to, to engage data processors only under a valid contract, and to protect the data with reasonable security safeguards. Whether a software product meets these obligations depends on two artefacts that are rarely examined together: its source code and its privacy policy. This paper presents PrivacyPilot, a system that statically analyses a GitHub repository together with the product’s privacy policy and reports likely non-compliance against specific provisions. The code analysis combines identifier patterns, checksum validation of Aadhaar numbers, named-entity recognition and intra-file taint analysis of Python and JavaScript/TypeScript to locate personal data and the third-party destinations it reaches. The policy analysis extracts the disclosed data categories, the stated purposes, using dependency parsing and sentence embeddings, and the named recipients. A rule engine cross-references the two to report notice gaps (Sections 5 and 6(1)), transmission to undisclosed third parties (Section 8(2)), personal data in logs (Section 8(5)), processing beyond the stated purpose (Section 6(1)) and ambiguous purpose statements (Rule 3 of the DPDP Rules). No large language model is used to detect violations. Repositories of any size are scanned as bounded parallel tasks, and bundled third-party code is analysed and attributed separately. On five synthetic repositories with 58 ground-truth violations, PrivacyPilot achieved a recall of 89.7% and a precision of 92.9% under strict matching; on nine real-world repositories, against a reference set labelled by two annotators (Cohen’s κ = 0.86), it achieved a recall of 39.7% and a precision of 27.1%.</w:t>
      </w:r>
    </w:p>
    <w:p>
      <w:pPr>
        <w:pStyle w:val="Keywords"/>
      </w:pPr>
      <w:r>
        <w:t>Keywords—</w:t>
      </w:r>
      <w:r>
        <w:t xml:space="preserve">DPDP Act 2023, privacy compliance, static analysis, taint analysis, privacy policy analysis, natural language processing</w:t>
      </w:r>
    </w:p>
    <w:p>
      <w:pPr>
        <w:pStyle w:val="Heading1"/>
      </w:pPr>
      <w:r>
        <w:t xml:space="preserve">Introduction</w:t>
      </w:r>
    </w:p>
    <w:p>
      <w:pPr>
        <w:pStyle w:val="BodyText"/>
      </w:pPr>
      <w:r>
        <w:t xml:space="preserve">The Digital Personal Data Protection (DPDP) Act, 2023 [1] is India’s first comprehensive data protection law, and the DPDP Rules, 2025 [2], notified in November 2025, make most of its obligations operative after an 18-month transition. Every request for consent must be accompanied or preceded by a notice of the personal data and the purpose of processing (Section 5(1)); consent must be free, specific, informed, unconditional and unambiguous and limited to the personal data necessary for the specified purpose (Section 6(1)); a data processor may be engaged only under a valid contract (Section 8(2)); and the data fiduciary must take reasonable security safeguards to prevent a personal data breach (Section 8(5)). Rule 3 of the DPDP Rules requires the notice to give, in clear and plain language, an itemised description of the personal data and the specified purpose. The Schedule to the Act provides penalties of up to ₹250 crore for a failure to take reasonable security safeguards and up to ₹50 crore for breaches of provisions not otherwise listed, which include the notice and consent provisions [1].</w:t>
      </w:r>
    </w:p>
    <w:p>
      <w:pPr>
        <w:pStyle w:val="BodyText"/>
      </w:pPr>
      <w:r>
        <w:t xml:space="preserve">Checking these obligations is largely a manual legal review of the privacy policy, and such a review cannot see what the software does: a mobile number sent to an analytics SDK, an Aadhaar number written to a log, or a data field added in a later release without the policy being updated. Automated work exists on checking legal documents and privacy policies against the General Data Protection Regulation (GDPR) [3]–[5] and on comparing Android applications with their policies [6]–[8]. In an interview study of privacy assessments, Khedkar </w:t>
      </w:r>
      <w:r>
        <w:rPr>
          <w:i/>
        </w:rPr>
        <w:t xml:space="preserve">et al.</w:t>
      </w:r>
      <w:r>
        <w:t xml:space="preserve"> identified the lack of tools based on source code analysis as one of the challenges assessors face [9]. Among the studies and tools we reviewed (Section II), none analyses application source code together with a privacy policy and reports the result against the provisions of the DPDP Act.</w:t>
      </w:r>
    </w:p>
    <w:p>
      <w:pPr>
        <w:pStyle w:val="BodyText"/>
      </w:pPr>
      <w:r>
        <w:t xml:space="preserve">PrivacyPilot analyses a product’s source repository and its privacy policy together and reports each likely violation with the provision concerned, the evidence (file and line, or the policy clause) and a recommended fix. Its contributions are:</w:t>
      </w:r>
    </w:p>
    <w:p>
      <w:pPr>
        <w:pStyle w:val="bulletlist"/>
      </w:pPr>
      <w:r>
        <w:t xml:space="preserve">an operationalisation of Sections 5, 6(1), 8(2) and 8(5) of the Act and Rule 3 of the DPDP Rules as checks over code-level and policy-level evidence, with severities and a compliance score;</w:t>
      </w:r>
    </w:p>
    <w:p>
      <w:pPr>
        <w:pStyle w:val="bulletlist"/>
      </w:pPr>
      <w:r>
        <w:t xml:space="preserve">a code analysis pipeline for Python and JavaScript/TypeScript that combines identifier patterns, Verhoeff validation of Aadhaar numbers, named-entity recognition and taint analysis;</w:t>
      </w:r>
    </w:p>
    <w:p>
      <w:pPr>
        <w:pStyle w:val="bulletlist"/>
      </w:pPr>
      <w:r>
        <w:t xml:space="preserve">a policy analysis pipeline that extracts disclosed data categories, stated purposes and named recipients, and flags ambiguous purpose statements, without a large language model in the detection path;</w:t>
      </w:r>
    </w:p>
    <w:p>
      <w:pPr>
        <w:pStyle w:val="bulletlist"/>
      </w:pPr>
      <w:r>
        <w:t xml:space="preserve">a scanning architecture with no limit on repository size that also analyses, and separately attributes, bundled third-party code; and</w:t>
      </w:r>
    </w:p>
    <w:p>
      <w:pPr>
        <w:pStyle w:val="bulletlist"/>
      </w:pPr>
      <w:r>
        <w:t xml:space="preserve">an evaluation on synthetic repositories with planted violations using strict and lenient matching.</w:t>
      </w:r>
    </w:p>
    <w:p>
      <w:pPr>
        <w:pStyle w:val="BodyText"/>
      </w:pPr>
      <w:r>
        <w:t xml:space="preserve">Section II reviews related work and existing tools, Section III describes the methodology, Section IV the implementation, Section V the evaluation method and Section VI the results. Section VII discusses limitations and Section VIII concludes.</w:t>
      </w:r>
    </w:p>
    <w:p>
      <w:pPr>
        <w:pStyle w:val="Heading1"/>
      </w:pPr>
      <w:r>
        <w:t xml:space="preserve">Related Work and Existing Tools</w:t>
      </w:r>
    </w:p>
    <w:p>
      <w:pPr>
        <w:pStyle w:val="BodyText"/>
      </w:pPr>
      <w:r>
        <w:t xml:space="preserve">Before implementation we reviewed published work in five areas and ten compliance tools. This section summarises them and states how PrivacyPilot differs.</w:t>
      </w:r>
    </w:p>
    <w:p>
      <w:pPr>
        <w:pStyle w:val="Heading2"/>
      </w:pPr>
      <w:r>
        <w:t xml:space="preserve">The DPDP Act</w:t>
      </w:r>
    </w:p>
    <w:p>
      <w:pPr>
        <w:pStyle w:val="BodyText"/>
      </w:pPr>
      <w:r>
        <w:t xml:space="preserve">Saurabh [10] examines the rights the Act gives individuals, the obligations it places on data fiduciaries and processors, and the role of the Data Protection Board of India. Bareh [11] reviews the Act’s provisions from the perspective of libraries and derives eleven privacy principles, including data collection and notice, consent and data sharing. Neither proposes automated checking. Unlike the GDPR, the Act does not define a class of sensitive personal data. PrivacyPilot therefore uses a project-defined high-risk tier (Aadhaar, PAN, financial, health and biometric data) only to set the severity of a finding; the tier is not a legal category.</w:t>
      </w:r>
    </w:p>
    <w:p>
      <w:pPr>
        <w:pStyle w:val="Heading2"/>
      </w:pPr>
      <w:r>
        <w:t xml:space="preserve">Compliance Checking of Legal Documents and Privacy Policies</w:t>
      </w:r>
    </w:p>
    <w:p>
      <w:pPr>
        <w:pStyle w:val="BodyText"/>
      </w:pPr>
      <w:r>
        <w:t xml:space="preserve">Amaral </w:t>
      </w:r>
      <w:r>
        <w:rPr>
          <w:i/>
        </w:rPr>
        <w:t xml:space="preserve">et al.</w:t>
      </w:r>
      <w:r>
        <w:t xml:space="preserve"> [3] extract, with legal experts, the “shall” requirements of the GDPR that apply to data processing agreements and check agreements against them with natural language processing (NLP); on 30 agreements they report a precision of 89.1% and a recall of 82.4%. Their earlier work [4] checks the completeness of privacy policies against the GDPR with NLP and supervised learning, with a precision of 92.9% and a recall of 89.8% on 48 unseen policies. Liu </w:t>
      </w:r>
      <w:r>
        <w:rPr>
          <w:i/>
        </w:rPr>
        <w:t xml:space="preserve">et al.</w:t>
      </w:r>
      <w:r>
        <w:t xml:space="preserve"> [5] analyse whether policy text makes the disclosures required by GDPR Article 13. The OPP-115 corpus [12] of annotated website policies enabled supervised analysis of data practices, used for example by Polisis [13]. These approaches analyse documents only; PrivacyPilot checks the policy against what the code does.</w:t>
      </w:r>
    </w:p>
    <w:p>
      <w:pPr>
        <w:pStyle w:val="Heading2"/>
      </w:pPr>
      <w:r>
        <w:t xml:space="preserve">Large Language Models for Compliance</w:t>
      </w:r>
    </w:p>
    <w:p>
      <w:pPr>
        <w:pStyle w:val="BodyText"/>
      </w:pPr>
      <w:r>
        <w:t xml:space="preserve">Chen </w:t>
      </w:r>
      <w:r>
        <w:rPr>
          <w:i/>
        </w:rPr>
        <w:t xml:space="preserve">et al.</w:t>
      </w:r>
      <w:r>
        <w:t xml:space="preserve"> [14] show that large language model (LLM) classifiers, with prompt engineering and LoRA fine-tuning, outperform other state-of-the-art classifiers on four privacy policy corpora. Mittal </w:t>
      </w:r>
      <w:r>
        <w:rPr>
          <w:i/>
        </w:rPr>
        <w:t xml:space="preserve">et al.</w:t>
      </w:r>
      <w:r>
        <w:t xml:space="preserve"> [15] use LLMs to extract personal-data information from policies and summarise them as compliant or not with the GDPR. LegiLM [16] is a model fine-tuned to assess whether actions breach data protection rules, GraphCompliance [17] aligns a graph of regulatory text with a graph of runtime context to guide an LLM judge, and Hassani </w:t>
      </w:r>
      <w:r>
        <w:rPr>
          <w:i/>
        </w:rPr>
        <w:t xml:space="preserve">et al.</w:t>
      </w:r>
      <w:r>
        <w:t xml:space="preserve"> [18] discuss the opportunities LLMs open for compliance automation. PrivacyPilot deliberately keeps LLMs out of detection, so that every finding is reproducible and traceable to a rule and a line of evidence; an LLM is used only to summarise a completed scan.</w:t>
      </w:r>
    </w:p>
    <w:p>
      <w:pPr>
        <w:pStyle w:val="Heading2"/>
      </w:pPr>
      <w:r>
        <w:t xml:space="preserve">Consent and Code-Level Analysis</w:t>
      </w:r>
    </w:p>
    <w:p>
      <w:pPr>
        <w:pStyle w:val="BodyText"/>
      </w:pPr>
      <w:r>
        <w:t xml:space="preserve">Cosmic [19] audits consent in web forms by combining LLM-based extraction of consent requirements from policies with Datalog rules, and reports 3,384 violations on 94.1% of 3,598 consent forms from 5,823 websites. Chhetri </w:t>
      </w:r>
      <w:r>
        <w:rPr>
          <w:i/>
        </w:rPr>
        <w:t xml:space="preserve">et al.</w:t>
      </w:r>
      <w:r>
        <w:t xml:space="preserve"> [20] model informed consent as a knowledge graph in a tool for automated GDPR compliance verification. On the code side, FlowDroid [21] performs static taint analysis of Android applications, and Zimmeck </w:t>
      </w:r>
      <w:r>
        <w:rPr>
          <w:i/>
        </w:rPr>
        <w:t xml:space="preserve">et al.</w:t>
      </w:r>
      <w:r>
        <w:t xml:space="preserve"> [6], MAPS [7] and PoliCheck [8] compare the practices of Android applications with their policies. Assessor View [9] extracts privacy-relevant information from Android packages by static analysis for privacy assessors. GDPR-Bench-Android [22] provides 1,951 annotated GDPR violations in 15 Android repositories; the best of eleven evaluated methods reaches a macro-F1 of only 5.75% on snippet-level multi-label classification, which indicates how hard code-level compliance detection is. These works target the GDPR, compiled mobile applications or web forms, whereas PrivacyPilot analyses the source code of web and server applications and maps findings to the DPDP Act.</w:t>
      </w:r>
    </w:p>
    <w:p>
      <w:pPr>
        <w:pStyle w:val="Heading2"/>
      </w:pPr>
      <w:r>
        <w:t xml:space="preserve">Personal Data Detection</w:t>
      </w:r>
    </w:p>
    <w:p>
      <w:pPr>
        <w:pStyle w:val="BodyText"/>
      </w:pPr>
      <w:r>
        <w:t xml:space="preserve">Mishra </w:t>
      </w:r>
      <w:r>
        <w:rPr>
          <w:i/>
        </w:rPr>
        <w:t xml:space="preserve">et al.</w:t>
      </w:r>
      <w:r>
        <w:t xml:space="preserve"> [23] combine rule-based NLP, machine learning and a custom named-entity recognition (NER) model to detect personal data in financial documents, with a precision of 94.7% and an F1 score of 91.1% on synthetic data. Jaikumar and Mohana [24] combine machine learning with regular expressions to detect personal-data labels. PrivacyPilot follows the same hybrid idea, rules followed by NER with Microsoft Presidio [25], adapted to source code and to Indian identifiers.</w:t>
      </w:r>
    </w:p>
    <w:p>
      <w:pPr>
        <w:pStyle w:val="Heading2"/>
      </w:pPr>
      <w:r>
        <w:t xml:space="preserve">Existing Tools</w:t>
      </w:r>
    </w:p>
    <w:p>
      <w:pPr>
        <w:pStyle w:val="BodyText"/>
      </w:pPr>
      <w:r>
        <w:t xml:space="preserve">Table I summarises the tools we reviewed, based on their public documentation as of October 2026. Most are privacy-management, data-discovery or compliance-automation platforms that operate on data stores, consent records and assessment workflows; Redacto and Matters.AI are built for the DPDP Act. Privado is the only one that analyses source code: its open-source scanner maps personal-data flows to third parties, APIs, SDKs and logs, and its documentation refers to the GDPR and CCPA. In the documentation we reviewed, we found no tool that compares source code with a privacy policy and reports the result against DPDP provisions, which is the gap PrivacyPilot addresses.</w:t>
      </w:r>
    </w:p>
    <w:p>
      <w:pPr>
        <w:pStyle w:val="tablehead"/>
        <w:keepNext/>
      </w:pPr>
      <w:r>
        <w:t xml:space="preserve">Compliance Tools Reviewed</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100"/>
        <w:gridCol w:w="3760"/>
      </w:tblGrid>
      <w:tr>
        <w:trPr>
          <w:cantSplit/>
          <w:tblHeader/>
          <w:jc w:val="center"/>
        </w:trPr>
        <w:tc>
          <w:tcPr>
            <w:tcW w:w="1100" w:type="dxa"/>
            <w:vAlign w:val="center"/>
          </w:tcPr>
          <w:p>
            <w:pPr>
              <w:pStyle w:val="tablecolhead"/>
              <w:jc w:val="center"/>
            </w:pPr>
            <w:r>
              <w:t xml:space="preserve">Tool</w:t>
            </w:r>
          </w:p>
        </w:tc>
        <w:tc>
          <w:tcPr>
            <w:tcW w:w="3760" w:type="dxa"/>
            <w:vAlign w:val="center"/>
          </w:tcPr>
          <w:p>
            <w:pPr>
              <w:pStyle w:val="tablecolhead"/>
              <w:jc w:val="center"/>
            </w:pPr>
            <w:r>
              <w:t xml:space="preserve">Primary function (public documentation)</w:t>
            </w:r>
          </w:p>
        </w:tc>
      </w:tr>
      <w:tr>
        <w:trPr>
          <w:cantSplit/>
          <w:jc w:val="center"/>
        </w:trPr>
        <w:tc>
          <w:tcPr>
            <w:tcW w:w="1100" w:type="dxa"/>
            <w:vAlign w:val="center"/>
          </w:tcPr>
          <w:p>
            <w:pPr>
              <w:pStyle w:val="tablecopy"/>
              <w:jc w:val="center"/>
            </w:pPr>
            <w:r>
              <w:t xml:space="preserve">OneTrust [26]</w:t>
            </w:r>
          </w:p>
        </w:tc>
        <w:tc>
          <w:tcPr>
            <w:tcW w:w="3760" w:type="dxa"/>
            <w:vAlign w:val="center"/>
          </w:tcPr>
          <w:p>
            <w:pPr>
              <w:pStyle w:val="tablecopy"/>
              <w:jc w:val="center"/>
            </w:pPr>
            <w:r>
              <w:t xml:space="preserve">Privacy, consent and third-party risk management</w:t>
            </w:r>
          </w:p>
        </w:tc>
      </w:tr>
      <w:tr>
        <w:trPr>
          <w:cantSplit/>
          <w:jc w:val="center"/>
        </w:trPr>
        <w:tc>
          <w:tcPr>
            <w:tcW w:w="1100" w:type="dxa"/>
            <w:vAlign w:val="center"/>
          </w:tcPr>
          <w:p>
            <w:pPr>
              <w:pStyle w:val="tablecopy"/>
              <w:jc w:val="center"/>
            </w:pPr>
            <w:r>
              <w:t xml:space="preserve">TrustArc [27]</w:t>
            </w:r>
          </w:p>
        </w:tc>
        <w:tc>
          <w:tcPr>
            <w:tcW w:w="3760" w:type="dxa"/>
            <w:vAlign w:val="center"/>
          </w:tcPr>
          <w:p>
            <w:pPr>
              <w:pStyle w:val="tablecopy"/>
              <w:jc w:val="center"/>
            </w:pPr>
            <w:r>
              <w:t xml:space="preserve">Privacy management: consent, data requests, data mapping, assessments</w:t>
            </w:r>
          </w:p>
        </w:tc>
      </w:tr>
      <w:tr>
        <w:trPr>
          <w:cantSplit/>
          <w:jc w:val="center"/>
        </w:trPr>
        <w:tc>
          <w:tcPr>
            <w:tcW w:w="1100" w:type="dxa"/>
            <w:vAlign w:val="center"/>
          </w:tcPr>
          <w:p>
            <w:pPr>
              <w:pStyle w:val="tablecopy"/>
              <w:jc w:val="center"/>
            </w:pPr>
            <w:r>
              <w:t xml:space="preserve">Securiti [28]</w:t>
            </w:r>
          </w:p>
        </w:tc>
        <w:tc>
          <w:tcPr>
            <w:tcW w:w="3760" w:type="dxa"/>
            <w:vAlign w:val="center"/>
          </w:tcPr>
          <w:p>
            <w:pPr>
              <w:pStyle w:val="tablecopy"/>
              <w:jc w:val="center"/>
            </w:pPr>
            <w:r>
              <w:t xml:space="preserve">Data intelligence, security, privacy and governance across clouds</w:t>
            </w:r>
          </w:p>
        </w:tc>
      </w:tr>
      <w:tr>
        <w:trPr>
          <w:cantSplit/>
          <w:jc w:val="center"/>
        </w:trPr>
        <w:tc>
          <w:tcPr>
            <w:tcW w:w="1100" w:type="dxa"/>
            <w:vAlign w:val="center"/>
          </w:tcPr>
          <w:p>
            <w:pPr>
              <w:pStyle w:val="tablecopy"/>
              <w:jc w:val="center"/>
            </w:pPr>
            <w:r>
              <w:t xml:space="preserve">BigID [29]</w:t>
            </w:r>
          </w:p>
        </w:tc>
        <w:tc>
          <w:tcPr>
            <w:tcW w:w="3760" w:type="dxa"/>
            <w:vAlign w:val="center"/>
          </w:tcPr>
          <w:p>
            <w:pPr>
              <w:pStyle w:val="tablecopy"/>
              <w:jc w:val="center"/>
            </w:pPr>
            <w:r>
              <w:t xml:space="preserve">Discovery and classification of sensitive data in data stores</w:t>
            </w:r>
          </w:p>
        </w:tc>
      </w:tr>
      <w:tr>
        <w:trPr>
          <w:cantSplit/>
          <w:jc w:val="center"/>
        </w:trPr>
        <w:tc>
          <w:tcPr>
            <w:tcW w:w="1100" w:type="dxa"/>
            <w:vAlign w:val="center"/>
          </w:tcPr>
          <w:p>
            <w:pPr>
              <w:pStyle w:val="tablecopy"/>
              <w:jc w:val="center"/>
            </w:pPr>
            <w:r>
              <w:t xml:space="preserve">Lightbeam [30]</w:t>
            </w:r>
          </w:p>
        </w:tc>
        <w:tc>
          <w:tcPr>
            <w:tcW w:w="3760" w:type="dxa"/>
            <w:vAlign w:val="center"/>
          </w:tcPr>
          <w:p>
            <w:pPr>
              <w:pStyle w:val="tablecopy"/>
              <w:jc w:val="center"/>
            </w:pPr>
            <w:r>
              <w:t xml:space="preserve">Data security and purpose-based access control</w:t>
            </w:r>
          </w:p>
        </w:tc>
      </w:tr>
      <w:tr>
        <w:trPr>
          <w:cantSplit/>
          <w:jc w:val="center"/>
        </w:trPr>
        <w:tc>
          <w:tcPr>
            <w:tcW w:w="1100" w:type="dxa"/>
            <w:vAlign w:val="center"/>
          </w:tcPr>
          <w:p>
            <w:pPr>
              <w:pStyle w:val="tablecopy"/>
              <w:jc w:val="center"/>
            </w:pPr>
            <w:r>
              <w:t xml:space="preserve">DataGrail [31]</w:t>
            </w:r>
          </w:p>
        </w:tc>
        <w:tc>
          <w:tcPr>
            <w:tcW w:w="3760" w:type="dxa"/>
            <w:vAlign w:val="center"/>
          </w:tcPr>
          <w:p>
            <w:pPr>
              <w:pStyle w:val="tablecopy"/>
              <w:jc w:val="center"/>
            </w:pPr>
            <w:r>
              <w:t xml:space="preserve">Privacy (data subject) request automation</w:t>
            </w:r>
          </w:p>
        </w:tc>
      </w:tr>
      <w:tr>
        <w:trPr>
          <w:cantSplit/>
          <w:jc w:val="center"/>
        </w:trPr>
        <w:tc>
          <w:tcPr>
            <w:tcW w:w="1100" w:type="dxa"/>
            <w:vAlign w:val="center"/>
          </w:tcPr>
          <w:p>
            <w:pPr>
              <w:pStyle w:val="tablecopy"/>
              <w:jc w:val="center"/>
            </w:pPr>
            <w:r>
              <w:t xml:space="preserve">Vanta [32]</w:t>
            </w:r>
          </w:p>
        </w:tc>
        <w:tc>
          <w:tcPr>
            <w:tcW w:w="3760" w:type="dxa"/>
            <w:vAlign w:val="center"/>
          </w:tcPr>
          <w:p>
            <w:pPr>
              <w:pStyle w:val="tablecopy"/>
              <w:jc w:val="center"/>
            </w:pPr>
            <w:r>
              <w:t xml:space="preserve">Certification compliance automation (e.g., SOC 2, ISO 27001)</w:t>
            </w:r>
          </w:p>
        </w:tc>
      </w:tr>
      <w:tr>
        <w:trPr>
          <w:cantSplit/>
          <w:jc w:val="center"/>
        </w:trPr>
        <w:tc>
          <w:tcPr>
            <w:tcW w:w="1100" w:type="dxa"/>
            <w:vAlign w:val="center"/>
          </w:tcPr>
          <w:p>
            <w:pPr>
              <w:pStyle w:val="tablecopy"/>
              <w:jc w:val="center"/>
            </w:pPr>
            <w:r>
              <w:t xml:space="preserve">Redacto [33]</w:t>
            </w:r>
          </w:p>
        </w:tc>
        <w:tc>
          <w:tcPr>
            <w:tcW w:w="3760" w:type="dxa"/>
            <w:vAlign w:val="center"/>
          </w:tcPr>
          <w:p>
            <w:pPr>
              <w:pStyle w:val="tablecopy"/>
              <w:jc w:val="center"/>
            </w:pPr>
            <w:r>
              <w:t xml:space="preserve">Consent management, data discovery, vendor risk</w:t>
            </w:r>
          </w:p>
        </w:tc>
      </w:tr>
      <w:tr>
        <w:trPr>
          <w:cantSplit/>
          <w:jc w:val="center"/>
        </w:trPr>
        <w:tc>
          <w:tcPr>
            <w:tcW w:w="1100" w:type="dxa"/>
            <w:vAlign w:val="center"/>
          </w:tcPr>
          <w:p>
            <w:pPr>
              <w:pStyle w:val="tablecopy"/>
              <w:jc w:val="center"/>
            </w:pPr>
            <w:r>
              <w:t xml:space="preserve">Matters.AI [34]</w:t>
            </w:r>
          </w:p>
        </w:tc>
        <w:tc>
          <w:tcPr>
            <w:tcW w:w="3760" w:type="dxa"/>
            <w:vAlign w:val="center"/>
          </w:tcPr>
          <w:p>
            <w:pPr>
              <w:pStyle w:val="tablecopy"/>
              <w:jc w:val="center"/>
            </w:pPr>
            <w:r>
              <w:t xml:space="preserve">Personal-data discovery, purpose and consent monitoring</w:t>
            </w:r>
          </w:p>
        </w:tc>
      </w:tr>
      <w:tr>
        <w:trPr>
          <w:cantSplit/>
          <w:jc w:val="center"/>
        </w:trPr>
        <w:tc>
          <w:tcPr>
            <w:tcW w:w="1100" w:type="dxa"/>
            <w:vAlign w:val="center"/>
          </w:tcPr>
          <w:p>
            <w:pPr>
              <w:pStyle w:val="tablecopy"/>
              <w:jc w:val="center"/>
            </w:pPr>
            <w:r>
              <w:t xml:space="preserve">Privado [35]</w:t>
            </w:r>
          </w:p>
        </w:tc>
        <w:tc>
          <w:tcPr>
            <w:tcW w:w="3760" w:type="dxa"/>
            <w:vAlign w:val="center"/>
          </w:tcPr>
          <w:p>
            <w:pPr>
              <w:pStyle w:val="tablecopy"/>
              <w:jc w:val="center"/>
            </w:pPr>
            <w:r>
              <w:t xml:space="preserve">Source-code scanning of personal-data flows (open source)</w:t>
            </w:r>
          </w:p>
        </w:tc>
      </w:tr>
    </w:tbl>
    <w:p>
      <w:pPr>
        <w:pStyle w:val="Heading1"/>
      </w:pPr>
      <w:r>
        <w:t xml:space="preserve">Methodology</w:t>
      </w:r>
    </w:p>
    <w:p>
      <w:pPr>
        <w:pStyle w:val="Heading2"/>
      </w:pPr>
      <w:r>
        <w:t xml:space="preserve">Research Process</w:t>
      </w:r>
    </w:p>
    <w:p>
      <w:pPr>
        <w:pStyle w:val="BodyText"/>
      </w:pPr>
      <w:r>
        <w:t xml:space="preserve">The work followed six steps. (1) The literature and tool review of Section II identified the gap. (2) From it we derived five requirements: R1, every finding must name a provision of the Act or the Rules; R2, code and policy must be analysed together; R3, Indian identifiers such as Aadhaar and PAN must be recognised; R4, findings must be deterministic and carry their evidence; and R5, repositories of any size must be scanned completely. (3) Each provision was turned into a check over observable evidence (Table II). (4) Each technique was first built as a standalone prototype with explicit pass criteria, in nine phases: Verhoeff validation, bullet-list policy parsing, spaCy dependency parsing, sentence-embedding purpose classification, the combined purpose pipeline, module classification, extended sink detection, end-to-end purpose linkage and JavaScript taint analysis with tree-sitter. (5) The techniques were integrated into one pipeline and covered by automated tests, including end-to-end tests that assert the exact consent gaps and third-party transmissions found in each synthetic repository. (6) The system was evaluated as described in Section V.</w:t>
      </w:r>
    </w:p>
    <w:p>
      <w:pPr>
        <w:pStyle w:val="Heading2"/>
      </w:pPr>
      <w:r>
        <w:t xml:space="preserve">Operationalising the Act</w:t>
      </w:r>
    </w:p>
    <w:p>
      <w:pPr>
        <w:pStyle w:val="BodyText"/>
      </w:pPr>
      <w:r>
        <w:t xml:space="preserve">A provision cannot be checked directly; what can be observed is evidence in code and in the policy. Table II states, for each provision, the evidence used and the check. Two limits follow from this design. Evidence that a requirement is met is not proof of compliance, since a contract or a consent record cannot be seen in code; and evidence of a likely breach still requires legal review, for example because the Act permits processing for certain legitimate uses without consent.</w:t>
      </w:r>
    </w:p>
    <w:p>
      <w:pPr>
        <w:pStyle w:val="tablehead"/>
        <w:keepNext/>
      </w:pPr>
      <w:r>
        <w:t xml:space="preserve">Provisions, Evidence and Checks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900"/>
        <w:gridCol w:w="1500"/>
        <w:gridCol w:w="1640"/>
        <w:gridCol w:w="820"/>
      </w:tblGrid>
      <w:tr>
        <w:trPr>
          <w:cantSplit/>
          <w:tblHeader/>
          <w:jc w:val="center"/>
        </w:trPr>
        <w:tc>
          <w:tcPr>
            <w:tcW w:w="900" w:type="dxa"/>
            <w:vAlign w:val="center"/>
          </w:tcPr>
          <w:p>
            <w:pPr>
              <w:pStyle w:val="tablecolhead"/>
              <w:jc w:val="center"/>
            </w:pPr>
            <w:r>
              <w:t xml:space="preserve">Provision</w:t>
            </w:r>
          </w:p>
        </w:tc>
        <w:tc>
          <w:tcPr>
            <w:tcW w:w="1500" w:type="dxa"/>
            <w:vAlign w:val="center"/>
          </w:tcPr>
          <w:p>
            <w:pPr>
              <w:pStyle w:val="tablecolhead"/>
              <w:jc w:val="center"/>
            </w:pPr>
            <w:r>
              <w:t xml:space="preserve">Evidence used</w:t>
            </w:r>
          </w:p>
        </w:tc>
        <w:tc>
          <w:tcPr>
            <w:tcW w:w="1640" w:type="dxa"/>
            <w:vAlign w:val="center"/>
          </w:tcPr>
          <w:p>
            <w:pPr>
              <w:pStyle w:val="tablecolhead"/>
              <w:jc w:val="center"/>
            </w:pPr>
            <w:r>
              <w:t xml:space="preserve">Check</w:t>
            </w:r>
          </w:p>
        </w:tc>
        <w:tc>
          <w:tcPr>
            <w:tcW w:w="820" w:type="dxa"/>
            <w:vAlign w:val="center"/>
          </w:tcPr>
          <w:p>
            <w:pPr>
              <w:pStyle w:val="tablecolhead"/>
              <w:jc w:val="center"/>
            </w:pPr>
            <w:r>
              <w:t xml:space="preserve">Severity</w:t>
            </w:r>
          </w:p>
        </w:tc>
      </w:tr>
      <w:tr>
        <w:trPr>
          <w:cantSplit/>
          <w:jc w:val="center"/>
        </w:trPr>
        <w:tc>
          <w:tcPr>
            <w:tcW w:w="900" w:type="dxa"/>
            <w:vAlign w:val="center"/>
          </w:tcPr>
          <w:p>
            <w:pPr>
              <w:pStyle w:val="tablecopy"/>
              <w:jc w:val="center"/>
            </w:pPr>
            <w:r>
              <w:t xml:space="preserve">Act S. 5(1), S. 6(1)</w:t>
            </w:r>
          </w:p>
        </w:tc>
        <w:tc>
          <w:tcPr>
            <w:tcW w:w="1500" w:type="dxa"/>
            <w:vAlign w:val="center"/>
          </w:tcPr>
          <w:p>
            <w:pPr>
              <w:pStyle w:val="tablecopy"/>
              <w:jc w:val="center"/>
            </w:pPr>
            <w:r>
              <w:t xml:space="preserve">Categories in first-party code and in the policy</w:t>
            </w:r>
          </w:p>
        </w:tc>
        <w:tc>
          <w:tcPr>
            <w:tcW w:w="1640" w:type="dxa"/>
            <w:vAlign w:val="center"/>
          </w:tcPr>
          <w:p>
            <w:pPr>
              <w:pStyle w:val="tablecopy"/>
              <w:jc w:val="center"/>
            </w:pPr>
            <w:r>
              <w:t xml:space="preserve">Rule 1: category in code but not disclosed</w:t>
            </w:r>
          </w:p>
        </w:tc>
        <w:tc>
          <w:tcPr>
            <w:tcW w:w="820" w:type="dxa"/>
            <w:vAlign w:val="center"/>
          </w:tcPr>
          <w:p>
            <w:pPr>
              <w:pStyle w:val="tablecopy"/>
              <w:jc w:val="center"/>
            </w:pPr>
            <w:r>
              <w:t xml:space="preserve">Critical / high</w:t>
            </w:r>
            <w:r>
              <w:rPr>
                <w:vertAlign w:val="superscript"/>
              </w:rPr>
              <w:t xml:space="preserve">a</w:t>
            </w:r>
          </w:p>
        </w:tc>
      </w:tr>
      <w:tr>
        <w:trPr>
          <w:cantSplit/>
          <w:jc w:val="center"/>
        </w:trPr>
        <w:tc>
          <w:tcPr>
            <w:tcW w:w="900" w:type="dxa"/>
            <w:vAlign w:val="center"/>
          </w:tcPr>
          <w:p>
            <w:pPr>
              <w:pStyle w:val="tablecopy"/>
              <w:jc w:val="center"/>
            </w:pPr>
            <w:r>
              <w:t xml:space="preserve">Act S. 8(2)</w:t>
            </w:r>
          </w:p>
        </w:tc>
        <w:tc>
          <w:tcPr>
            <w:tcW w:w="1500" w:type="dxa"/>
            <w:vAlign w:val="center"/>
          </w:tcPr>
          <w:p>
            <w:pPr>
              <w:pStyle w:val="tablecopy"/>
              <w:jc w:val="center"/>
            </w:pPr>
            <w:r>
              <w:t xml:space="preserve">Data reaching an SDK, HTTP or queue sink; recipients named in the policy</w:t>
            </w:r>
          </w:p>
        </w:tc>
        <w:tc>
          <w:tcPr>
            <w:tcW w:w="1640" w:type="dxa"/>
            <w:vAlign w:val="center"/>
          </w:tcPr>
          <w:p>
            <w:pPr>
              <w:pStyle w:val="tablecopy"/>
              <w:jc w:val="center"/>
            </w:pPr>
            <w:r>
              <w:t xml:space="preserve">Rule 2a: recipient not named for that category</w:t>
            </w:r>
          </w:p>
        </w:tc>
        <w:tc>
          <w:tcPr>
            <w:tcW w:w="820" w:type="dxa"/>
            <w:vAlign w:val="center"/>
          </w:tcPr>
          <w:p>
            <w:pPr>
              <w:pStyle w:val="tablecopy"/>
              <w:jc w:val="center"/>
            </w:pPr>
            <w:r>
              <w:t xml:space="preserve">Critical / high</w:t>
            </w:r>
            <w:r>
              <w:rPr>
                <w:vertAlign w:val="superscript"/>
              </w:rPr>
              <w:t xml:space="preserve">a</w:t>
            </w:r>
          </w:p>
        </w:tc>
      </w:tr>
      <w:tr>
        <w:trPr>
          <w:cantSplit/>
          <w:jc w:val="center"/>
        </w:trPr>
        <w:tc>
          <w:tcPr>
            <w:tcW w:w="900" w:type="dxa"/>
            <w:vAlign w:val="center"/>
          </w:tcPr>
          <w:p>
            <w:pPr>
              <w:pStyle w:val="tablecopy"/>
              <w:jc w:val="center"/>
            </w:pPr>
            <w:r>
              <w:t xml:space="preserve">Act S. 8(2)</w:t>
            </w:r>
          </w:p>
        </w:tc>
        <w:tc>
          <w:tcPr>
            <w:tcW w:w="1500" w:type="dxa"/>
            <w:vAlign w:val="center"/>
          </w:tcPr>
          <w:p>
            <w:pPr>
              <w:pStyle w:val="tablecopy"/>
              <w:jc w:val="center"/>
            </w:pPr>
            <w:r>
              <w:t xml:space="preserve">As above</w:t>
            </w:r>
          </w:p>
        </w:tc>
        <w:tc>
          <w:tcPr>
            <w:tcW w:w="1640" w:type="dxa"/>
            <w:vAlign w:val="center"/>
          </w:tcPr>
          <w:p>
            <w:pPr>
              <w:pStyle w:val="tablecopy"/>
              <w:jc w:val="center"/>
            </w:pPr>
            <w:r>
              <w:t xml:space="preserve">Rule 2b: recipient named; contract unverifiable</w:t>
            </w:r>
          </w:p>
        </w:tc>
        <w:tc>
          <w:tcPr>
            <w:tcW w:w="820" w:type="dxa"/>
            <w:vAlign w:val="center"/>
          </w:tcPr>
          <w:p>
            <w:pPr>
              <w:pStyle w:val="tablecopy"/>
              <w:jc w:val="center"/>
            </w:pPr>
            <w:r>
              <w:t xml:space="preserve">Medium</w:t>
            </w:r>
          </w:p>
        </w:tc>
      </w:tr>
      <w:tr>
        <w:trPr>
          <w:cantSplit/>
          <w:jc w:val="center"/>
        </w:trPr>
        <w:tc>
          <w:tcPr>
            <w:tcW w:w="900" w:type="dxa"/>
            <w:vAlign w:val="center"/>
          </w:tcPr>
          <w:p>
            <w:pPr>
              <w:pStyle w:val="tablecopy"/>
              <w:jc w:val="center"/>
            </w:pPr>
            <w:r>
              <w:t xml:space="preserve">Act S. 8(5)</w:t>
            </w:r>
          </w:p>
        </w:tc>
        <w:tc>
          <w:tcPr>
            <w:tcW w:w="1500" w:type="dxa"/>
            <w:vAlign w:val="center"/>
          </w:tcPr>
          <w:p>
            <w:pPr>
              <w:pStyle w:val="tablecopy"/>
              <w:jc w:val="center"/>
            </w:pPr>
            <w:r>
              <w:t xml:space="preserve">Data reaching a local logger call</w:t>
            </w:r>
          </w:p>
        </w:tc>
        <w:tc>
          <w:tcPr>
            <w:tcW w:w="1640" w:type="dxa"/>
            <w:vAlign w:val="center"/>
          </w:tcPr>
          <w:p>
            <w:pPr>
              <w:pStyle w:val="tablecopy"/>
              <w:jc w:val="center"/>
            </w:pPr>
            <w:r>
              <w:t xml:space="preserve">Rule 2c: personal data logged</w:t>
            </w:r>
          </w:p>
        </w:tc>
        <w:tc>
          <w:tcPr>
            <w:tcW w:w="820" w:type="dxa"/>
            <w:vAlign w:val="center"/>
          </w:tcPr>
          <w:p>
            <w:pPr>
              <w:pStyle w:val="tablecopy"/>
              <w:jc w:val="center"/>
            </w:pPr>
            <w:r>
              <w:t xml:space="preserve">Critical / high</w:t>
            </w:r>
            <w:r>
              <w:rPr>
                <w:vertAlign w:val="superscript"/>
              </w:rPr>
              <w:t xml:space="preserve">a</w:t>
            </w:r>
          </w:p>
        </w:tc>
      </w:tr>
      <w:tr>
        <w:trPr>
          <w:cantSplit/>
          <w:jc w:val="center"/>
        </w:trPr>
        <w:tc>
          <w:tcPr>
            <w:tcW w:w="900" w:type="dxa"/>
            <w:vAlign w:val="center"/>
          </w:tcPr>
          <w:p>
            <w:pPr>
              <w:pStyle w:val="tablecopy"/>
              <w:jc w:val="center"/>
            </w:pPr>
            <w:r>
              <w:t xml:space="preserve">Act S. 8(5), S. 8(2)</w:t>
            </w:r>
          </w:p>
        </w:tc>
        <w:tc>
          <w:tcPr>
            <w:tcW w:w="1500" w:type="dxa"/>
            <w:vAlign w:val="center"/>
          </w:tcPr>
          <w:p>
            <w:pPr>
              <w:pStyle w:val="tablecopy"/>
              <w:jc w:val="center"/>
            </w:pPr>
            <w:r>
              <w:t xml:space="preserve">Data reaching an external logging or monitoring service</w:t>
            </w:r>
          </w:p>
        </w:tc>
        <w:tc>
          <w:tcPr>
            <w:tcW w:w="1640" w:type="dxa"/>
            <w:vAlign w:val="center"/>
          </w:tcPr>
          <w:p>
            <w:pPr>
              <w:pStyle w:val="tablecopy"/>
              <w:jc w:val="center"/>
            </w:pPr>
            <w:r>
              <w:t xml:space="preserve">Rule 2d: personal data sent to a logging service</w:t>
            </w:r>
          </w:p>
        </w:tc>
        <w:tc>
          <w:tcPr>
            <w:tcW w:w="820" w:type="dxa"/>
            <w:vAlign w:val="center"/>
          </w:tcPr>
          <w:p>
            <w:pPr>
              <w:pStyle w:val="tablecopy"/>
              <w:jc w:val="center"/>
            </w:pPr>
            <w:r>
              <w:t xml:space="preserve">Critical / high</w:t>
            </w:r>
            <w:r>
              <w:rPr>
                <w:vertAlign w:val="superscript"/>
              </w:rPr>
              <w:t xml:space="preserve">a</w:t>
            </w:r>
          </w:p>
        </w:tc>
      </w:tr>
      <w:tr>
        <w:trPr>
          <w:cantSplit/>
          <w:jc w:val="center"/>
        </w:trPr>
        <w:tc>
          <w:tcPr>
            <w:tcW w:w="900" w:type="dxa"/>
            <w:vAlign w:val="center"/>
          </w:tcPr>
          <w:p>
            <w:pPr>
              <w:pStyle w:val="tablecopy"/>
              <w:jc w:val="center"/>
            </w:pPr>
            <w:r>
              <w:t xml:space="preserve">Act S. 6(1)</w:t>
            </w:r>
          </w:p>
        </w:tc>
        <w:tc>
          <w:tcPr>
            <w:tcW w:w="1500" w:type="dxa"/>
            <w:vAlign w:val="center"/>
          </w:tcPr>
          <w:p>
            <w:pPr>
              <w:pStyle w:val="tablecopy"/>
              <w:jc w:val="center"/>
            </w:pPr>
            <w:r>
              <w:t xml:space="preserve">Module types using a category; purposes stated for it</w:t>
            </w:r>
          </w:p>
        </w:tc>
        <w:tc>
          <w:tcPr>
            <w:tcW w:w="1640" w:type="dxa"/>
            <w:vAlign w:val="center"/>
          </w:tcPr>
          <w:p>
            <w:pPr>
              <w:pStyle w:val="tablecopy"/>
              <w:jc w:val="center"/>
            </w:pPr>
            <w:r>
              <w:t xml:space="preserve">Rule 3: module serves no stated purpose</w:t>
            </w:r>
          </w:p>
        </w:tc>
        <w:tc>
          <w:tcPr>
            <w:tcW w:w="820" w:type="dxa"/>
            <w:vAlign w:val="center"/>
          </w:tcPr>
          <w:p>
            <w:pPr>
              <w:pStyle w:val="tablecopy"/>
              <w:jc w:val="center"/>
            </w:pPr>
            <w:r>
              <w:t xml:space="preserve">Critical / high</w:t>
            </w:r>
            <w:r>
              <w:rPr>
                <w:vertAlign w:val="superscript"/>
              </w:rPr>
              <w:t xml:space="preserve">a</w:t>
            </w:r>
          </w:p>
        </w:tc>
      </w:tr>
      <w:tr>
        <w:trPr>
          <w:cantSplit/>
          <w:jc w:val="center"/>
        </w:trPr>
        <w:tc>
          <w:tcPr>
            <w:tcW w:w="900" w:type="dxa"/>
            <w:vAlign w:val="center"/>
          </w:tcPr>
          <w:p>
            <w:pPr>
              <w:pStyle w:val="tablecopy"/>
              <w:jc w:val="center"/>
            </w:pPr>
            <w:r>
              <w:t xml:space="preserve">Rules R. 3(b)(ii)</w:t>
            </w:r>
          </w:p>
        </w:tc>
        <w:tc>
          <w:tcPr>
            <w:tcW w:w="1500" w:type="dxa"/>
            <w:vAlign w:val="center"/>
          </w:tcPr>
          <w:p>
            <w:pPr>
              <w:pStyle w:val="tablecopy"/>
              <w:jc w:val="center"/>
            </w:pPr>
            <w:r>
              <w:t xml:space="preserve">Purpose statements in the policy</w:t>
            </w:r>
          </w:p>
        </w:tc>
        <w:tc>
          <w:tcPr>
            <w:tcW w:w="1640" w:type="dxa"/>
            <w:vAlign w:val="center"/>
          </w:tcPr>
          <w:p>
            <w:pPr>
              <w:pStyle w:val="tablecopy"/>
              <w:jc w:val="center"/>
            </w:pPr>
            <w:r>
              <w:t xml:space="preserve">Ambiguous purpose statement</w:t>
            </w:r>
          </w:p>
        </w:tc>
        <w:tc>
          <w:tcPr>
            <w:tcW w:w="820" w:type="dxa"/>
            <w:vAlign w:val="center"/>
          </w:tcPr>
          <w:p>
            <w:pPr>
              <w:pStyle w:val="tablecopy"/>
              <w:jc w:val="center"/>
            </w:pPr>
            <w:r>
              <w:t xml:space="preserve">Low</w:t>
            </w:r>
          </w:p>
        </w:tc>
      </w:tr>
    </w:tbl>
    <w:p>
      <w:pPr>
        <w:pStyle w:val="tablefootnote"/>
      </w:pPr>
      <w:r>
        <w:t xml:space="preserve">Critical for the high-risk tier (Aadhaar, PAN, financial, health, biometric), otherwise high.</w:t>
      </w:r>
    </w:p>
    <w:p>
      <w:pPr>
        <w:pStyle w:val="Heading2"/>
      </w:pPr>
      <w:r>
        <w:t xml:space="preserve">System Overview</w:t>
      </w:r>
    </w:p>
    <w:p>
      <w:pPr>
        <w:pStyle w:val="BodyText"/>
      </w:pPr>
      <w:r>
        <w:t xml:space="preserve">Fig. 1 shows the pipeline. The repository and the privacy policy are analysed independently, and a rule engine combines the results.</w:t>
      </w:r>
    </w:p>
    <w:p>
      <w:pPr>
        <w:keepNext/>
        <w:spacing w:before="6pt"/>
        <w:jc w:val="center"/>
      </w:pPr>
      <w:r>
        <w:drawing>
          <wp:inline distT="0" distB="0" distL="0" distR="0">
            <wp:extent cx="3154680" cy="2638044"/>
            <wp:docPr id="101" name="Figure 1"/>
            <a:graphic xmlns:a="http://purl.oclc.org/ooxml/drawingml/main">
              <a:graphicData uri="http://schemas.openxmlformats.org/drawingml/2006/picture">
                <pic:pic xmlns:pic="http://purl.oclc.org/ooxml/drawingml/picture">
                  <pic:nvPicPr>
                    <pic:cNvPr id="0" name="fig1.png"/>
                    <pic:cNvPicPr/>
                  </pic:nvPicPr>
                  <pic:blipFill>
                    <a:blip r:embed="rIdFig100"/>
                    <a:stretch>
                      <a:fillRect/>
                    </a:stretch>
                  </pic:blipFill>
                  <pic:spPr>
                    <a:xfrm>
                      <a:off x="0" y="0"/>
                      <a:ext cx="3154680" cy="2638044"/>
                    </a:xfrm>
                    <a:prstGeom prst="rect">
                      <a:avLst/>
                    </a:prstGeom>
                  </pic:spPr>
                </pic:pic>
              </a:graphicData>
            </a:graphic>
          </wp:inline>
        </w:drawing>
      </w:r>
    </w:p>
    <w:p>
      <w:pPr>
        <w:pStyle w:val="figurecaption"/>
      </w:pPr>
      <w:r>
        <w:t xml:space="preserve">Architecture of PrivacyPilot.</w:t>
      </w:r>
    </w:p>
    <w:p>
      <w:pPr>
        <w:pStyle w:val="Heading2"/>
      </w:pPr>
      <w:r>
        <w:t xml:space="preserve">Repository Acquisition</w:t>
      </w:r>
    </w:p>
    <w:p>
      <w:pPr>
        <w:pStyle w:val="BodyText"/>
      </w:pPr>
      <w:r>
        <w:t xml:space="preserve">The default branch is resolved to a commit identifier, and the archive of that commit is downloaded once and streamed to disk, so every part of a scan reads the same snapshot. Only source files the scanner understands (.py, .js, .jsx, .ts, .tsx, .mjs and .cjs) are extracted, and archive paths are checked to prevent directory traversal. Each file is tagged with its origin: first-party (the repository’s own code), third-party (bundled dependencies such as node_modules/ or vendor/) or generated (build output such as dist/ or minified bundles). Third-party code is scanned rather than excluded, because a bundled SDK is precisely where personal data may leave for a third party. If the archive cannot be downloaded, the file list is read from the Git tree and files are fetched individually.</w:t>
      </w:r>
    </w:p>
    <w:p>
      <w:pPr>
        <w:pStyle w:val="Heading2"/>
      </w:pPr>
      <w:r>
        <w:t xml:space="preserve">Personal Data Detection in Code</w:t>
      </w:r>
    </w:p>
    <w:p>
      <w:pPr>
        <w:pStyle w:val="BodyText"/>
      </w:pPr>
      <w:r>
        <w:t xml:space="preserve">PrivacyPilot recognises ten categories of personal data: Aadhaar, PAN, phone, e-mail, location, health, financial, name, date of birth and biometric. Each line of code is analysed in two passes, after which the file is analysed for data flows.</w:t>
      </w:r>
    </w:p>
    <w:p>
      <w:pPr>
        <w:pStyle w:val="BodyText"/>
      </w:pPr>
      <w:r>
        <w:rPr>
          <w:i/>
        </w:rPr>
        <w:t xml:space="preserve">Pass 1 (identifiers).</w:t>
      </w:r>
      <w:r>
        <w:t xml:space="preserve"> Identifiers are normalised (phoneNumber becomes phone_number) and matched against a vocabulary for each category; overlapping matches are resolved longest-first, so email_address is e-mail data rather than also location data. Comment lines, inline comments, JavaScript block comments and Python docstrings are skipped. Aadhaar numbers carry a Verhoeff check digit [36]; when a line contains a 12-digit candidate, at least one candidate must pass the Verhoeff check, which rejects timestamps and other digit strings that merely sit next to an Aadhaar identifier.</w:t>
      </w:r>
    </w:p>
    <w:p>
      <w:pPr>
        <w:pStyle w:val="BodyText"/>
      </w:pPr>
      <w:r>
        <w:rPr>
          <w:i/>
        </w:rPr>
        <w:t xml:space="preserve">Pass 2 (named entities).</w:t>
      </w:r>
      <w:r>
        <w:t xml:space="preserve"> Lines without a Pass 1 match are analysed with Presidio [25] on the spaCy en_core_web_lg pipeline [37], restricted to the entity types that map to the ten categories, together with regular expressions for Indian identifiers. Results below a confidence of 0.7 are discarded, a detected PAN must match the PAN format, a detected Aadhaar number must pass the Verhoeff check, and person and location entities are kept only inside string literals that look like names; together with a list of known SDK names, this removes most library and SDK names mistaken for people or places. A line is sent to the NER pipeline only if an accepted result is possible, and all lines of a file are analysed in one batch. Very long lines, typical of minified code, are analysed in overlapping 2,000-character windows.</w:t>
      </w:r>
    </w:p>
    <w:p>
      <w:pPr>
        <w:pStyle w:val="BodyText"/>
      </w:pPr>
      <w:r>
        <w:rPr>
          <w:i/>
        </w:rPr>
        <w:t xml:space="preserve">Taint analysis and sinks.</w:t>
      </w:r>
      <w:r>
        <w:t xml:space="preserve"> Python files are parsed with the standard ast module and JavaScript/TypeScript files with the tree-sitter JavaScript grammar [38]. A variable assigned from an expression that carries personal data inherits all of that expression’s categories, iterated to a fixed point. A call is a sink when its callee is a recognised analytics or communication SDK (Firebase, Crashlytics, Mixpanel, Amplitude, Segment, CleverTap, Twilio or SendGrid), an outbound HTTP request, including GET requests (requests, httpx, axios, fetch or urllib), a message queue (Kafka, RabbitMQ, Celery, Redis publish or Pub/Sub) or a logger or monitoring call (Python logging, print, console, Sentry, Datadog or CloudWatch), including calls through a variable that holds an SDK client. The sink of a line is the call that encloses it, so arguments spread over several lines are attributed correctly. The recipient of an HTTP call is named from its URL when the URL can be resolved statically (a literal, a formatted string that starts with one, or a name assigned a literal in the same file): a known SDK host is reported as that SDK, so a request to a Firebase database and a call through the Firebase SDK are one recipient, and any other host is reported by name. A call to a government host (gov.in or nic.in), such as an Aadhaar verification service, is not treated as a transfer to a data processor.</w:t>
      </w:r>
    </w:p>
    <w:p>
      <w:pPr>
        <w:pStyle w:val="BodyText"/>
      </w:pPr>
      <w:r>
        <w:rPr>
          <w:i/>
        </w:rPr>
        <w:t xml:space="preserve">Module type.</w:t>
      </w:r>
      <w:r>
        <w:t xml:space="preserve"> File paths and function names classify each first-party file into one or more of eight module types: analytics, authentication, payment, notification, database, API, storage and logging. The result is a usage map from each data category to the module types that process it.</w:t>
      </w:r>
    </w:p>
    <w:p>
      <w:pPr>
        <w:pStyle w:val="Heading2"/>
      </w:pPr>
      <w:r>
        <w:t xml:space="preserve">Privacy Policy Analysis</w:t>
      </w:r>
    </w:p>
    <w:p>
      <w:pPr>
        <w:pStyle w:val="BodyText"/>
      </w:pPr>
      <w:r>
        <w:t xml:space="preserve">The policy is fetched with safeguards against server-side request forgery: only HTTP(S) is allowed, any address that is not a public unicast address (including private, link-local and cloud metadata addresses) is rejected, and every redirect is re-validated. HTML markup is removed, and the text is split into units: sentences and list items, each list item prefixed with the sentence that introduces the list.</w:t>
      </w:r>
    </w:p>
    <w:p>
      <w:pPr>
        <w:pStyle w:val="BodyText"/>
      </w:pPr>
      <w:r>
        <w:rPr>
          <w:i/>
        </w:rPr>
        <w:t xml:space="preserve">Pass 1 (disclosed categories).</w:t>
      </w:r>
      <w:r>
        <w:t xml:space="preserve"> A category counts as disclosed when it is named, by whole-word and longest-phrase matching, in a sentence that also contains a collection verb (for example collect, use, store or share), or in a list item without such a verb. Phrases that use a category word in another sense, such as “mobile app” or “name of the company”, are excluded.</w:t>
      </w:r>
    </w:p>
    <w:p>
      <w:pPr>
        <w:pStyle w:val="BodyText"/>
      </w:pPr>
      <w:r>
        <w:rPr>
          <w:i/>
        </w:rPr>
        <w:t xml:space="preserve">Pass 2 (stated purposes).</w:t>
      </w:r>
      <w:r>
        <w:t xml:space="preserve"> For each disclosed category, the units that name it, together with generic statements about “your information”, are examined, and text after a negation is ignored. Purpose clauses are extracted with spaCy dependency parsing, and each unit is also compared, by the cosine similarity of sentence embeddings computed with all-MiniLM-L6-v2 [39] through Sentence-BERT [40], with six purpose descriptions: service delivery, analytics, marketing, security, communication and research. A purpose is accepted at a similarity of at least 0.30; without the embedding model, keyword matching is used.</w:t>
      </w:r>
    </w:p>
    <w:p>
      <w:pPr>
        <w:pStyle w:val="BodyText"/>
      </w:pPr>
      <w:r>
        <w:rPr>
          <w:i/>
        </w:rPr>
        <w:t xml:space="preserve">Pass 3 (named recipients).</w:t>
      </w:r>
      <w:r>
        <w:t xml:space="preserve"> An SDK named in the same unit as a disclosed category, and not preceded by a negation, is recorded as a disclosed recipient of that category.</w:t>
      </w:r>
    </w:p>
    <w:p>
      <w:pPr>
        <w:pStyle w:val="BodyText"/>
      </w:pPr>
      <w:r>
        <w:rPr>
          <w:i/>
        </w:rPr>
        <w:t xml:space="preserve">Vague purposes.</w:t>
      </w:r>
      <w:r>
        <w:t xml:space="preserve"> A unit is flagged when the two highest similarities differ by less than 0.08, the best is at least 0.25, and the unit, in its own words, states a purpose (“to”, “for”) and either names two or more purpose categories or uses stock wording such as “improve our services” or “legitimate interests”. The wording condition prevents short, specific list items, which score low against every description, from being flagged.</w:t>
      </w:r>
    </w:p>
    <w:p>
      <w:pPr>
        <w:pStyle w:val="Heading2"/>
      </w:pPr>
      <w:r>
        <w:t xml:space="preserve">DPDP Rule Engine</w:t>
      </w:r>
    </w:p>
    <w:p>
      <w:pPr>
        <w:pStyle w:val="BodyText"/>
      </w:pPr>
      <w:r>
        <w:t xml:space="preserve">Let C</w:t>
      </w:r>
      <w:r>
        <w:rPr>
          <w:vertAlign w:val="subscript"/>
        </w:rPr>
        <w:t xml:space="preserve">c</w:t>
      </w:r>
      <w:r>
        <w:t xml:space="preserve"> be the set of data categories found in first-party code and C</w:t>
      </w:r>
      <w:r>
        <w:rPr>
          <w:vertAlign w:val="subscript"/>
        </w:rPr>
        <w:t xml:space="preserve">p</w:t>
      </w:r>
      <w:r>
        <w:t xml:space="preserve"> the set disclosed in the policy. The notice gap is</w:t>
      </w:r>
    </w:p>
    <w:p>
      <w:pPr>
        <w:pStyle w:val="equation"/>
      </w:pPr>
      <w:r>
        <w:tab/>
      </w:r>
      <w:r>
        <w:rPr>
          <w:rFonts w:ascii="Times New Roman" w:hAnsi="Times New Roman" w:cs="Times New Roman"/>
          <w:i/>
        </w:rPr>
        <w:t xml:space="preserve">G</w:t>
      </w:r>
      <w:r>
        <w:rPr>
          <w:rFonts w:ascii="Times New Roman" w:hAnsi="Times New Roman" w:cs="Times New Roman"/>
        </w:rPr>
        <w:t xml:space="preserve"> = </w:t>
      </w:r>
      <w:r>
        <w:rPr>
          <w:rFonts w:ascii="Times New Roman" w:hAnsi="Times New Roman" w:cs="Times New Roman"/>
          <w:i/>
        </w:rPr>
        <w:t xml:space="preserve">C</w:t>
      </w:r>
      <w:r>
        <w:rPr>
          <w:rFonts w:ascii="Times New Roman" w:hAnsi="Times New Roman" w:cs="Times New Roman"/>
          <w:i/>
          <w:vertAlign w:val="subscript"/>
        </w:rPr>
        <w:t xml:space="preserve">c</w:t>
      </w:r>
      <w:r>
        <w:rPr>
          <w:rFonts w:ascii="Times New Roman" w:hAnsi="Times New Roman" w:cs="Times New Roman"/>
        </w:rPr>
        <w:t xml:space="preserve"> ∖ </w:t>
      </w:r>
      <w:r>
        <w:rPr>
          <w:rFonts w:ascii="Times New Roman" w:hAnsi="Times New Roman" w:cs="Times New Roman"/>
          <w:i/>
        </w:rPr>
        <w:t xml:space="preserve">C</w:t>
      </w:r>
      <w:r>
        <w:rPr>
          <w:rFonts w:ascii="Times New Roman" w:hAnsi="Times New Roman" w:cs="Times New Roman"/>
          <w:i/>
          <w:vertAlign w:val="subscript"/>
        </w:rPr>
        <w:t xml:space="preserve">p</w:t>
      </w:r>
      <w:r>
        <w:rPr>
          <w:rFonts w:ascii="Times New Roman" w:hAnsi="Times New Roman" w:cs="Times New Roman"/>
        </w:rPr>
        <w:tab/>
        <w:t>(1)</w:t>
      </w:r>
    </w:p>
    <w:p>
      <w:pPr>
        <w:pStyle w:val="BodyText"/>
      </w:pPr>
      <w:r>
        <w:t xml:space="preserve">and Rule 1 raises one violation per category in G. It lists every first-party location of the category with the module types of its file and the purposes those modules serve, none of which can be stated when the category itself is not disclosed. Rule 2 considers every finding whose line reaches a sink. A local logger sink (Python logging, print or console) is a security safeguard failure under Section 8(5), and all local log calls count as one recipient. A call to an external logging or monitoring service (Sentry, Datadog or CloudWatch) is reported under Sections 8(5) and 8(2) in one violation, since the service also processes the data on the fiduciary's behalf. For an SDK, HTTP or queue sink, if Pass 3 found the SDK named in the policy as a recipient of that category, the remaining gap is that the processor contract required by Section 8(2) cannot be verified, and a medium-severity finding is raised; otherwise the recipient is undisclosed. Rule 2 uses findings from all origins and states in the evidence when the call lies in bundled third-party or generated code, since the data fiduciary is responsible for processing on its behalf (Section 8(1)). Rules 1 and 3 concern what the application itself collects and why, so they use first-party code only. Rule 3 maps each module type to the purposes it serves (for example, analytics code to an analytics purpose and authentication code to service delivery or security) and reports a category whose module types serve no purpose stated for it, listing the first-party locations in those modules; categories already reported by Rule 1 are skipped, since that violation already states their purposes. Each violation is reported once per rule and category (for Rule 2, once per category and recipient), with its evidence, every location it covers and a recommendation. A location is a line of code, a call spanning several lines counting as one, or, for a vague purpose, a statement of the policy; a statement covering several categories is listed under each.</w:t>
      </w:r>
    </w:p>
    <w:p>
      <w:pPr>
        <w:pStyle w:val="BodyText"/>
      </w:pPr>
      <w:r>
        <w:t xml:space="preserve">As an example, the policy of the synthetic healthtech-demo repository discloses the phone number but names no SMS provider. Its notification service creates a Twilio client, stores it in a variable and passes patient.phone_number in a call that spans five lines. Because the variable is recognised as a Twilio client and the argument is attributed to the enclosing call, Rule 2 reports the phone number, and the name and diagnosis contained in the message body, as sent to an undisclosed recipient under Section 8(2).</w:t>
      </w:r>
    </w:p>
    <w:p>
      <w:pPr>
        <w:pStyle w:val="Heading2"/>
      </w:pPr>
      <w:r>
        <w:t xml:space="preserve">Compliance Score</w:t>
      </w:r>
    </w:p>
    <w:p>
      <w:pPr>
        <w:pStyle w:val="BodyText"/>
      </w:pPr>
      <w:r>
        <w:t xml:space="preserve">With n</w:t>
      </w:r>
      <w:r>
        <w:rPr>
          <w:vertAlign w:val="subscript"/>
        </w:rPr>
        <w:t xml:space="preserve">s</w:t>
      </w:r>
      <w:r>
        <w:t xml:space="preserve"> violations of severity </w:t>
      </w:r>
      <w:r>
        <w:rPr>
          <w:i/>
        </w:rPr>
        <w:t xml:space="preserve">s</w:t>
      </w:r>
      <w:r>
        <w:t xml:space="preserve"> and penalty p</w:t>
      </w:r>
      <w:r>
        <w:rPr>
          <w:vertAlign w:val="subscript"/>
        </w:rPr>
        <w:t xml:space="preserve">s</w:t>
      </w:r>
      <w:r>
        <w:t xml:space="preserve"> (0.20, 0.10, 0.05 and 0.02 for critical, high, medium and low), the score is</w:t>
      </w:r>
    </w:p>
    <w:p>
      <w:pPr>
        <w:pStyle w:val="equation"/>
      </w:pPr>
      <w:r>
        <w:tab/>
      </w:r>
      <w:r>
        <w:rPr>
          <w:rFonts w:ascii="Times New Roman" w:hAnsi="Times New Roman" w:cs="Times New Roman"/>
          <w:i/>
        </w:rPr>
        <w:t xml:space="preserve">S</w:t>
      </w:r>
      <w:r>
        <w:rPr>
          <w:rFonts w:ascii="Times New Roman" w:hAnsi="Times New Roman" w:cs="Times New Roman"/>
        </w:rPr>
        <w:t xml:space="preserve"> = 100 · ∏</w:t>
      </w:r>
      <w:r>
        <w:rPr>
          <w:rFonts w:ascii="Times New Roman" w:hAnsi="Times New Roman" w:cs="Times New Roman"/>
          <w:i/>
          <w:vertAlign w:val="subscript"/>
        </w:rPr>
        <w:t xml:space="preserve">s ∈ {c, h, m, l</w:t>
      </w:r>
      <w:r>
        <w:rPr>
          <w:rFonts w:ascii="Times New Roman" w:hAnsi="Times New Roman" w:cs="Times New Roman"/>
        </w:rPr>
        <w:t xml:space="preserve"> (1 − </w:t>
      </w:r>
      <w:r>
        <w:rPr>
          <w:rFonts w:ascii="Times New Roman" w:hAnsi="Times New Roman" w:cs="Times New Roman"/>
          <w:i/>
        </w:rPr>
        <w:t xml:space="preserve">p</w:t>
      </w:r>
      <w:r>
        <w:rPr>
          <w:rFonts w:ascii="Times New Roman" w:hAnsi="Times New Roman" w:cs="Times New Roman"/>
          <w:i/>
          <w:vertAlign w:val="subscript"/>
        </w:rPr>
        <w:t xml:space="preserve">s</w:t>
      </w:r>
      <w:r>
        <w:rPr>
          <w:rFonts w:ascii="Times New Roman" w:hAnsi="Times New Roman" w:cs="Times New Roman"/>
        </w:rPr>
        <w:t xml:space="preserve">)</w:t>
      </w:r>
      <w:r>
        <w:rPr>
          <w:rFonts w:ascii="Times New Roman" w:hAnsi="Times New Roman" w:cs="Times New Roman"/>
          <w:i/>
          <w:vertAlign w:val="superscript"/>
        </w:rPr>
        <w:t xml:space="preserve">n</w:t>
      </w:r>
      <w:r>
        <w:rPr>
          <w:rFonts w:ascii="Times New Roman" w:hAnsi="Times New Roman" w:cs="Times New Roman"/>
          <w:i/>
          <w:position w:val="4"/>
          <w:sz w:val="12"/>
        </w:rPr>
        <w:t xml:space="preserve">s</w:t>
      </w:r>
      <w:r>
        <w:rPr>
          <w:rFonts w:ascii="Times New Roman" w:hAnsi="Times New Roman" w:cs="Times New Roman"/>
        </w:rPr>
        <w:tab/>
        <w:t>(2)</w:t>
      </w:r>
    </w:p>
    <w:p>
      <w:pPr>
        <w:pStyle w:val="BodyText"/>
      </w:pPr>
      <w:r>
        <w:t xml:space="preserve">The multiplicative form keeps the score in (0, 100] and strictly decreasing, and, unlike subtracting fixed points, does not saturate at zero, so heavily non-compliant repositories remain distinguishable. Scores of at least 80, 60 and 40 are rated Good, Moderate and Poor, and lower scores Critical; a repository with any critical violation is rated at most Poor. The score summarises the findings and is not a legal measure of compliance.</w:t>
      </w:r>
    </w:p>
    <w:p>
      <w:pPr>
        <w:pStyle w:val="Heading1"/>
      </w:pPr>
      <w:r>
        <w:t xml:space="preserve">Implementation</w:t>
      </w:r>
    </w:p>
    <w:p>
      <w:pPr>
        <w:pStyle w:val="BodyText"/>
      </w:pPr>
      <w:r>
        <w:t xml:space="preserve">The back end is written in Python with FastAPI, SQLAlchemy on PostgreSQL and a Celery [41] task queue on Redis; the front end uses React. A scan is never one long task. After the snapshot is downloaded, the files are split into chunks of at most 100 files or 1 MB, each scanned by a separate task, so the running time of every task is bounded by its own input rather than by the size of the repository, and the number of worker processes sets the degree of parallelism. The policy is parsed in parallel with the chunks, and a final task merges the chunk results, applies the rules and stores every finding. A chunk that reaches its time limit (240 s by default) returns its unfinished files, which are retried one per task; a file that exceeds the limit twice is reported by name rather than silently dropped. Identical third-party or generated files, common in nested dependency folders, are scanned once and their findings are reused for every copy. The spaCy model is loaded once per worker and shared by its processes.</w:t>
      </w:r>
    </w:p>
    <w:p>
      <w:pPr>
        <w:pStyle w:val="BodyText"/>
      </w:pPr>
      <w:r>
        <w:t xml:space="preserve">Progress is reported per file, and a scan is declared stalled only when no scan in the system has progressed for 15 minutes, so a large repository is never failed merely for taking long. Before accepting a scan, the API checks that Redis is reachable and that the workers use the same database and the same code version. The GitHub access token is passed only in the task message and is never stored. Results are shown in a web dashboard that lists every finding with filters, and in HTML and PDF reports. An optional LLM (Google Gemini or OpenAI GPT-4o-mini) writes an executive summary and answers questions about a completed scan; it is not used to detect violations.</w:t>
      </w:r>
    </w:p>
    <w:p>
      <w:pPr>
        <w:pStyle w:val="Heading1"/>
      </w:pPr>
      <w:r>
        <w:t xml:space="preserve">Evaluation Methodology</w:t>
      </w:r>
    </w:p>
    <w:p>
      <w:pPr>
        <w:pStyle w:val="Heading2"/>
      </w:pPr>
      <w:r>
        <w:t xml:space="preserve">Repositories</w:t>
      </w:r>
    </w:p>
    <w:p>
      <w:pPr>
        <w:pStyle w:val="BodyText"/>
      </w:pPr>
      <w:r>
        <w:t xml:space="preserve">The synthetic set consists of five repositories that we wrote to model Indian products (Table III). Each contains Python code and a privacy policy. Four contain deliberately planted violations; the fifth, an e-commerce application whose policy discloses all the data it collects and the recipient it uses, contains none and measures false positives. The ground truth was established by the authors by reviewing the code and the policy of each repository at a fixed commit. It records 40 positive cases and 42 negative cases; the negative cases include personal-data and SDK names in comments and docstrings, format validation, data used only as an identifier or returned in an API response, and the verification of an Aadhaar number with UIDAI, which is the verifying authority and not a data processor. Cases whose label depended on interpretation were decided by the authors before scoring; for example, a stated purpose such as “improve our services” was not accepted as stating an analytics purpose. Because these repositories were also used to find and fix defects during development, results on them may be optimistic; no held-out synthetic set was used. The real-world set consists of nine public repositories (Table VI). Five are Indian open-source projects that handle personal data: smart-docs-parser, Urban Company’s parser for Aadhaar and PAN documents; mrz-surepass, Surepass’s parser for the machine-readable zone of identity documents; and the portal, mobile application and client library of the Sunbird education platform. The other four are the official Python and JavaScript/TypeScript API clients of Razorpay and Zerodha, which handle little personal data themselves. Each repository was paired with the privacy policy of its organisation, taking the main policy where an organisation publishes several.</w:t>
      </w:r>
    </w:p>
    <w:p>
      <w:pPr>
        <w:pStyle w:val="tablehead"/>
        <w:keepNext/>
      </w:pPr>
      <w:r>
        <w:t xml:space="preserve">Synthetic Evaluation Repositories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500"/>
        <w:gridCol w:w="1060"/>
        <w:gridCol w:w="1100"/>
        <w:gridCol w:w="1200"/>
      </w:tblGrid>
      <w:tr>
        <w:trPr>
          <w:cantSplit/>
          <w:tblHeader/>
          <w:jc w:val="center"/>
        </w:trPr>
        <w:tc>
          <w:tcPr>
            <w:tcW w:w="1500" w:type="dxa"/>
            <w:vAlign w:val="center"/>
          </w:tcPr>
          <w:p>
            <w:pPr>
              <w:pStyle w:val="tablecolhead"/>
              <w:jc w:val="center"/>
            </w:pPr>
            <w:r>
              <w:t xml:space="preserve">Repository</w:t>
            </w:r>
          </w:p>
        </w:tc>
        <w:tc>
          <w:tcPr>
            <w:tcW w:w="1060" w:type="dxa"/>
            <w:vAlign w:val="center"/>
          </w:tcPr>
          <w:p>
            <w:pPr>
              <w:pStyle w:val="tablecolhead"/>
              <w:jc w:val="center"/>
            </w:pPr>
            <w:r>
              <w:t xml:space="preserve">Domain</w:t>
            </w:r>
          </w:p>
        </w:tc>
        <w:tc>
          <w:tcPr>
            <w:tcW w:w="1100" w:type="dxa"/>
            <w:vAlign w:val="center"/>
          </w:tcPr>
          <w:p>
            <w:pPr>
              <w:pStyle w:val="tablecolhead"/>
              <w:jc w:val="center"/>
            </w:pPr>
            <w:r>
              <w:t xml:space="preserve">Python files (lines)</w:t>
            </w:r>
          </w:p>
        </w:tc>
        <w:tc>
          <w:tcPr>
            <w:tcW w:w="1200" w:type="dxa"/>
            <w:vAlign w:val="center"/>
          </w:tcPr>
          <w:p>
            <w:pPr>
              <w:pStyle w:val="tablecolhead"/>
              <w:jc w:val="center"/>
            </w:pPr>
            <w:r>
              <w:t xml:space="preserve">Cases (pos. / GT viol. / neg.)</w:t>
            </w:r>
          </w:p>
        </w:tc>
      </w:tr>
      <w:tr>
        <w:trPr>
          <w:cantSplit/>
          <w:jc w:val="center"/>
        </w:trPr>
        <w:tc>
          <w:tcPr>
            <w:tcW w:w="1500" w:type="dxa"/>
            <w:vAlign w:val="center"/>
          </w:tcPr>
          <w:p>
            <w:pPr>
              <w:pStyle w:val="tablecopy"/>
              <w:jc w:val="center"/>
            </w:pPr>
            <w:r>
              <w:t xml:space="preserve">healthtech-demo</w:t>
            </w:r>
          </w:p>
        </w:tc>
        <w:tc>
          <w:tcPr>
            <w:tcW w:w="1060" w:type="dxa"/>
            <w:vAlign w:val="center"/>
          </w:tcPr>
          <w:p>
            <w:pPr>
              <w:pStyle w:val="tablecopy"/>
              <w:jc w:val="center"/>
            </w:pPr>
            <w:r>
              <w:t xml:space="preserve">Healthcare</w:t>
            </w:r>
          </w:p>
        </w:tc>
        <w:tc>
          <w:tcPr>
            <w:tcW w:w="1100" w:type="dxa"/>
            <w:vAlign w:val="center"/>
          </w:tcPr>
          <w:p>
            <w:pPr>
              <w:pStyle w:val="tablecopy"/>
              <w:jc w:val="center"/>
            </w:pPr>
            <w:r>
              <w:t xml:space="preserve">6 (230)</w:t>
            </w:r>
          </w:p>
        </w:tc>
        <w:tc>
          <w:tcPr>
            <w:tcW w:w="1200" w:type="dxa"/>
            <w:vAlign w:val="center"/>
          </w:tcPr>
          <w:p>
            <w:pPr>
              <w:pStyle w:val="tablecopy"/>
              <w:jc w:val="center"/>
            </w:pPr>
            <w:r>
              <w:t xml:space="preserve">14 / 22 / 10</w:t>
            </w:r>
          </w:p>
        </w:tc>
      </w:tr>
      <w:tr>
        <w:trPr>
          <w:cantSplit/>
          <w:jc w:val="center"/>
        </w:trPr>
        <w:tc>
          <w:tcPr>
            <w:tcW w:w="1500" w:type="dxa"/>
            <w:vAlign w:val="center"/>
          </w:tcPr>
          <w:p>
            <w:pPr>
              <w:pStyle w:val="tablecopy"/>
              <w:jc w:val="center"/>
            </w:pPr>
            <w:r>
              <w:t xml:space="preserve">dpdp-synthetic-test</w:t>
            </w:r>
          </w:p>
        </w:tc>
        <w:tc>
          <w:tcPr>
            <w:tcW w:w="1060" w:type="dxa"/>
            <w:vAlign w:val="center"/>
          </w:tcPr>
          <w:p>
            <w:pPr>
              <w:pStyle w:val="tablecopy"/>
              <w:jc w:val="center"/>
            </w:pPr>
            <w:r>
              <w:t xml:space="preserve">General</w:t>
            </w:r>
          </w:p>
        </w:tc>
        <w:tc>
          <w:tcPr>
            <w:tcW w:w="1100" w:type="dxa"/>
            <w:vAlign w:val="center"/>
          </w:tcPr>
          <w:p>
            <w:pPr>
              <w:pStyle w:val="tablecopy"/>
              <w:jc w:val="center"/>
            </w:pPr>
            <w:r>
              <w:t xml:space="preserve">5 (142)</w:t>
            </w:r>
          </w:p>
        </w:tc>
        <w:tc>
          <w:tcPr>
            <w:tcW w:w="1200" w:type="dxa"/>
            <w:vAlign w:val="center"/>
          </w:tcPr>
          <w:p>
            <w:pPr>
              <w:pStyle w:val="tablecopy"/>
              <w:jc w:val="center"/>
            </w:pPr>
            <w:r>
              <w:t xml:space="preserve">13 / 15 / 12</w:t>
            </w:r>
          </w:p>
        </w:tc>
      </w:tr>
      <w:tr>
        <w:trPr>
          <w:cantSplit/>
          <w:jc w:val="center"/>
        </w:trPr>
        <w:tc>
          <w:tcPr>
            <w:tcW w:w="1500" w:type="dxa"/>
            <w:vAlign w:val="center"/>
          </w:tcPr>
          <w:p>
            <w:pPr>
              <w:pStyle w:val="tablecopy"/>
              <w:jc w:val="center"/>
            </w:pPr>
            <w:r>
              <w:t xml:space="preserve">fintech-demo</w:t>
            </w:r>
          </w:p>
        </w:tc>
        <w:tc>
          <w:tcPr>
            <w:tcW w:w="1060" w:type="dxa"/>
            <w:vAlign w:val="center"/>
          </w:tcPr>
          <w:p>
            <w:pPr>
              <w:pStyle w:val="tablecopy"/>
              <w:jc w:val="center"/>
            </w:pPr>
            <w:r>
              <w:t xml:space="preserve">Finance</w:t>
            </w:r>
          </w:p>
        </w:tc>
        <w:tc>
          <w:tcPr>
            <w:tcW w:w="1100" w:type="dxa"/>
            <w:vAlign w:val="center"/>
          </w:tcPr>
          <w:p>
            <w:pPr>
              <w:pStyle w:val="tablecopy"/>
              <w:jc w:val="center"/>
            </w:pPr>
            <w:r>
              <w:t xml:space="preserve">3 (109)</w:t>
            </w:r>
          </w:p>
        </w:tc>
        <w:tc>
          <w:tcPr>
            <w:tcW w:w="1200" w:type="dxa"/>
            <w:vAlign w:val="center"/>
          </w:tcPr>
          <w:p>
            <w:pPr>
              <w:pStyle w:val="tablecopy"/>
              <w:jc w:val="center"/>
            </w:pPr>
            <w:r>
              <w:t xml:space="preserve">9 / 12 / 7</w:t>
            </w:r>
          </w:p>
        </w:tc>
      </w:tr>
      <w:tr>
        <w:trPr>
          <w:cantSplit/>
          <w:jc w:val="center"/>
        </w:trPr>
        <w:tc>
          <w:tcPr>
            <w:tcW w:w="1500" w:type="dxa"/>
            <w:vAlign w:val="center"/>
          </w:tcPr>
          <w:p>
            <w:pPr>
              <w:pStyle w:val="tablecopy"/>
              <w:jc w:val="center"/>
            </w:pPr>
            <w:r>
              <w:t xml:space="preserve">edtech-demo</w:t>
            </w:r>
          </w:p>
        </w:tc>
        <w:tc>
          <w:tcPr>
            <w:tcW w:w="1060" w:type="dxa"/>
            <w:vAlign w:val="center"/>
          </w:tcPr>
          <w:p>
            <w:pPr>
              <w:pStyle w:val="tablecopy"/>
              <w:jc w:val="center"/>
            </w:pPr>
            <w:r>
              <w:t xml:space="preserve">Education</w:t>
            </w:r>
          </w:p>
        </w:tc>
        <w:tc>
          <w:tcPr>
            <w:tcW w:w="1100" w:type="dxa"/>
            <w:vAlign w:val="center"/>
          </w:tcPr>
          <w:p>
            <w:pPr>
              <w:pStyle w:val="tablecopy"/>
              <w:jc w:val="center"/>
            </w:pPr>
            <w:r>
              <w:t xml:space="preserve">3 (110)</w:t>
            </w:r>
          </w:p>
        </w:tc>
        <w:tc>
          <w:tcPr>
            <w:tcW w:w="1200" w:type="dxa"/>
            <w:vAlign w:val="center"/>
          </w:tcPr>
          <w:p>
            <w:pPr>
              <w:pStyle w:val="tablecopy"/>
              <w:jc w:val="center"/>
            </w:pPr>
            <w:r>
              <w:t xml:space="preserve">4 / 9 / 6</w:t>
            </w:r>
          </w:p>
        </w:tc>
      </w:tr>
      <w:tr>
        <w:trPr>
          <w:cantSplit/>
          <w:jc w:val="center"/>
        </w:trPr>
        <w:tc>
          <w:tcPr>
            <w:tcW w:w="1500" w:type="dxa"/>
            <w:vAlign w:val="center"/>
          </w:tcPr>
          <w:p>
            <w:pPr>
              <w:pStyle w:val="tablecopy"/>
              <w:jc w:val="center"/>
            </w:pPr>
            <w:r>
              <w:t xml:space="preserve">compliant-demo</w:t>
            </w:r>
          </w:p>
        </w:tc>
        <w:tc>
          <w:tcPr>
            <w:tcW w:w="1060" w:type="dxa"/>
            <w:vAlign w:val="center"/>
          </w:tcPr>
          <w:p>
            <w:pPr>
              <w:pStyle w:val="tablecopy"/>
              <w:jc w:val="center"/>
            </w:pPr>
            <w:r>
              <w:t xml:space="preserve">E-commerce</w:t>
            </w:r>
          </w:p>
        </w:tc>
        <w:tc>
          <w:tcPr>
            <w:tcW w:w="1100" w:type="dxa"/>
            <w:vAlign w:val="center"/>
          </w:tcPr>
          <w:p>
            <w:pPr>
              <w:pStyle w:val="tablecopy"/>
              <w:jc w:val="center"/>
            </w:pPr>
            <w:r>
              <w:t xml:space="preserve">3 (79)</w:t>
            </w:r>
          </w:p>
        </w:tc>
        <w:tc>
          <w:tcPr>
            <w:tcW w:w="1200" w:type="dxa"/>
            <w:vAlign w:val="center"/>
          </w:tcPr>
          <w:p>
            <w:pPr>
              <w:pStyle w:val="tablecopy"/>
              <w:jc w:val="center"/>
            </w:pPr>
            <w:r>
              <w:t xml:space="preserve">0 / 0 / 7</w:t>
            </w:r>
          </w:p>
        </w:tc>
      </w:tr>
    </w:tbl>
    <w:p>
      <w:pPr>
        <w:pStyle w:val="tablefootnote"/>
      </w:pPr>
      <w:r>
        <w:t xml:space="preserve">pos.: positive cases; GT viol.: ground-truth violations (rule, category and, for transmissions, recipient); neg.: negative cases.</w:t>
      </w:r>
    </w:p>
    <w:p>
      <w:pPr>
        <w:pStyle w:val="Heading2"/>
      </w:pPr>
      <w:r>
        <w:t xml:space="preserve">Human Reference Set for the Real-World Repositories</w:t>
      </w:r>
    </w:p>
    <w:p>
      <w:pPr>
        <w:pStyle w:val="BodyText"/>
      </w:pPr>
      <w:r>
        <w:t xml:space="preserve">For the real-world repositories we built a human-labelled reference set. Its unit is the unit in which PrivacyPilot reports: a repository, a check and a data category, and for third-party transmission and logging also the recipient. Before annotation, the third author fixed the code version (a commit of each repository), the policy text (its retrieval date) and the list of units: every check and data category for each repository (411 units), the transmissions and logging calls she found in a review of the code (149 units), and 10 units that annotators found during annotation and both then labelled, 570 in all. Test, mock and migration files were in scope, as they are for PrivacyPilot. Two authors labelled every unit independently as a violation, no violation or uncertain, citing the code and the policy, without seeing each other’s labels or PrivacyPilot’s output. Agreement was measured with Cohen’s κ [42] on the binary labels before adjudication, with uncertain labels excluded, and interpreted with the bands of Landis and Koch [43]. The third author then adjudicated the 16 units on which the annotators disagreed or one was uncertain; no unit was left unresolved. PrivacyPilot was compared with the adjudicated labels after one change to the unit: the annotators recorded logging calls per logging mechanism (for example console and a logging library), whereas PrivacyPilot treats all local logging as one recipient, so the logging units of a category were merged, positive if any was positive. This gives 560 units, 58 of them violations. Because the annotators named recipients as services and PrivacyPilot names them by SDK or call, a reported transmission was matched to a positive unit with the same repository and category; reported violations matching no unit count as false positives.</w:t>
      </w:r>
    </w:p>
    <w:p>
      <w:pPr>
        <w:pStyle w:val="Heading2"/>
      </w:pPr>
      <w:r>
        <w:t xml:space="preserve">Matching and Metrics</w:t>
      </w:r>
    </w:p>
    <w:p>
      <w:pPr>
        <w:pStyle w:val="BodyText"/>
      </w:pPr>
      <w:r>
        <w:t xml:space="preserve">The unit of evaluation is the unit in which PrivacyPilot reports: a rule and a data category, and for third-party transmission also the recipient. A positive case therefore yields one ground-truth violation per category, or per category and recipient, that it involves, and a vague purpose statement yields one for each category it covers; the 40 positive cases give 58 ground-truth violations (Table III). Detected and ground-truth violations are matched one-to-one within each repository. Under strict matching, a ground-truth violation is a true positive (TP) only if a detection has the same rule, the same data category and, where the ground truth names one, the same recipient; under lenient matching, a detection with the same rule but another category also counts. Every reported violation is counted as a detection, including the medium-severity reminder that a processor contract cannot be verified. Exact matches are made before lenient ones, so the result does not depend on the order of the ground truth. Ground-truth violations left unmatched are false negatives (FN), and detections left unmatched are false positives (FP). Recall, precision and F1 are reported with Wilson 95% confidence intervals [44], overall, per rule and per category.</w:t>
      </w:r>
    </w:p>
    <w:p>
      <w:pPr>
        <w:pStyle w:val="Heading1"/>
      </w:pPr>
      <w:r>
        <w:t xml:space="preserve">Results</w:t>
      </w:r>
    </w:p>
    <w:p>
      <w:pPr>
        <w:pStyle w:val="BodyText"/>
      </w:pPr>
      <w:r>
        <w:t xml:space="preserve">Table IV gives the overall results on the synthetic set, from one scan of each repository. Under strict matching there were 52 true positives, 6 false negatives and 4 false positives among the 58 ground-truth violations; lenient matching gave the same result, so no violation was reported under the wrong category. Table V breaks the strict results down by rule. Notice gaps and third-party transmissions were detected almost completely: the only notice gap missed is the GPS tracking in healthtech-demo, whose policy discloses a home address, which PrivacyPilot treats as the same location category, and the only false positive among transmissions is the processor-contract reminder for the disclosed Twilio recipient in compliant-demo. The remaining errors concern the policy analysis. The purpose “to provide and improve our services” in dpdp-synthetic-test was not flagged as vague (three false negatives). In healthtech-demo, “Improve our platform” was flagged as vague but was also classified as an analytics purpose, so the analytics use of the phone number and e-mail address was not reported as exceeding the stated purpose (two false negatives). In edtech-demo, “Provide personalised learning experiences” was flagged as vague although it states a specific purpose (three false positives). Apart from the processor-contract reminder, none of the 42 negative cases produced a finding.</w:t>
      </w:r>
    </w:p>
    <w:p>
      <w:pPr>
        <w:pStyle w:val="tablehead"/>
        <w:keepNext/>
      </w:pPr>
      <w:r>
        <w:t xml:space="preserve">Results on the Synthetic Repositories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000"/>
        <w:gridCol w:w="760"/>
        <w:gridCol w:w="900"/>
        <w:gridCol w:w="640"/>
        <w:gridCol w:w="1560"/>
      </w:tblGrid>
      <w:tr>
        <w:trPr>
          <w:cantSplit/>
          <w:tblHeader/>
          <w:jc w:val="center"/>
        </w:trPr>
        <w:tc>
          <w:tcPr>
            <w:tcW w:w="1000" w:type="dxa"/>
            <w:vAlign w:val="center"/>
          </w:tcPr>
          <w:p>
            <w:pPr>
              <w:pStyle w:val="tablecolhead"/>
              <w:jc w:val="center"/>
            </w:pPr>
            <w:r>
              <w:t xml:space="preserve">Matching</w:t>
            </w:r>
          </w:p>
        </w:tc>
        <w:tc>
          <w:tcPr>
            <w:tcW w:w="760" w:type="dxa"/>
            <w:vAlign w:val="center"/>
          </w:tcPr>
          <w:p>
            <w:pPr>
              <w:pStyle w:val="tablecolhead"/>
              <w:jc w:val="center"/>
            </w:pPr>
            <w:r>
              <w:t xml:space="preserve">Recall</w:t>
            </w:r>
          </w:p>
        </w:tc>
        <w:tc>
          <w:tcPr>
            <w:tcW w:w="900" w:type="dxa"/>
            <w:vAlign w:val="center"/>
          </w:tcPr>
          <w:p>
            <w:pPr>
              <w:pStyle w:val="tablecolhead"/>
              <w:jc w:val="center"/>
            </w:pPr>
            <w:r>
              <w:t xml:space="preserve">Precision</w:t>
            </w:r>
          </w:p>
        </w:tc>
        <w:tc>
          <w:tcPr>
            <w:tcW w:w="640" w:type="dxa"/>
            <w:vAlign w:val="center"/>
          </w:tcPr>
          <w:p>
            <w:pPr>
              <w:pStyle w:val="tablecolhead"/>
              <w:jc w:val="center"/>
            </w:pPr>
            <w:r>
              <w:t xml:space="preserve">F1</w:t>
            </w:r>
          </w:p>
        </w:tc>
        <w:tc>
          <w:tcPr>
            <w:tcW w:w="1560" w:type="dxa"/>
            <w:vAlign w:val="center"/>
          </w:tcPr>
          <w:p>
            <w:pPr>
              <w:pStyle w:val="tablecolhead"/>
              <w:jc w:val="center"/>
            </w:pPr>
            <w:r>
              <w:t xml:space="preserve">Recall 95% CI</w:t>
            </w:r>
          </w:p>
        </w:tc>
      </w:tr>
      <w:tr>
        <w:trPr>
          <w:cantSplit/>
          <w:jc w:val="center"/>
        </w:trPr>
        <w:tc>
          <w:tcPr>
            <w:tcW w:w="1000" w:type="dxa"/>
            <w:vAlign w:val="center"/>
          </w:tcPr>
          <w:p>
            <w:pPr>
              <w:pStyle w:val="tablecopy"/>
              <w:jc w:val="center"/>
            </w:pPr>
            <w:r>
              <w:t xml:space="preserve">Strict</w:t>
            </w:r>
          </w:p>
        </w:tc>
        <w:tc>
          <w:tcPr>
            <w:tcW w:w="760" w:type="dxa"/>
            <w:vAlign w:val="center"/>
          </w:tcPr>
          <w:p>
            <w:pPr>
              <w:pStyle w:val="tablecopy"/>
              <w:jc w:val="center"/>
            </w:pPr>
            <w:r>
              <w:t xml:space="preserve">89.7%</w:t>
            </w:r>
          </w:p>
        </w:tc>
        <w:tc>
          <w:tcPr>
            <w:tcW w:w="900" w:type="dxa"/>
            <w:vAlign w:val="center"/>
          </w:tcPr>
          <w:p>
            <w:pPr>
              <w:pStyle w:val="tablecopy"/>
              <w:jc w:val="center"/>
            </w:pPr>
            <w:r>
              <w:t xml:space="preserve">92.9%</w:t>
            </w:r>
          </w:p>
        </w:tc>
        <w:tc>
          <w:tcPr>
            <w:tcW w:w="640" w:type="dxa"/>
            <w:vAlign w:val="center"/>
          </w:tcPr>
          <w:p>
            <w:pPr>
              <w:pStyle w:val="tablecopy"/>
              <w:jc w:val="center"/>
            </w:pPr>
            <w:r>
              <w:t xml:space="preserve">91.2%</w:t>
            </w:r>
          </w:p>
        </w:tc>
        <w:tc>
          <w:tcPr>
            <w:tcW w:w="1560" w:type="dxa"/>
            <w:vAlign w:val="center"/>
          </w:tcPr>
          <w:p>
            <w:pPr>
              <w:pStyle w:val="tablecopy"/>
              <w:jc w:val="center"/>
            </w:pPr>
            <w:r>
              <w:t xml:space="preserve">79.2–95.2%</w:t>
            </w:r>
          </w:p>
        </w:tc>
      </w:tr>
      <w:tr>
        <w:trPr>
          <w:cantSplit/>
          <w:jc w:val="center"/>
        </w:trPr>
        <w:tc>
          <w:tcPr>
            <w:tcW w:w="1000" w:type="dxa"/>
            <w:vAlign w:val="center"/>
          </w:tcPr>
          <w:p>
            <w:pPr>
              <w:pStyle w:val="tablecopy"/>
              <w:jc w:val="center"/>
            </w:pPr>
            <w:r>
              <w:t xml:space="preserve">Lenient</w:t>
            </w:r>
          </w:p>
        </w:tc>
        <w:tc>
          <w:tcPr>
            <w:tcW w:w="760" w:type="dxa"/>
            <w:vAlign w:val="center"/>
          </w:tcPr>
          <w:p>
            <w:pPr>
              <w:pStyle w:val="tablecopy"/>
              <w:jc w:val="center"/>
            </w:pPr>
            <w:r>
              <w:t xml:space="preserve">89.7%</w:t>
            </w:r>
          </w:p>
        </w:tc>
        <w:tc>
          <w:tcPr>
            <w:tcW w:w="900" w:type="dxa"/>
            <w:vAlign w:val="center"/>
          </w:tcPr>
          <w:p>
            <w:pPr>
              <w:pStyle w:val="tablecopy"/>
              <w:jc w:val="center"/>
            </w:pPr>
            <w:r>
              <w:t xml:space="preserve">92.9%</w:t>
            </w:r>
          </w:p>
        </w:tc>
        <w:tc>
          <w:tcPr>
            <w:tcW w:w="640" w:type="dxa"/>
            <w:vAlign w:val="center"/>
          </w:tcPr>
          <w:p>
            <w:pPr>
              <w:pStyle w:val="tablecopy"/>
              <w:jc w:val="center"/>
            </w:pPr>
            <w:r>
              <w:t xml:space="preserve">91.2%</w:t>
            </w:r>
          </w:p>
        </w:tc>
        <w:tc>
          <w:tcPr>
            <w:tcW w:w="1560" w:type="dxa"/>
            <w:vAlign w:val="center"/>
          </w:tcPr>
          <w:p>
            <w:pPr>
              <w:pStyle w:val="tablecopy"/>
              <w:jc w:val="center"/>
            </w:pPr>
            <w:r>
              <w:t xml:space="preserve">79.2–95.2%</w:t>
            </w:r>
          </w:p>
        </w:tc>
      </w:tr>
    </w:tbl>
    <w:p>
      <w:pPr>
        <w:pStyle w:val="tablehead"/>
        <w:keepNext/>
      </w:pPr>
      <w:r>
        <w:t xml:space="preserve">Strict Results per Rule (Synthetic Repositories)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660"/>
        <w:gridCol w:w="640"/>
        <w:gridCol w:w="640"/>
        <w:gridCol w:w="640"/>
        <w:gridCol w:w="640"/>
        <w:gridCol w:w="640"/>
      </w:tblGrid>
      <w:tr>
        <w:trPr>
          <w:cantSplit/>
          <w:tblHeader/>
          <w:jc w:val="center"/>
        </w:trPr>
        <w:tc>
          <w:tcPr>
            <w:tcW w:w="1660" w:type="dxa"/>
            <w:vAlign w:val="center"/>
          </w:tcPr>
          <w:p>
            <w:pPr>
              <w:pStyle w:val="tablecolhead"/>
              <w:jc w:val="center"/>
            </w:pPr>
            <w:r>
              <w:t xml:space="preserve">Rule</w:t>
            </w:r>
          </w:p>
        </w:tc>
        <w:tc>
          <w:tcPr>
            <w:tcW w:w="640" w:type="dxa"/>
            <w:vAlign w:val="center"/>
          </w:tcPr>
          <w:p>
            <w:pPr>
              <w:pStyle w:val="tablecolhead"/>
              <w:jc w:val="center"/>
            </w:pPr>
            <w:r>
              <w:t xml:space="preserve">GT</w:t>
            </w:r>
          </w:p>
        </w:tc>
        <w:tc>
          <w:tcPr>
            <w:tcW w:w="640" w:type="dxa"/>
            <w:vAlign w:val="center"/>
          </w:tcPr>
          <w:p>
            <w:pPr>
              <w:pStyle w:val="tablecolhead"/>
              <w:jc w:val="center"/>
            </w:pPr>
            <w:r>
              <w:t xml:space="preserve">TP</w:t>
            </w:r>
          </w:p>
        </w:tc>
        <w:tc>
          <w:tcPr>
            <w:tcW w:w="640" w:type="dxa"/>
            <w:vAlign w:val="center"/>
          </w:tcPr>
          <w:p>
            <w:pPr>
              <w:pStyle w:val="tablecolhead"/>
              <w:jc w:val="center"/>
            </w:pPr>
            <w:r>
              <w:t xml:space="preserve">FN</w:t>
            </w:r>
          </w:p>
        </w:tc>
        <w:tc>
          <w:tcPr>
            <w:tcW w:w="640" w:type="dxa"/>
            <w:vAlign w:val="center"/>
          </w:tcPr>
          <w:p>
            <w:pPr>
              <w:pStyle w:val="tablecolhead"/>
              <w:jc w:val="center"/>
            </w:pPr>
            <w:r>
              <w:t xml:space="preserve">FP</w:t>
            </w:r>
          </w:p>
        </w:tc>
        <w:tc>
          <w:tcPr>
            <w:tcW w:w="640" w:type="dxa"/>
            <w:vAlign w:val="center"/>
          </w:tcPr>
          <w:p>
            <w:pPr>
              <w:pStyle w:val="tablecolhead"/>
              <w:jc w:val="center"/>
            </w:pPr>
            <w:r>
              <w:t xml:space="preserve">F1</w:t>
            </w:r>
          </w:p>
        </w:tc>
      </w:tr>
      <w:tr>
        <w:trPr>
          <w:cantSplit/>
          <w:jc w:val="center"/>
        </w:trPr>
        <w:tc>
          <w:tcPr>
            <w:tcW w:w="1660" w:type="dxa"/>
            <w:vAlign w:val="center"/>
          </w:tcPr>
          <w:p>
            <w:pPr>
              <w:pStyle w:val="tablecopy"/>
              <w:jc w:val="center"/>
            </w:pPr>
            <w:r>
              <w:t xml:space="preserve">1. Notice gap</w:t>
            </w:r>
          </w:p>
        </w:tc>
        <w:tc>
          <w:tcPr>
            <w:tcW w:w="640" w:type="dxa"/>
            <w:vAlign w:val="center"/>
          </w:tcPr>
          <w:p>
            <w:pPr>
              <w:pStyle w:val="tablecopy"/>
              <w:jc w:val="center"/>
            </w:pPr>
            <w:r>
              <w:t xml:space="preserve">15</w:t>
            </w:r>
          </w:p>
        </w:tc>
        <w:tc>
          <w:tcPr>
            <w:tcW w:w="640" w:type="dxa"/>
            <w:vAlign w:val="center"/>
          </w:tcPr>
          <w:p>
            <w:pPr>
              <w:pStyle w:val="tablecopy"/>
              <w:jc w:val="center"/>
            </w:pPr>
            <w:r>
              <w:t xml:space="preserve">14</w:t>
            </w:r>
          </w:p>
        </w:tc>
        <w:tc>
          <w:tcPr>
            <w:tcW w:w="640" w:type="dxa"/>
            <w:vAlign w:val="center"/>
          </w:tcPr>
          <w:p>
            <w:pPr>
              <w:pStyle w:val="tablecopy"/>
              <w:jc w:val="center"/>
            </w:pPr>
            <w:r>
              <w:t xml:space="preserve">1</w:t>
            </w:r>
          </w:p>
        </w:tc>
        <w:tc>
          <w:tcPr>
            <w:tcW w:w="640" w:type="dxa"/>
            <w:vAlign w:val="center"/>
          </w:tcPr>
          <w:p>
            <w:pPr>
              <w:pStyle w:val="tablecopy"/>
              <w:jc w:val="center"/>
            </w:pPr>
            <w:r>
              <w:t xml:space="preserve">0</w:t>
            </w:r>
          </w:p>
        </w:tc>
        <w:tc>
          <w:tcPr>
            <w:tcW w:w="640" w:type="dxa"/>
            <w:vAlign w:val="center"/>
          </w:tcPr>
          <w:p>
            <w:pPr>
              <w:pStyle w:val="tablecopy"/>
              <w:jc w:val="center"/>
            </w:pPr>
            <w:r>
              <w:t xml:space="preserve">96.6%</w:t>
            </w:r>
          </w:p>
        </w:tc>
      </w:tr>
      <w:tr>
        <w:trPr>
          <w:cantSplit/>
          <w:jc w:val="center"/>
        </w:trPr>
        <w:tc>
          <w:tcPr>
            <w:tcW w:w="1660" w:type="dxa"/>
            <w:vAlign w:val="center"/>
          </w:tcPr>
          <w:p>
            <w:pPr>
              <w:pStyle w:val="tablecopy"/>
              <w:jc w:val="center"/>
            </w:pPr>
            <w:r>
              <w:t xml:space="preserve">2. Third-party transmission</w:t>
            </w:r>
          </w:p>
        </w:tc>
        <w:tc>
          <w:tcPr>
            <w:tcW w:w="640" w:type="dxa"/>
            <w:vAlign w:val="center"/>
          </w:tcPr>
          <w:p>
            <w:pPr>
              <w:pStyle w:val="tablecopy"/>
              <w:jc w:val="center"/>
            </w:pPr>
            <w:r>
              <w:t xml:space="preserve">26</w:t>
            </w:r>
          </w:p>
        </w:tc>
        <w:tc>
          <w:tcPr>
            <w:tcW w:w="640" w:type="dxa"/>
            <w:vAlign w:val="center"/>
          </w:tcPr>
          <w:p>
            <w:pPr>
              <w:pStyle w:val="tablecopy"/>
              <w:jc w:val="center"/>
            </w:pPr>
            <w:r>
              <w:t xml:space="preserve">26</w:t>
            </w:r>
          </w:p>
        </w:tc>
        <w:tc>
          <w:tcPr>
            <w:tcW w:w="640" w:type="dxa"/>
            <w:vAlign w:val="center"/>
          </w:tcPr>
          <w:p>
            <w:pPr>
              <w:pStyle w:val="tablecopy"/>
              <w:jc w:val="center"/>
            </w:pPr>
            <w:r>
              <w:t xml:space="preserve">0</w:t>
            </w:r>
          </w:p>
        </w:tc>
        <w:tc>
          <w:tcPr>
            <w:tcW w:w="640" w:type="dxa"/>
            <w:vAlign w:val="center"/>
          </w:tcPr>
          <w:p>
            <w:pPr>
              <w:pStyle w:val="tablecopy"/>
              <w:jc w:val="center"/>
            </w:pPr>
            <w:r>
              <w:t xml:space="preserve">1</w:t>
            </w:r>
          </w:p>
        </w:tc>
        <w:tc>
          <w:tcPr>
            <w:tcW w:w="640" w:type="dxa"/>
            <w:vAlign w:val="center"/>
          </w:tcPr>
          <w:p>
            <w:pPr>
              <w:pStyle w:val="tablecopy"/>
              <w:jc w:val="center"/>
            </w:pPr>
            <w:r>
              <w:t xml:space="preserve">98.1%</w:t>
            </w:r>
          </w:p>
        </w:tc>
      </w:tr>
      <w:tr>
        <w:trPr>
          <w:cantSplit/>
          <w:jc w:val="center"/>
        </w:trPr>
        <w:tc>
          <w:tcPr>
            <w:tcW w:w="1660" w:type="dxa"/>
            <w:vAlign w:val="center"/>
          </w:tcPr>
          <w:p>
            <w:pPr>
              <w:pStyle w:val="tablecopy"/>
              <w:jc w:val="center"/>
            </w:pPr>
            <w:r>
              <w:t xml:space="preserve">3. Purpose linkage</w:t>
            </w:r>
          </w:p>
        </w:tc>
        <w:tc>
          <w:tcPr>
            <w:tcW w:w="640" w:type="dxa"/>
            <w:vAlign w:val="center"/>
          </w:tcPr>
          <w:p>
            <w:pPr>
              <w:pStyle w:val="tablecopy"/>
              <w:jc w:val="center"/>
            </w:pPr>
            <w:r>
              <w:t xml:space="preserve">10</w:t>
            </w:r>
          </w:p>
        </w:tc>
        <w:tc>
          <w:tcPr>
            <w:tcW w:w="640" w:type="dxa"/>
            <w:vAlign w:val="center"/>
          </w:tcPr>
          <w:p>
            <w:pPr>
              <w:pStyle w:val="tablecopy"/>
              <w:jc w:val="center"/>
            </w:pPr>
            <w:r>
              <w:t xml:space="preserve">8</w:t>
            </w:r>
          </w:p>
        </w:tc>
        <w:tc>
          <w:tcPr>
            <w:tcW w:w="640" w:type="dxa"/>
            <w:vAlign w:val="center"/>
          </w:tcPr>
          <w:p>
            <w:pPr>
              <w:pStyle w:val="tablecopy"/>
              <w:jc w:val="center"/>
            </w:pPr>
            <w:r>
              <w:t xml:space="preserve">2</w:t>
            </w:r>
          </w:p>
        </w:tc>
        <w:tc>
          <w:tcPr>
            <w:tcW w:w="640" w:type="dxa"/>
            <w:vAlign w:val="center"/>
          </w:tcPr>
          <w:p>
            <w:pPr>
              <w:pStyle w:val="tablecopy"/>
              <w:jc w:val="center"/>
            </w:pPr>
            <w:r>
              <w:t xml:space="preserve">0</w:t>
            </w:r>
          </w:p>
        </w:tc>
        <w:tc>
          <w:tcPr>
            <w:tcW w:w="640" w:type="dxa"/>
            <w:vAlign w:val="center"/>
          </w:tcPr>
          <w:p>
            <w:pPr>
              <w:pStyle w:val="tablecopy"/>
              <w:jc w:val="center"/>
            </w:pPr>
            <w:r>
              <w:t xml:space="preserve">88.9%</w:t>
            </w:r>
          </w:p>
        </w:tc>
      </w:tr>
      <w:tr>
        <w:trPr>
          <w:cantSplit/>
          <w:jc w:val="center"/>
        </w:trPr>
        <w:tc>
          <w:tcPr>
            <w:tcW w:w="1660" w:type="dxa"/>
            <w:vAlign w:val="center"/>
          </w:tcPr>
          <w:p>
            <w:pPr>
              <w:pStyle w:val="tablecopy"/>
              <w:jc w:val="center"/>
            </w:pPr>
            <w:r>
              <w:t xml:space="preserve">Vague purpose</w:t>
            </w:r>
          </w:p>
        </w:tc>
        <w:tc>
          <w:tcPr>
            <w:tcW w:w="640" w:type="dxa"/>
            <w:vAlign w:val="center"/>
          </w:tcPr>
          <w:p>
            <w:pPr>
              <w:pStyle w:val="tablecopy"/>
              <w:jc w:val="center"/>
            </w:pPr>
            <w:r>
              <w:t xml:space="preserve">7</w:t>
            </w:r>
          </w:p>
        </w:tc>
        <w:tc>
          <w:tcPr>
            <w:tcW w:w="640" w:type="dxa"/>
            <w:vAlign w:val="center"/>
          </w:tcPr>
          <w:p>
            <w:pPr>
              <w:pStyle w:val="tablecopy"/>
              <w:jc w:val="center"/>
            </w:pPr>
            <w:r>
              <w:t xml:space="preserve">4</w:t>
            </w:r>
          </w:p>
        </w:tc>
        <w:tc>
          <w:tcPr>
            <w:tcW w:w="640" w:type="dxa"/>
            <w:vAlign w:val="center"/>
          </w:tcPr>
          <w:p>
            <w:pPr>
              <w:pStyle w:val="tablecopy"/>
              <w:jc w:val="center"/>
            </w:pPr>
            <w:r>
              <w:t xml:space="preserve">3</w:t>
            </w:r>
          </w:p>
        </w:tc>
        <w:tc>
          <w:tcPr>
            <w:tcW w:w="640" w:type="dxa"/>
            <w:vAlign w:val="center"/>
          </w:tcPr>
          <w:p>
            <w:pPr>
              <w:pStyle w:val="tablecopy"/>
              <w:jc w:val="center"/>
            </w:pPr>
            <w:r>
              <w:t xml:space="preserve">3</w:t>
            </w:r>
          </w:p>
        </w:tc>
        <w:tc>
          <w:tcPr>
            <w:tcW w:w="640" w:type="dxa"/>
            <w:vAlign w:val="center"/>
          </w:tcPr>
          <w:p>
            <w:pPr>
              <w:pStyle w:val="tablecopy"/>
              <w:jc w:val="center"/>
            </w:pPr>
            <w:r>
              <w:t xml:space="preserve">57.1%</w:t>
            </w:r>
          </w:p>
        </w:tc>
      </w:tr>
    </w:tbl>
    <w:p>
      <w:pPr>
        <w:pStyle w:val="tablefootnote"/>
      </w:pPr>
      <w:r>
        <w:t xml:space="preserve">GT: ground-truth violations. Rule 2 includes personal data in logs (Section 8(5)).</w:t>
      </w:r>
    </w:p>
    <w:p>
      <w:pPr>
        <w:pStyle w:val="BodyText"/>
      </w:pPr>
      <w:r>
        <w:t xml:space="preserve">Table VI summarises the real-world scans, which were run with four worker processes in Docker on a Windows machine (WSL 2). PrivacyPilot reported 85 violations in seven of the nine repositories; the two Zerodha clients produced none. Inter-annotator agreement was almost perfect overall (κ = 0.86, observed agreement 97.4%, 569 units; one uncertain label excluded): 0.92 for notice gaps, 1.00 for third-party transmission, 0.79 for logging and 0.90 for purpose linkage. For vague purposes κ was 0 although the annotators agreed on 95.6% of the units: one annotator marked no unit as vague and the other four, and with so few positives chance agreement is as high as observed agreement (Table VII).</w:t>
      </w:r>
    </w:p>
    <w:p>
      <w:pPr>
        <w:pStyle w:val="tablehead"/>
        <w:keepNext/>
      </w:pPr>
      <w:r>
        <w:t xml:space="preserve">Violations Reported on the Real-World Repositories</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360"/>
        <w:gridCol w:w="560"/>
        <w:gridCol w:w="420"/>
        <w:gridCol w:w="450"/>
        <w:gridCol w:w="470"/>
        <w:gridCol w:w="510"/>
        <w:gridCol w:w="590"/>
        <w:gridCol w:w="500"/>
      </w:tblGrid>
      <w:tr>
        <w:trPr>
          <w:cantSplit/>
          <w:tblHeader/>
          <w:jc w:val="center"/>
        </w:trPr>
        <w:tc>
          <w:tcPr>
            <w:tcW w:w="1360" w:type="dxa"/>
            <w:vAlign w:val="center"/>
          </w:tcPr>
          <w:p>
            <w:pPr>
              <w:pStyle w:val="tablecolhead"/>
              <w:jc w:val="center"/>
            </w:pPr>
            <w:r>
              <w:t xml:space="preserve">Repository</w:t>
            </w:r>
          </w:p>
        </w:tc>
        <w:tc>
          <w:tcPr>
            <w:tcW w:w="560" w:type="dxa"/>
            <w:vAlign w:val="center"/>
          </w:tcPr>
          <w:p>
            <w:pPr>
              <w:pStyle w:val="tablecolhead"/>
              <w:jc w:val="center"/>
            </w:pPr>
            <w:r>
              <w:t xml:space="preserve">Lang.</w:t>
            </w:r>
          </w:p>
        </w:tc>
        <w:tc>
          <w:tcPr>
            <w:tcW w:w="420" w:type="dxa"/>
            <w:vAlign w:val="center"/>
          </w:tcPr>
          <w:p>
            <w:pPr>
              <w:pStyle w:val="tablecolhead"/>
              <w:jc w:val="center"/>
            </w:pPr>
            <w:r>
              <w:t xml:space="preserve">Gap</w:t>
            </w:r>
          </w:p>
        </w:tc>
        <w:tc>
          <w:tcPr>
            <w:tcW w:w="450" w:type="dxa"/>
            <w:vAlign w:val="center"/>
          </w:tcPr>
          <w:p>
            <w:pPr>
              <w:pStyle w:val="tablecolhead"/>
              <w:jc w:val="center"/>
            </w:pPr>
            <w:r>
              <w:t xml:space="preserve">8(2)</w:t>
            </w:r>
          </w:p>
        </w:tc>
        <w:tc>
          <w:tcPr>
            <w:tcW w:w="470" w:type="dxa"/>
            <w:vAlign w:val="center"/>
          </w:tcPr>
          <w:p>
            <w:pPr>
              <w:pStyle w:val="tablecolhead"/>
              <w:jc w:val="center"/>
            </w:pPr>
            <w:r>
              <w:t xml:space="preserve">Logs</w:t>
            </w:r>
          </w:p>
        </w:tc>
        <w:tc>
          <w:tcPr>
            <w:tcW w:w="510" w:type="dxa"/>
            <w:vAlign w:val="center"/>
          </w:tcPr>
          <w:p>
            <w:pPr>
              <w:pStyle w:val="tablecolhead"/>
              <w:jc w:val="center"/>
            </w:pPr>
            <w:r>
              <w:t xml:space="preserve">Purp.</w:t>
            </w:r>
          </w:p>
        </w:tc>
        <w:tc>
          <w:tcPr>
            <w:tcW w:w="590" w:type="dxa"/>
            <w:vAlign w:val="center"/>
          </w:tcPr>
          <w:p>
            <w:pPr>
              <w:pStyle w:val="tablecolhead"/>
              <w:jc w:val="center"/>
            </w:pPr>
            <w:r>
              <w:t xml:space="preserve">Vague</w:t>
            </w:r>
          </w:p>
        </w:tc>
        <w:tc>
          <w:tcPr>
            <w:tcW w:w="500" w:type="dxa"/>
            <w:vAlign w:val="center"/>
          </w:tcPr>
          <w:p>
            <w:pPr>
              <w:pStyle w:val="tablecolhead"/>
              <w:jc w:val="center"/>
            </w:pPr>
            <w:r>
              <w:t xml:space="preserve">Total</w:t>
            </w:r>
          </w:p>
        </w:tc>
      </w:tr>
      <w:tr>
        <w:trPr>
          <w:cantSplit/>
          <w:jc w:val="center"/>
        </w:trPr>
        <w:tc>
          <w:tcPr>
            <w:tcW w:w="1360" w:type="dxa"/>
            <w:vAlign w:val="center"/>
          </w:tcPr>
          <w:p>
            <w:pPr>
              <w:pStyle w:val="tablecopy"/>
              <w:jc w:val="center"/>
            </w:pPr>
            <w:r>
              <w:t xml:space="preserve">smart-docs-parser</w:t>
            </w:r>
          </w:p>
        </w:tc>
        <w:tc>
          <w:tcPr>
            <w:tcW w:w="560" w:type="dxa"/>
            <w:vAlign w:val="center"/>
          </w:tcPr>
          <w:p>
            <w:pPr>
              <w:pStyle w:val="tablecopy"/>
              <w:jc w:val="center"/>
            </w:pPr>
            <w:r>
              <w:t xml:space="preserve">TS</w:t>
            </w:r>
          </w:p>
        </w:tc>
        <w:tc>
          <w:tcPr>
            <w:tcW w:w="420" w:type="dxa"/>
            <w:vAlign w:val="center"/>
          </w:tcPr>
          <w:p>
            <w:pPr>
              <w:pStyle w:val="tablecopy"/>
              <w:jc w:val="center"/>
            </w:pPr>
            <w:r>
              <w:t xml:space="preserve">2</w:t>
            </w:r>
          </w:p>
        </w:tc>
        <w:tc>
          <w:tcPr>
            <w:tcW w:w="450" w:type="dxa"/>
            <w:vAlign w:val="center"/>
          </w:tcPr>
          <w:p>
            <w:pPr>
              <w:pStyle w:val="tablecopy"/>
              <w:jc w:val="center"/>
            </w:pPr>
            <w:r>
              <w:t xml:space="preserve">0</w:t>
            </w:r>
          </w:p>
        </w:tc>
        <w:tc>
          <w:tcPr>
            <w:tcW w:w="470" w:type="dxa"/>
            <w:vAlign w:val="center"/>
          </w:tcPr>
          <w:p>
            <w:pPr>
              <w:pStyle w:val="tablecopy"/>
              <w:jc w:val="center"/>
            </w:pPr>
            <w:r>
              <w:t xml:space="preserve">0</w:t>
            </w:r>
          </w:p>
        </w:tc>
        <w:tc>
          <w:tcPr>
            <w:tcW w:w="510" w:type="dxa"/>
            <w:vAlign w:val="center"/>
          </w:tcPr>
          <w:p>
            <w:pPr>
              <w:pStyle w:val="tablecopy"/>
              <w:jc w:val="center"/>
            </w:pPr>
            <w:r>
              <w:t xml:space="preserve">0</w:t>
            </w:r>
          </w:p>
        </w:tc>
        <w:tc>
          <w:tcPr>
            <w:tcW w:w="590" w:type="dxa"/>
            <w:vAlign w:val="center"/>
          </w:tcPr>
          <w:p>
            <w:pPr>
              <w:pStyle w:val="tablecopy"/>
              <w:jc w:val="center"/>
            </w:pPr>
            <w:r>
              <w:t xml:space="preserve">6</w:t>
            </w:r>
          </w:p>
        </w:tc>
        <w:tc>
          <w:tcPr>
            <w:tcW w:w="500" w:type="dxa"/>
            <w:vAlign w:val="center"/>
          </w:tcPr>
          <w:p>
            <w:pPr>
              <w:pStyle w:val="tablecopy"/>
              <w:jc w:val="center"/>
            </w:pPr>
            <w:r>
              <w:t xml:space="preserve">8</w:t>
            </w:r>
          </w:p>
        </w:tc>
      </w:tr>
      <w:tr>
        <w:trPr>
          <w:cantSplit/>
          <w:jc w:val="center"/>
        </w:trPr>
        <w:tc>
          <w:tcPr>
            <w:tcW w:w="1360" w:type="dxa"/>
            <w:vAlign w:val="center"/>
          </w:tcPr>
          <w:p>
            <w:pPr>
              <w:pStyle w:val="tablecopy"/>
              <w:jc w:val="center"/>
            </w:pPr>
            <w:r>
              <w:t xml:space="preserve">mrz-surepass</w:t>
            </w:r>
          </w:p>
        </w:tc>
        <w:tc>
          <w:tcPr>
            <w:tcW w:w="560" w:type="dxa"/>
            <w:vAlign w:val="center"/>
          </w:tcPr>
          <w:p>
            <w:pPr>
              <w:pStyle w:val="tablecopy"/>
              <w:jc w:val="center"/>
            </w:pPr>
            <w:r>
              <w:t xml:space="preserve">Py</w:t>
            </w:r>
          </w:p>
        </w:tc>
        <w:tc>
          <w:tcPr>
            <w:tcW w:w="420" w:type="dxa"/>
            <w:vAlign w:val="center"/>
          </w:tcPr>
          <w:p>
            <w:pPr>
              <w:pStyle w:val="tablecopy"/>
              <w:jc w:val="center"/>
            </w:pPr>
            <w:r>
              <w:t xml:space="preserve">0</w:t>
            </w:r>
          </w:p>
        </w:tc>
        <w:tc>
          <w:tcPr>
            <w:tcW w:w="450" w:type="dxa"/>
            <w:vAlign w:val="center"/>
          </w:tcPr>
          <w:p>
            <w:pPr>
              <w:pStyle w:val="tablecopy"/>
              <w:jc w:val="center"/>
            </w:pPr>
            <w:r>
              <w:t xml:space="preserve">0</w:t>
            </w:r>
          </w:p>
        </w:tc>
        <w:tc>
          <w:tcPr>
            <w:tcW w:w="470" w:type="dxa"/>
            <w:vAlign w:val="center"/>
          </w:tcPr>
          <w:p>
            <w:pPr>
              <w:pStyle w:val="tablecopy"/>
              <w:jc w:val="center"/>
            </w:pPr>
            <w:r>
              <w:t xml:space="preserve">2</w:t>
            </w:r>
          </w:p>
        </w:tc>
        <w:tc>
          <w:tcPr>
            <w:tcW w:w="510" w:type="dxa"/>
            <w:vAlign w:val="center"/>
          </w:tcPr>
          <w:p>
            <w:pPr>
              <w:pStyle w:val="tablecopy"/>
              <w:jc w:val="center"/>
            </w:pPr>
            <w:r>
              <w:t xml:space="preserve">0</w:t>
            </w:r>
          </w:p>
        </w:tc>
        <w:tc>
          <w:tcPr>
            <w:tcW w:w="590" w:type="dxa"/>
            <w:vAlign w:val="center"/>
          </w:tcPr>
          <w:p>
            <w:pPr>
              <w:pStyle w:val="tablecopy"/>
              <w:jc w:val="center"/>
            </w:pPr>
            <w:r>
              <w:t xml:space="preserve">0</w:t>
            </w:r>
          </w:p>
        </w:tc>
        <w:tc>
          <w:tcPr>
            <w:tcW w:w="500" w:type="dxa"/>
            <w:vAlign w:val="center"/>
          </w:tcPr>
          <w:p>
            <w:pPr>
              <w:pStyle w:val="tablecopy"/>
              <w:jc w:val="center"/>
            </w:pPr>
            <w:r>
              <w:t xml:space="preserve">2</w:t>
            </w:r>
          </w:p>
        </w:tc>
      </w:tr>
      <w:tr>
        <w:trPr>
          <w:cantSplit/>
          <w:jc w:val="center"/>
        </w:trPr>
        <w:tc>
          <w:tcPr>
            <w:tcW w:w="1360" w:type="dxa"/>
            <w:vAlign w:val="center"/>
          </w:tcPr>
          <w:p>
            <w:pPr>
              <w:pStyle w:val="tablecopy"/>
              <w:jc w:val="center"/>
            </w:pPr>
            <w:r>
              <w:t xml:space="preserve">SunbirdEd-portal</w:t>
            </w:r>
          </w:p>
        </w:tc>
        <w:tc>
          <w:tcPr>
            <w:tcW w:w="560" w:type="dxa"/>
            <w:vAlign w:val="center"/>
          </w:tcPr>
          <w:p>
            <w:pPr>
              <w:pStyle w:val="tablecopy"/>
              <w:jc w:val="center"/>
            </w:pPr>
            <w:r>
              <w:t xml:space="preserve">TS/JS</w:t>
            </w:r>
          </w:p>
        </w:tc>
        <w:tc>
          <w:tcPr>
            <w:tcW w:w="420" w:type="dxa"/>
            <w:vAlign w:val="center"/>
          </w:tcPr>
          <w:p>
            <w:pPr>
              <w:pStyle w:val="tablecopy"/>
              <w:jc w:val="center"/>
            </w:pPr>
            <w:r>
              <w:t xml:space="preserve">4</w:t>
            </w:r>
          </w:p>
        </w:tc>
        <w:tc>
          <w:tcPr>
            <w:tcW w:w="450" w:type="dxa"/>
            <w:vAlign w:val="center"/>
          </w:tcPr>
          <w:p>
            <w:pPr>
              <w:pStyle w:val="tablecopy"/>
              <w:jc w:val="center"/>
            </w:pPr>
            <w:r>
              <w:t xml:space="preserve">18</w:t>
            </w:r>
          </w:p>
        </w:tc>
        <w:tc>
          <w:tcPr>
            <w:tcW w:w="470" w:type="dxa"/>
            <w:vAlign w:val="center"/>
          </w:tcPr>
          <w:p>
            <w:pPr>
              <w:pStyle w:val="tablecopy"/>
              <w:jc w:val="center"/>
            </w:pPr>
            <w:r>
              <w:t xml:space="preserve">8</w:t>
            </w:r>
          </w:p>
        </w:tc>
        <w:tc>
          <w:tcPr>
            <w:tcW w:w="510" w:type="dxa"/>
            <w:vAlign w:val="center"/>
          </w:tcPr>
          <w:p>
            <w:pPr>
              <w:pStyle w:val="tablecopy"/>
              <w:jc w:val="center"/>
            </w:pPr>
            <w:r>
              <w:t xml:space="preserve">3</w:t>
            </w:r>
          </w:p>
        </w:tc>
        <w:tc>
          <w:tcPr>
            <w:tcW w:w="590" w:type="dxa"/>
            <w:vAlign w:val="center"/>
          </w:tcPr>
          <w:p>
            <w:pPr>
              <w:pStyle w:val="tablecopy"/>
              <w:jc w:val="center"/>
            </w:pPr>
            <w:r>
              <w:t xml:space="preserve">3</w:t>
            </w:r>
          </w:p>
        </w:tc>
        <w:tc>
          <w:tcPr>
            <w:tcW w:w="500" w:type="dxa"/>
            <w:vAlign w:val="center"/>
          </w:tcPr>
          <w:p>
            <w:pPr>
              <w:pStyle w:val="tablecopy"/>
              <w:jc w:val="center"/>
            </w:pPr>
            <w:r>
              <w:t xml:space="preserve">36</w:t>
            </w:r>
          </w:p>
        </w:tc>
      </w:tr>
      <w:tr>
        <w:trPr>
          <w:cantSplit/>
          <w:jc w:val="center"/>
        </w:trPr>
        <w:tc>
          <w:tcPr>
            <w:tcW w:w="1360" w:type="dxa"/>
            <w:vAlign w:val="center"/>
          </w:tcPr>
          <w:p>
            <w:pPr>
              <w:pStyle w:val="tablecopy"/>
              <w:jc w:val="center"/>
            </w:pPr>
            <w:r>
              <w:t xml:space="preserve">SunbirdEd-mobile-app</w:t>
            </w:r>
          </w:p>
        </w:tc>
        <w:tc>
          <w:tcPr>
            <w:tcW w:w="560" w:type="dxa"/>
            <w:vAlign w:val="center"/>
          </w:tcPr>
          <w:p>
            <w:pPr>
              <w:pStyle w:val="tablecopy"/>
              <w:jc w:val="center"/>
            </w:pPr>
            <w:r>
              <w:t xml:space="preserve">TS</w:t>
            </w:r>
          </w:p>
        </w:tc>
        <w:tc>
          <w:tcPr>
            <w:tcW w:w="420" w:type="dxa"/>
            <w:vAlign w:val="center"/>
          </w:tcPr>
          <w:p>
            <w:pPr>
              <w:pStyle w:val="tablecopy"/>
              <w:jc w:val="center"/>
            </w:pPr>
            <w:r>
              <w:t xml:space="preserve">3</w:t>
            </w:r>
          </w:p>
        </w:tc>
        <w:tc>
          <w:tcPr>
            <w:tcW w:w="450" w:type="dxa"/>
            <w:vAlign w:val="center"/>
          </w:tcPr>
          <w:p>
            <w:pPr>
              <w:pStyle w:val="tablecopy"/>
              <w:jc w:val="center"/>
            </w:pPr>
            <w:r>
              <w:t xml:space="preserve">0</w:t>
            </w:r>
          </w:p>
        </w:tc>
        <w:tc>
          <w:tcPr>
            <w:tcW w:w="470" w:type="dxa"/>
            <w:vAlign w:val="center"/>
          </w:tcPr>
          <w:p>
            <w:pPr>
              <w:pStyle w:val="tablecopy"/>
              <w:jc w:val="center"/>
            </w:pPr>
            <w:r>
              <w:t xml:space="preserve">5</w:t>
            </w:r>
          </w:p>
        </w:tc>
        <w:tc>
          <w:tcPr>
            <w:tcW w:w="510" w:type="dxa"/>
            <w:vAlign w:val="center"/>
          </w:tcPr>
          <w:p>
            <w:pPr>
              <w:pStyle w:val="tablecopy"/>
              <w:jc w:val="center"/>
            </w:pPr>
            <w:r>
              <w:t xml:space="preserve">3</w:t>
            </w:r>
          </w:p>
        </w:tc>
        <w:tc>
          <w:tcPr>
            <w:tcW w:w="590" w:type="dxa"/>
            <w:vAlign w:val="center"/>
          </w:tcPr>
          <w:p>
            <w:pPr>
              <w:pStyle w:val="tablecopy"/>
              <w:jc w:val="center"/>
            </w:pPr>
            <w:r>
              <w:t xml:space="preserve">3</w:t>
            </w:r>
          </w:p>
        </w:tc>
        <w:tc>
          <w:tcPr>
            <w:tcW w:w="500" w:type="dxa"/>
            <w:vAlign w:val="center"/>
          </w:tcPr>
          <w:p>
            <w:pPr>
              <w:pStyle w:val="tablecopy"/>
              <w:jc w:val="center"/>
            </w:pPr>
            <w:r>
              <w:t xml:space="preserve">14</w:t>
            </w:r>
          </w:p>
        </w:tc>
      </w:tr>
      <w:tr>
        <w:trPr>
          <w:cantSplit/>
          <w:jc w:val="center"/>
        </w:trPr>
        <w:tc>
          <w:tcPr>
            <w:tcW w:w="1360" w:type="dxa"/>
            <w:vAlign w:val="center"/>
          </w:tcPr>
          <w:p>
            <w:pPr>
              <w:pStyle w:val="tablecopy"/>
              <w:jc w:val="center"/>
            </w:pPr>
            <w:r>
              <w:t xml:space="preserve">sunbird-client-services</w:t>
            </w:r>
          </w:p>
        </w:tc>
        <w:tc>
          <w:tcPr>
            <w:tcW w:w="560" w:type="dxa"/>
            <w:vAlign w:val="center"/>
          </w:tcPr>
          <w:p>
            <w:pPr>
              <w:pStyle w:val="tablecopy"/>
              <w:jc w:val="center"/>
            </w:pPr>
            <w:r>
              <w:t xml:space="preserve">TS</w:t>
            </w:r>
          </w:p>
        </w:tc>
        <w:tc>
          <w:tcPr>
            <w:tcW w:w="420" w:type="dxa"/>
            <w:vAlign w:val="center"/>
          </w:tcPr>
          <w:p>
            <w:pPr>
              <w:pStyle w:val="tablecopy"/>
              <w:jc w:val="center"/>
            </w:pPr>
            <w:r>
              <w:t xml:space="preserve">3</w:t>
            </w:r>
          </w:p>
        </w:tc>
        <w:tc>
          <w:tcPr>
            <w:tcW w:w="450" w:type="dxa"/>
            <w:vAlign w:val="center"/>
          </w:tcPr>
          <w:p>
            <w:pPr>
              <w:pStyle w:val="tablecopy"/>
              <w:jc w:val="center"/>
            </w:pPr>
            <w:r>
              <w:t xml:space="preserve">0</w:t>
            </w:r>
          </w:p>
        </w:tc>
        <w:tc>
          <w:tcPr>
            <w:tcW w:w="470" w:type="dxa"/>
            <w:vAlign w:val="center"/>
          </w:tcPr>
          <w:p>
            <w:pPr>
              <w:pStyle w:val="tablecopy"/>
              <w:jc w:val="center"/>
            </w:pPr>
            <w:r>
              <w:t xml:space="preserve">0</w:t>
            </w:r>
          </w:p>
        </w:tc>
        <w:tc>
          <w:tcPr>
            <w:tcW w:w="510" w:type="dxa"/>
            <w:vAlign w:val="center"/>
          </w:tcPr>
          <w:p>
            <w:pPr>
              <w:pStyle w:val="tablecopy"/>
              <w:jc w:val="center"/>
            </w:pPr>
            <w:r>
              <w:t xml:space="preserve">0</w:t>
            </w:r>
          </w:p>
        </w:tc>
        <w:tc>
          <w:tcPr>
            <w:tcW w:w="590" w:type="dxa"/>
            <w:vAlign w:val="center"/>
          </w:tcPr>
          <w:p>
            <w:pPr>
              <w:pStyle w:val="tablecopy"/>
              <w:jc w:val="center"/>
            </w:pPr>
            <w:r>
              <w:t xml:space="preserve">3</w:t>
            </w:r>
          </w:p>
        </w:tc>
        <w:tc>
          <w:tcPr>
            <w:tcW w:w="500" w:type="dxa"/>
            <w:vAlign w:val="center"/>
          </w:tcPr>
          <w:p>
            <w:pPr>
              <w:pStyle w:val="tablecopy"/>
              <w:jc w:val="center"/>
            </w:pPr>
            <w:r>
              <w:t xml:space="preserve">6</w:t>
            </w:r>
          </w:p>
        </w:tc>
      </w:tr>
      <w:tr>
        <w:trPr>
          <w:cantSplit/>
          <w:jc w:val="center"/>
        </w:trPr>
        <w:tc>
          <w:tcPr>
            <w:tcW w:w="1360" w:type="dxa"/>
            <w:vAlign w:val="center"/>
          </w:tcPr>
          <w:p>
            <w:pPr>
              <w:pStyle w:val="tablecopy"/>
              <w:jc w:val="center"/>
            </w:pPr>
            <w:r>
              <w:t xml:space="preserve">razorpay-python</w:t>
            </w:r>
          </w:p>
        </w:tc>
        <w:tc>
          <w:tcPr>
            <w:tcW w:w="560" w:type="dxa"/>
            <w:vAlign w:val="center"/>
          </w:tcPr>
          <w:p>
            <w:pPr>
              <w:pStyle w:val="tablecopy"/>
              <w:jc w:val="center"/>
            </w:pPr>
            <w:r>
              <w:t xml:space="preserve">Py</w:t>
            </w:r>
          </w:p>
        </w:tc>
        <w:tc>
          <w:tcPr>
            <w:tcW w:w="420" w:type="dxa"/>
            <w:vAlign w:val="center"/>
          </w:tcPr>
          <w:p>
            <w:pPr>
              <w:pStyle w:val="tablecopy"/>
              <w:jc w:val="center"/>
            </w:pPr>
            <w:r>
              <w:t xml:space="preserve">3</w:t>
            </w:r>
          </w:p>
        </w:tc>
        <w:tc>
          <w:tcPr>
            <w:tcW w:w="450" w:type="dxa"/>
            <w:vAlign w:val="center"/>
          </w:tcPr>
          <w:p>
            <w:pPr>
              <w:pStyle w:val="tablecopy"/>
              <w:jc w:val="center"/>
            </w:pPr>
            <w:r>
              <w:t xml:space="preserve">0</w:t>
            </w:r>
          </w:p>
        </w:tc>
        <w:tc>
          <w:tcPr>
            <w:tcW w:w="470" w:type="dxa"/>
            <w:vAlign w:val="center"/>
          </w:tcPr>
          <w:p>
            <w:pPr>
              <w:pStyle w:val="tablecopy"/>
              <w:jc w:val="center"/>
            </w:pPr>
            <w:r>
              <w:t xml:space="preserve">1</w:t>
            </w:r>
          </w:p>
        </w:tc>
        <w:tc>
          <w:tcPr>
            <w:tcW w:w="510" w:type="dxa"/>
            <w:vAlign w:val="center"/>
          </w:tcPr>
          <w:p>
            <w:pPr>
              <w:pStyle w:val="tablecopy"/>
              <w:jc w:val="center"/>
            </w:pPr>
            <w:r>
              <w:t xml:space="preserve">0</w:t>
            </w:r>
          </w:p>
        </w:tc>
        <w:tc>
          <w:tcPr>
            <w:tcW w:w="590" w:type="dxa"/>
            <w:vAlign w:val="center"/>
          </w:tcPr>
          <w:p>
            <w:pPr>
              <w:pStyle w:val="tablecopy"/>
              <w:jc w:val="center"/>
            </w:pPr>
            <w:r>
              <w:t xml:space="preserve">5</w:t>
            </w:r>
          </w:p>
        </w:tc>
        <w:tc>
          <w:tcPr>
            <w:tcW w:w="500" w:type="dxa"/>
            <w:vAlign w:val="center"/>
          </w:tcPr>
          <w:p>
            <w:pPr>
              <w:pStyle w:val="tablecopy"/>
              <w:jc w:val="center"/>
            </w:pPr>
            <w:r>
              <w:t xml:space="preserve">9</w:t>
            </w:r>
          </w:p>
        </w:tc>
      </w:tr>
      <w:tr>
        <w:trPr>
          <w:cantSplit/>
          <w:jc w:val="center"/>
        </w:trPr>
        <w:tc>
          <w:tcPr>
            <w:tcW w:w="1360" w:type="dxa"/>
            <w:vAlign w:val="center"/>
          </w:tcPr>
          <w:p>
            <w:pPr>
              <w:pStyle w:val="tablecopy"/>
              <w:jc w:val="center"/>
            </w:pPr>
            <w:r>
              <w:t xml:space="preserve">razorpay-node</w:t>
            </w:r>
          </w:p>
        </w:tc>
        <w:tc>
          <w:tcPr>
            <w:tcW w:w="560" w:type="dxa"/>
            <w:vAlign w:val="center"/>
          </w:tcPr>
          <w:p>
            <w:pPr>
              <w:pStyle w:val="tablecopy"/>
              <w:jc w:val="center"/>
            </w:pPr>
            <w:r>
              <w:t xml:space="preserve">JS</w:t>
            </w:r>
          </w:p>
        </w:tc>
        <w:tc>
          <w:tcPr>
            <w:tcW w:w="420" w:type="dxa"/>
            <w:vAlign w:val="center"/>
          </w:tcPr>
          <w:p>
            <w:pPr>
              <w:pStyle w:val="tablecopy"/>
              <w:jc w:val="center"/>
            </w:pPr>
            <w:r>
              <w:t xml:space="preserve">3</w:t>
            </w:r>
          </w:p>
        </w:tc>
        <w:tc>
          <w:tcPr>
            <w:tcW w:w="450" w:type="dxa"/>
            <w:vAlign w:val="center"/>
          </w:tcPr>
          <w:p>
            <w:pPr>
              <w:pStyle w:val="tablecopy"/>
              <w:jc w:val="center"/>
            </w:pPr>
            <w:r>
              <w:t xml:space="preserve">1</w:t>
            </w:r>
          </w:p>
        </w:tc>
        <w:tc>
          <w:tcPr>
            <w:tcW w:w="470" w:type="dxa"/>
            <w:vAlign w:val="center"/>
          </w:tcPr>
          <w:p>
            <w:pPr>
              <w:pStyle w:val="tablecopy"/>
              <w:jc w:val="center"/>
            </w:pPr>
            <w:r>
              <w:t xml:space="preserve">1</w:t>
            </w:r>
          </w:p>
        </w:tc>
        <w:tc>
          <w:tcPr>
            <w:tcW w:w="510" w:type="dxa"/>
            <w:vAlign w:val="center"/>
          </w:tcPr>
          <w:p>
            <w:pPr>
              <w:pStyle w:val="tablecopy"/>
              <w:jc w:val="center"/>
            </w:pPr>
            <w:r>
              <w:t xml:space="preserve">0</w:t>
            </w:r>
          </w:p>
        </w:tc>
        <w:tc>
          <w:tcPr>
            <w:tcW w:w="590" w:type="dxa"/>
            <w:vAlign w:val="center"/>
          </w:tcPr>
          <w:p>
            <w:pPr>
              <w:pStyle w:val="tablecopy"/>
              <w:jc w:val="center"/>
            </w:pPr>
            <w:r>
              <w:t xml:space="preserve">5</w:t>
            </w:r>
          </w:p>
        </w:tc>
        <w:tc>
          <w:tcPr>
            <w:tcW w:w="500" w:type="dxa"/>
            <w:vAlign w:val="center"/>
          </w:tcPr>
          <w:p>
            <w:pPr>
              <w:pStyle w:val="tablecopy"/>
              <w:jc w:val="center"/>
            </w:pPr>
            <w:r>
              <w:t xml:space="preserve">10</w:t>
            </w:r>
          </w:p>
        </w:tc>
      </w:tr>
      <w:tr>
        <w:trPr>
          <w:cantSplit/>
          <w:jc w:val="center"/>
        </w:trPr>
        <w:tc>
          <w:tcPr>
            <w:tcW w:w="1360" w:type="dxa"/>
            <w:vAlign w:val="center"/>
          </w:tcPr>
          <w:p>
            <w:pPr>
              <w:pStyle w:val="tablecopy"/>
              <w:jc w:val="center"/>
            </w:pPr>
            <w:r>
              <w:t xml:space="preserve">pykiteconnect</w:t>
            </w:r>
          </w:p>
        </w:tc>
        <w:tc>
          <w:tcPr>
            <w:tcW w:w="560" w:type="dxa"/>
            <w:vAlign w:val="center"/>
          </w:tcPr>
          <w:p>
            <w:pPr>
              <w:pStyle w:val="tablecopy"/>
              <w:jc w:val="center"/>
            </w:pPr>
            <w:r>
              <w:t xml:space="preserve">Py</w:t>
            </w:r>
          </w:p>
        </w:tc>
        <w:tc>
          <w:tcPr>
            <w:tcW w:w="420" w:type="dxa"/>
            <w:vAlign w:val="center"/>
          </w:tcPr>
          <w:p>
            <w:pPr>
              <w:pStyle w:val="tablecopy"/>
              <w:jc w:val="center"/>
            </w:pPr>
            <w:r>
              <w:t xml:space="preserve">0</w:t>
            </w:r>
          </w:p>
        </w:tc>
        <w:tc>
          <w:tcPr>
            <w:tcW w:w="450" w:type="dxa"/>
            <w:vAlign w:val="center"/>
          </w:tcPr>
          <w:p>
            <w:pPr>
              <w:pStyle w:val="tablecopy"/>
              <w:jc w:val="center"/>
            </w:pPr>
            <w:r>
              <w:t xml:space="preserve">0</w:t>
            </w:r>
          </w:p>
        </w:tc>
        <w:tc>
          <w:tcPr>
            <w:tcW w:w="470" w:type="dxa"/>
            <w:vAlign w:val="center"/>
          </w:tcPr>
          <w:p>
            <w:pPr>
              <w:pStyle w:val="tablecopy"/>
              <w:jc w:val="center"/>
            </w:pPr>
            <w:r>
              <w:t xml:space="preserve">0</w:t>
            </w:r>
          </w:p>
        </w:tc>
        <w:tc>
          <w:tcPr>
            <w:tcW w:w="510" w:type="dxa"/>
            <w:vAlign w:val="center"/>
          </w:tcPr>
          <w:p>
            <w:pPr>
              <w:pStyle w:val="tablecopy"/>
              <w:jc w:val="center"/>
            </w:pPr>
            <w:r>
              <w:t xml:space="preserve">0</w:t>
            </w:r>
          </w:p>
        </w:tc>
        <w:tc>
          <w:tcPr>
            <w:tcW w:w="590" w:type="dxa"/>
            <w:vAlign w:val="center"/>
          </w:tcPr>
          <w:p>
            <w:pPr>
              <w:pStyle w:val="tablecopy"/>
              <w:jc w:val="center"/>
            </w:pPr>
            <w:r>
              <w:t xml:space="preserve">0</w:t>
            </w:r>
          </w:p>
        </w:tc>
        <w:tc>
          <w:tcPr>
            <w:tcW w:w="500" w:type="dxa"/>
            <w:vAlign w:val="center"/>
          </w:tcPr>
          <w:p>
            <w:pPr>
              <w:pStyle w:val="tablecopy"/>
              <w:jc w:val="center"/>
            </w:pPr>
            <w:r>
              <w:t xml:space="preserve">0</w:t>
            </w:r>
          </w:p>
        </w:tc>
      </w:tr>
      <w:tr>
        <w:trPr>
          <w:cantSplit/>
          <w:jc w:val="center"/>
        </w:trPr>
        <w:tc>
          <w:tcPr>
            <w:tcW w:w="1360" w:type="dxa"/>
            <w:vAlign w:val="center"/>
          </w:tcPr>
          <w:p>
            <w:pPr>
              <w:pStyle w:val="tablecopy"/>
              <w:jc w:val="center"/>
            </w:pPr>
            <w:r>
              <w:t xml:space="preserve">kiteconnectjs</w:t>
            </w:r>
          </w:p>
        </w:tc>
        <w:tc>
          <w:tcPr>
            <w:tcW w:w="560" w:type="dxa"/>
            <w:vAlign w:val="center"/>
          </w:tcPr>
          <w:p>
            <w:pPr>
              <w:pStyle w:val="tablecopy"/>
              <w:jc w:val="center"/>
            </w:pPr>
            <w:r>
              <w:t xml:space="preserve">TS</w:t>
            </w:r>
          </w:p>
        </w:tc>
        <w:tc>
          <w:tcPr>
            <w:tcW w:w="420" w:type="dxa"/>
            <w:vAlign w:val="center"/>
          </w:tcPr>
          <w:p>
            <w:pPr>
              <w:pStyle w:val="tablecopy"/>
              <w:jc w:val="center"/>
            </w:pPr>
            <w:r>
              <w:t xml:space="preserve">0</w:t>
            </w:r>
          </w:p>
        </w:tc>
        <w:tc>
          <w:tcPr>
            <w:tcW w:w="450" w:type="dxa"/>
            <w:vAlign w:val="center"/>
          </w:tcPr>
          <w:p>
            <w:pPr>
              <w:pStyle w:val="tablecopy"/>
              <w:jc w:val="center"/>
            </w:pPr>
            <w:r>
              <w:t xml:space="preserve">0</w:t>
            </w:r>
          </w:p>
        </w:tc>
        <w:tc>
          <w:tcPr>
            <w:tcW w:w="470" w:type="dxa"/>
            <w:vAlign w:val="center"/>
          </w:tcPr>
          <w:p>
            <w:pPr>
              <w:pStyle w:val="tablecopy"/>
              <w:jc w:val="center"/>
            </w:pPr>
            <w:r>
              <w:t xml:space="preserve">0</w:t>
            </w:r>
          </w:p>
        </w:tc>
        <w:tc>
          <w:tcPr>
            <w:tcW w:w="510" w:type="dxa"/>
            <w:vAlign w:val="center"/>
          </w:tcPr>
          <w:p>
            <w:pPr>
              <w:pStyle w:val="tablecopy"/>
              <w:jc w:val="center"/>
            </w:pPr>
            <w:r>
              <w:t xml:space="preserve">0</w:t>
            </w:r>
          </w:p>
        </w:tc>
        <w:tc>
          <w:tcPr>
            <w:tcW w:w="590" w:type="dxa"/>
            <w:vAlign w:val="center"/>
          </w:tcPr>
          <w:p>
            <w:pPr>
              <w:pStyle w:val="tablecopy"/>
              <w:jc w:val="center"/>
            </w:pPr>
            <w:r>
              <w:t xml:space="preserve">0</w:t>
            </w:r>
          </w:p>
        </w:tc>
        <w:tc>
          <w:tcPr>
            <w:tcW w:w="500" w:type="dxa"/>
            <w:vAlign w:val="center"/>
          </w:tcPr>
          <w:p>
            <w:pPr>
              <w:pStyle w:val="tablecopy"/>
              <w:jc w:val="center"/>
            </w:pPr>
            <w:r>
              <w:t xml:space="preserve">0</w:t>
            </w:r>
          </w:p>
        </w:tc>
      </w:tr>
      <w:tr>
        <w:trPr>
          <w:cantSplit/>
          <w:jc w:val="center"/>
        </w:trPr>
        <w:tc>
          <w:tcPr>
            <w:tcW w:w="1360" w:type="dxa"/>
            <w:vAlign w:val="center"/>
          </w:tcPr>
          <w:p>
            <w:pPr>
              <w:pStyle w:val="tablecopy"/>
              <w:jc w:val="center"/>
            </w:pPr>
            <w:r>
              <w:t xml:space="preserve">Total</w:t>
            </w:r>
          </w:p>
        </w:tc>
        <w:tc>
          <w:tcPr>
            <w:tcW w:w="560" w:type="dxa"/>
            <w:vAlign w:val="center"/>
          </w:tcPr>
          <w:p>
            <w:pPr>
              <w:pStyle w:val="tablecopy"/>
              <w:jc w:val="center"/>
            </w:pPr>
          </w:p>
        </w:tc>
        <w:tc>
          <w:tcPr>
            <w:tcW w:w="420" w:type="dxa"/>
            <w:vAlign w:val="center"/>
          </w:tcPr>
          <w:p>
            <w:pPr>
              <w:pStyle w:val="tablecopy"/>
              <w:jc w:val="center"/>
            </w:pPr>
            <w:r>
              <w:t xml:space="preserve">18</w:t>
            </w:r>
          </w:p>
        </w:tc>
        <w:tc>
          <w:tcPr>
            <w:tcW w:w="450" w:type="dxa"/>
            <w:vAlign w:val="center"/>
          </w:tcPr>
          <w:p>
            <w:pPr>
              <w:pStyle w:val="tablecopy"/>
              <w:jc w:val="center"/>
            </w:pPr>
            <w:r>
              <w:t xml:space="preserve">19</w:t>
            </w:r>
          </w:p>
        </w:tc>
        <w:tc>
          <w:tcPr>
            <w:tcW w:w="470" w:type="dxa"/>
            <w:vAlign w:val="center"/>
          </w:tcPr>
          <w:p>
            <w:pPr>
              <w:pStyle w:val="tablecopy"/>
              <w:jc w:val="center"/>
            </w:pPr>
            <w:r>
              <w:t xml:space="preserve">17</w:t>
            </w:r>
          </w:p>
        </w:tc>
        <w:tc>
          <w:tcPr>
            <w:tcW w:w="510" w:type="dxa"/>
            <w:vAlign w:val="center"/>
          </w:tcPr>
          <w:p>
            <w:pPr>
              <w:pStyle w:val="tablecopy"/>
              <w:jc w:val="center"/>
            </w:pPr>
            <w:r>
              <w:t xml:space="preserve">6</w:t>
            </w:r>
          </w:p>
        </w:tc>
        <w:tc>
          <w:tcPr>
            <w:tcW w:w="590" w:type="dxa"/>
            <w:vAlign w:val="center"/>
          </w:tcPr>
          <w:p>
            <w:pPr>
              <w:pStyle w:val="tablecopy"/>
              <w:jc w:val="center"/>
            </w:pPr>
            <w:r>
              <w:t xml:space="preserve">25</w:t>
            </w:r>
          </w:p>
        </w:tc>
        <w:tc>
          <w:tcPr>
            <w:tcW w:w="500" w:type="dxa"/>
            <w:vAlign w:val="center"/>
          </w:tcPr>
          <w:p>
            <w:pPr>
              <w:pStyle w:val="tablecopy"/>
              <w:jc w:val="center"/>
            </w:pPr>
            <w:r>
              <w:t xml:space="preserve">85</w:t>
            </w:r>
          </w:p>
        </w:tc>
      </w:tr>
    </w:tbl>
    <w:p>
      <w:pPr>
        <w:pStyle w:val="tablefootnote"/>
      </w:pPr>
      <w:r>
        <w:t xml:space="preserve">Violations per rule. Gap: notice gap (S. 5, 6(1)); 8(2): third-party transmission; Logs: personal data in logs (S. 8(5)); Purp.: purpose linkage (S. 6(1)); Vague: vague purpose (R. 3(b)(ii)).</w:t>
      </w:r>
    </w:p>
    <w:p>
      <w:pPr>
        <w:pStyle w:val="tablehead"/>
        <w:keepNext/>
      </w:pPr>
      <w:r>
        <w:t xml:space="preserve">Inter-Annotator Agreement (Real-World Reference Set)</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660"/>
        <w:gridCol w:w="640"/>
        <w:gridCol w:w="900"/>
        <w:gridCol w:w="700"/>
        <w:gridCol w:w="960"/>
      </w:tblGrid>
      <w:tr>
        <w:trPr>
          <w:cantSplit/>
          <w:tblHeader/>
          <w:jc w:val="center"/>
        </w:trPr>
        <w:tc>
          <w:tcPr>
            <w:tcW w:w="1660" w:type="dxa"/>
            <w:vAlign w:val="center"/>
          </w:tcPr>
          <w:p>
            <w:pPr>
              <w:pStyle w:val="tablecolhead"/>
              <w:jc w:val="center"/>
            </w:pPr>
            <w:r>
              <w:t xml:space="preserve">Check</w:t>
            </w:r>
          </w:p>
        </w:tc>
        <w:tc>
          <w:tcPr>
            <w:tcW w:w="640" w:type="dxa"/>
            <w:vAlign w:val="center"/>
          </w:tcPr>
          <w:p>
            <w:pPr>
              <w:pStyle w:val="tablecolhead"/>
              <w:jc w:val="center"/>
            </w:pPr>
            <w:r>
              <w:t xml:space="preserve">Units</w:t>
            </w:r>
          </w:p>
        </w:tc>
        <w:tc>
          <w:tcPr>
            <w:tcW w:w="900" w:type="dxa"/>
            <w:vAlign w:val="center"/>
          </w:tcPr>
          <w:p>
            <w:pPr>
              <w:pStyle w:val="tablecolhead"/>
              <w:jc w:val="center"/>
            </w:pPr>
            <w:r>
              <w:t xml:space="preserve">Observed agr.</w:t>
            </w:r>
          </w:p>
        </w:tc>
        <w:tc>
          <w:tcPr>
            <w:tcW w:w="700" w:type="dxa"/>
            <w:vAlign w:val="center"/>
          </w:tcPr>
          <w:p>
            <w:pPr>
              <w:pStyle w:val="tablecolhead"/>
              <w:jc w:val="center"/>
            </w:pPr>
            <w:r>
              <w:t xml:space="preserve">κ</w:t>
            </w:r>
          </w:p>
        </w:tc>
        <w:tc>
          <w:tcPr>
            <w:tcW w:w="960" w:type="dxa"/>
            <w:vAlign w:val="center"/>
          </w:tcPr>
          <w:p>
            <w:pPr>
              <w:pStyle w:val="tablecolhead"/>
              <w:jc w:val="center"/>
            </w:pPr>
            <w:r>
              <w:t xml:space="preserve">Landis–Koch</w:t>
            </w:r>
          </w:p>
        </w:tc>
      </w:tr>
      <w:tr>
        <w:trPr>
          <w:cantSplit/>
          <w:jc w:val="center"/>
        </w:trPr>
        <w:tc>
          <w:tcPr>
            <w:tcW w:w="1660" w:type="dxa"/>
            <w:vAlign w:val="center"/>
          </w:tcPr>
          <w:p>
            <w:pPr>
              <w:pStyle w:val="tablecopy"/>
              <w:jc w:val="center"/>
            </w:pPr>
            <w:r>
              <w:t xml:space="preserve">Notice gap</w:t>
            </w:r>
          </w:p>
        </w:tc>
        <w:tc>
          <w:tcPr>
            <w:tcW w:w="640" w:type="dxa"/>
            <w:vAlign w:val="center"/>
          </w:tcPr>
          <w:p>
            <w:pPr>
              <w:pStyle w:val="tablecopy"/>
              <w:jc w:val="center"/>
            </w:pPr>
            <w:r>
              <w:t xml:space="preserve">90</w:t>
            </w:r>
          </w:p>
        </w:tc>
        <w:tc>
          <w:tcPr>
            <w:tcW w:w="900" w:type="dxa"/>
            <w:vAlign w:val="center"/>
          </w:tcPr>
          <w:p>
            <w:pPr>
              <w:pStyle w:val="tablecopy"/>
              <w:jc w:val="center"/>
            </w:pPr>
            <w:r>
              <w:t xml:space="preserve">97.8%</w:t>
            </w:r>
          </w:p>
        </w:tc>
        <w:tc>
          <w:tcPr>
            <w:tcW w:w="700" w:type="dxa"/>
            <w:vAlign w:val="center"/>
          </w:tcPr>
          <w:p>
            <w:pPr>
              <w:pStyle w:val="tablecopy"/>
              <w:jc w:val="center"/>
            </w:pPr>
            <w:r>
              <w:t xml:space="preserve">0.92</w:t>
            </w:r>
          </w:p>
        </w:tc>
        <w:tc>
          <w:tcPr>
            <w:tcW w:w="960" w:type="dxa"/>
            <w:vAlign w:val="center"/>
          </w:tcPr>
          <w:p>
            <w:pPr>
              <w:pStyle w:val="tablecopy"/>
              <w:jc w:val="center"/>
            </w:pPr>
            <w:r>
              <w:t xml:space="preserve">Almost perfect</w:t>
            </w:r>
          </w:p>
        </w:tc>
      </w:tr>
      <w:tr>
        <w:trPr>
          <w:cantSplit/>
          <w:jc w:val="center"/>
        </w:trPr>
        <w:tc>
          <w:tcPr>
            <w:tcW w:w="1660" w:type="dxa"/>
            <w:vAlign w:val="center"/>
          </w:tcPr>
          <w:p>
            <w:pPr>
              <w:pStyle w:val="tablecopy"/>
              <w:jc w:val="center"/>
            </w:pPr>
            <w:r>
              <w:t xml:space="preserve">Third-party transmission</w:t>
            </w:r>
          </w:p>
        </w:tc>
        <w:tc>
          <w:tcPr>
            <w:tcW w:w="640" w:type="dxa"/>
            <w:vAlign w:val="center"/>
          </w:tcPr>
          <w:p>
            <w:pPr>
              <w:pStyle w:val="tablecopy"/>
              <w:jc w:val="center"/>
            </w:pPr>
            <w:r>
              <w:t xml:space="preserve">199</w:t>
            </w:r>
          </w:p>
        </w:tc>
        <w:tc>
          <w:tcPr>
            <w:tcW w:w="900" w:type="dxa"/>
            <w:vAlign w:val="center"/>
          </w:tcPr>
          <w:p>
            <w:pPr>
              <w:pStyle w:val="tablecopy"/>
              <w:jc w:val="center"/>
            </w:pPr>
            <w:r>
              <w:t xml:space="preserve">100%</w:t>
            </w:r>
          </w:p>
        </w:tc>
        <w:tc>
          <w:tcPr>
            <w:tcW w:w="700" w:type="dxa"/>
            <w:vAlign w:val="center"/>
          </w:tcPr>
          <w:p>
            <w:pPr>
              <w:pStyle w:val="tablecopy"/>
              <w:jc w:val="center"/>
            </w:pPr>
            <w:r>
              <w:t xml:space="preserve">1.00</w:t>
            </w:r>
          </w:p>
        </w:tc>
        <w:tc>
          <w:tcPr>
            <w:tcW w:w="960" w:type="dxa"/>
            <w:vAlign w:val="center"/>
          </w:tcPr>
          <w:p>
            <w:pPr>
              <w:pStyle w:val="tablecopy"/>
              <w:jc w:val="center"/>
            </w:pPr>
            <w:r>
              <w:t xml:space="preserve">Almost perfect</w:t>
            </w:r>
          </w:p>
        </w:tc>
      </w:tr>
      <w:tr>
        <w:trPr>
          <w:cantSplit/>
          <w:jc w:val="center"/>
        </w:trPr>
        <w:tc>
          <w:tcPr>
            <w:tcW w:w="1660" w:type="dxa"/>
            <w:vAlign w:val="center"/>
          </w:tcPr>
          <w:p>
            <w:pPr>
              <w:pStyle w:val="tablecopy"/>
              <w:jc w:val="center"/>
            </w:pPr>
            <w:r>
              <w:t xml:space="preserve">Personal data in logs</w:t>
            </w:r>
          </w:p>
        </w:tc>
        <w:tc>
          <w:tcPr>
            <w:tcW w:w="640" w:type="dxa"/>
            <w:vAlign w:val="center"/>
          </w:tcPr>
          <w:p>
            <w:pPr>
              <w:pStyle w:val="tablecopy"/>
              <w:jc w:val="center"/>
            </w:pPr>
            <w:r>
              <w:t xml:space="preserve">100</w:t>
            </w:r>
          </w:p>
        </w:tc>
        <w:tc>
          <w:tcPr>
            <w:tcW w:w="900" w:type="dxa"/>
            <w:vAlign w:val="center"/>
          </w:tcPr>
          <w:p>
            <w:pPr>
              <w:pStyle w:val="tablecopy"/>
              <w:jc w:val="center"/>
            </w:pPr>
            <w:r>
              <w:t xml:space="preserve">94.0%</w:t>
            </w:r>
          </w:p>
        </w:tc>
        <w:tc>
          <w:tcPr>
            <w:tcW w:w="700" w:type="dxa"/>
            <w:vAlign w:val="center"/>
          </w:tcPr>
          <w:p>
            <w:pPr>
              <w:pStyle w:val="tablecopy"/>
              <w:jc w:val="center"/>
            </w:pPr>
            <w:r>
              <w:t xml:space="preserve">0.79</w:t>
            </w:r>
          </w:p>
        </w:tc>
        <w:tc>
          <w:tcPr>
            <w:tcW w:w="960" w:type="dxa"/>
            <w:vAlign w:val="center"/>
          </w:tcPr>
          <w:p>
            <w:pPr>
              <w:pStyle w:val="tablecopy"/>
              <w:jc w:val="center"/>
            </w:pPr>
            <w:r>
              <w:t xml:space="preserve">Substantial</w:t>
            </w:r>
          </w:p>
        </w:tc>
      </w:tr>
      <w:tr>
        <w:trPr>
          <w:cantSplit/>
          <w:jc w:val="center"/>
        </w:trPr>
        <w:tc>
          <w:tcPr>
            <w:tcW w:w="1660" w:type="dxa"/>
            <w:vAlign w:val="center"/>
          </w:tcPr>
          <w:p>
            <w:pPr>
              <w:pStyle w:val="tablecopy"/>
              <w:jc w:val="center"/>
            </w:pPr>
            <w:r>
              <w:t xml:space="preserve">Purpose linkage</w:t>
            </w:r>
          </w:p>
        </w:tc>
        <w:tc>
          <w:tcPr>
            <w:tcW w:w="640" w:type="dxa"/>
            <w:vAlign w:val="center"/>
          </w:tcPr>
          <w:p>
            <w:pPr>
              <w:pStyle w:val="tablecopy"/>
              <w:jc w:val="center"/>
            </w:pPr>
            <w:r>
              <w:t xml:space="preserve">90</w:t>
            </w:r>
          </w:p>
        </w:tc>
        <w:tc>
          <w:tcPr>
            <w:tcW w:w="900" w:type="dxa"/>
            <w:vAlign w:val="center"/>
          </w:tcPr>
          <w:p>
            <w:pPr>
              <w:pStyle w:val="tablecopy"/>
              <w:jc w:val="center"/>
            </w:pPr>
            <w:r>
              <w:t xml:space="preserve">96.7%</w:t>
            </w:r>
          </w:p>
        </w:tc>
        <w:tc>
          <w:tcPr>
            <w:tcW w:w="700" w:type="dxa"/>
            <w:vAlign w:val="center"/>
          </w:tcPr>
          <w:p>
            <w:pPr>
              <w:pStyle w:val="tablecopy"/>
              <w:jc w:val="center"/>
            </w:pPr>
            <w:r>
              <w:t xml:space="preserve">0.90</w:t>
            </w:r>
          </w:p>
        </w:tc>
        <w:tc>
          <w:tcPr>
            <w:tcW w:w="960" w:type="dxa"/>
            <w:vAlign w:val="center"/>
          </w:tcPr>
          <w:p>
            <w:pPr>
              <w:pStyle w:val="tablecopy"/>
              <w:jc w:val="center"/>
            </w:pPr>
            <w:r>
              <w:t xml:space="preserve">Almost perfect</w:t>
            </w:r>
          </w:p>
        </w:tc>
      </w:tr>
      <w:tr>
        <w:trPr>
          <w:cantSplit/>
          <w:jc w:val="center"/>
        </w:trPr>
        <w:tc>
          <w:tcPr>
            <w:tcW w:w="1660" w:type="dxa"/>
            <w:vAlign w:val="center"/>
          </w:tcPr>
          <w:p>
            <w:pPr>
              <w:pStyle w:val="tablecopy"/>
              <w:jc w:val="center"/>
            </w:pPr>
            <w:r>
              <w:t xml:space="preserve">Vague purpose</w:t>
            </w:r>
          </w:p>
        </w:tc>
        <w:tc>
          <w:tcPr>
            <w:tcW w:w="640" w:type="dxa"/>
            <w:vAlign w:val="center"/>
          </w:tcPr>
          <w:p>
            <w:pPr>
              <w:pStyle w:val="tablecopy"/>
              <w:jc w:val="center"/>
            </w:pPr>
            <w:r>
              <w:t xml:space="preserve">90</w:t>
            </w:r>
          </w:p>
        </w:tc>
        <w:tc>
          <w:tcPr>
            <w:tcW w:w="900" w:type="dxa"/>
            <w:vAlign w:val="center"/>
          </w:tcPr>
          <w:p>
            <w:pPr>
              <w:pStyle w:val="tablecopy"/>
              <w:jc w:val="center"/>
            </w:pPr>
            <w:r>
              <w:t xml:space="preserve">95.6%</w:t>
            </w:r>
          </w:p>
        </w:tc>
        <w:tc>
          <w:tcPr>
            <w:tcW w:w="700" w:type="dxa"/>
            <w:vAlign w:val="center"/>
          </w:tcPr>
          <w:p>
            <w:pPr>
              <w:pStyle w:val="tablecopy"/>
              <w:jc w:val="center"/>
            </w:pPr>
            <w:r>
              <w:t xml:space="preserve">0.00</w:t>
            </w:r>
          </w:p>
        </w:tc>
        <w:tc>
          <w:tcPr>
            <w:tcW w:w="960" w:type="dxa"/>
            <w:vAlign w:val="center"/>
          </w:tcPr>
          <w:p>
            <w:pPr>
              <w:pStyle w:val="tablecopy"/>
              <w:jc w:val="center"/>
            </w:pPr>
            <w:r>
              <w:t xml:space="preserve">Slight</w:t>
            </w:r>
          </w:p>
        </w:tc>
      </w:tr>
      <w:tr>
        <w:trPr>
          <w:cantSplit/>
          <w:jc w:val="center"/>
        </w:trPr>
        <w:tc>
          <w:tcPr>
            <w:tcW w:w="1660" w:type="dxa"/>
            <w:vAlign w:val="center"/>
          </w:tcPr>
          <w:p>
            <w:pPr>
              <w:pStyle w:val="tablecopy"/>
              <w:jc w:val="center"/>
            </w:pPr>
            <w:r>
              <w:t xml:space="preserve">All checks</w:t>
            </w:r>
          </w:p>
        </w:tc>
        <w:tc>
          <w:tcPr>
            <w:tcW w:w="640" w:type="dxa"/>
            <w:vAlign w:val="center"/>
          </w:tcPr>
          <w:p>
            <w:pPr>
              <w:pStyle w:val="tablecopy"/>
              <w:jc w:val="center"/>
            </w:pPr>
            <w:r>
              <w:t xml:space="preserve">569</w:t>
            </w:r>
          </w:p>
        </w:tc>
        <w:tc>
          <w:tcPr>
            <w:tcW w:w="900" w:type="dxa"/>
            <w:vAlign w:val="center"/>
          </w:tcPr>
          <w:p>
            <w:pPr>
              <w:pStyle w:val="tablecopy"/>
              <w:jc w:val="center"/>
            </w:pPr>
            <w:r>
              <w:t xml:space="preserve">97.4%</w:t>
            </w:r>
          </w:p>
        </w:tc>
        <w:tc>
          <w:tcPr>
            <w:tcW w:w="700" w:type="dxa"/>
            <w:vAlign w:val="center"/>
          </w:tcPr>
          <w:p>
            <w:pPr>
              <w:pStyle w:val="tablecopy"/>
              <w:jc w:val="center"/>
            </w:pPr>
            <w:r>
              <w:t xml:space="preserve">0.86</w:t>
            </w:r>
          </w:p>
        </w:tc>
        <w:tc>
          <w:tcPr>
            <w:tcW w:w="960" w:type="dxa"/>
            <w:vAlign w:val="center"/>
          </w:tcPr>
          <w:p>
            <w:pPr>
              <w:pStyle w:val="tablecopy"/>
              <w:jc w:val="center"/>
            </w:pPr>
            <w:r>
              <w:t xml:space="preserve">Almost perfect</w:t>
            </w:r>
          </w:p>
        </w:tc>
      </w:tr>
    </w:tbl>
    <w:p>
      <w:pPr>
        <w:pStyle w:val="tablefootnote"/>
      </w:pPr>
      <w:r>
        <w:t xml:space="preserve">Units labelled by both annotators before adjudication; one uncertain label excluded.</w:t>
      </w:r>
    </w:p>
    <w:p>
      <w:pPr>
        <w:pStyle w:val="BodyText"/>
      </w:pPr>
      <w:r>
        <w:t xml:space="preserve">Against the adjudicated reference set, PrivacyPilot found 23 of the 58 violations and reported 62 false positives (Table VIII): recall 39.7% (95% CI 28.1–52.5%), precision 27.1% (18.8–37.3%), F1 32.2% and specificity 88.1%, far below its results on the synthetic set. Notice gaps were the most reliable (F1 57.1%). The false positives have four main sources. First, vague purposes (22): the check flagged sentences of long commercial policies that the annotators did not consider vague, and the clause of the Sunbird policy by which users accept its terms. Second, third-party transmission (19, none correct): the Celery and Kafka task queues of the Sunbird portal and calls whose URL cannot be resolved statically, labelled only by their HTTP client (fetch, axios), are reported as recipients. Third, test code: 10 of the 60 violations based on code have all their locations in test, mock or migration files, including the Aadhaar and health notice gaps of both Razorpay clients. Fourth, keyword matches outside a personal-data context, such as the health category in the portal’s health-check service. The misses concentrate in purpose linkage (15 of 19 missed), logging in the example programs of the Zerodha clients (6), and the transmission of identity documents to the Google Cloud Vision OCR API in smart-docs-parser (5), a recipient not in PrivacyPilot’s sink list.</w:t>
      </w:r>
    </w:p>
    <w:p>
      <w:pPr>
        <w:pStyle w:val="tablehead"/>
        <w:keepNext/>
      </w:pPr>
      <w:r>
        <w:t xml:space="preserve">PrivacyPilot Against the Human Reference Set</w:t>
      </w:r>
    </w:p>
    <w:tbl>
      <w:tblPr>
        <w:tblW w:w="486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57" w:type="dxa"/>
          <w:end w:w="57" w:type="dxa"/>
        </w:tblCellMar>
        <w:tblLook w:firstRow="0" w:lastRow="0" w:firstColumn="0" w:lastColumn="0" w:noHBand="0" w:noVBand="0"/>
      </w:tblPr>
      <w:tblGrid>
        <w:gridCol w:w="1260"/>
        <w:gridCol w:w="380"/>
        <w:gridCol w:w="380"/>
        <w:gridCol w:w="400"/>
        <w:gridCol w:w="460"/>
        <w:gridCol w:w="700"/>
        <w:gridCol w:w="620"/>
        <w:gridCol w:w="660"/>
      </w:tblGrid>
      <w:tr>
        <w:trPr>
          <w:cantSplit/>
          <w:tblHeader/>
          <w:jc w:val="center"/>
        </w:trPr>
        <w:tc>
          <w:tcPr>
            <w:tcW w:w="1260" w:type="dxa"/>
            <w:vAlign w:val="center"/>
          </w:tcPr>
          <w:p>
            <w:pPr>
              <w:pStyle w:val="tablecolhead"/>
              <w:jc w:val="center"/>
            </w:pPr>
            <w:r>
              <w:t xml:space="preserve">Check</w:t>
            </w:r>
          </w:p>
        </w:tc>
        <w:tc>
          <w:tcPr>
            <w:tcW w:w="380" w:type="dxa"/>
            <w:vAlign w:val="center"/>
          </w:tcPr>
          <w:p>
            <w:pPr>
              <w:pStyle w:val="tablecolhead"/>
              <w:jc w:val="center"/>
            </w:pPr>
            <w:r>
              <w:t xml:space="preserve">TP</w:t>
            </w:r>
          </w:p>
        </w:tc>
        <w:tc>
          <w:tcPr>
            <w:tcW w:w="380" w:type="dxa"/>
            <w:vAlign w:val="center"/>
          </w:tcPr>
          <w:p>
            <w:pPr>
              <w:pStyle w:val="tablecolhead"/>
              <w:jc w:val="center"/>
            </w:pPr>
            <w:r>
              <w:t xml:space="preserve">FN</w:t>
            </w:r>
          </w:p>
        </w:tc>
        <w:tc>
          <w:tcPr>
            <w:tcW w:w="400" w:type="dxa"/>
            <w:vAlign w:val="center"/>
          </w:tcPr>
          <w:p>
            <w:pPr>
              <w:pStyle w:val="tablecolhead"/>
              <w:jc w:val="center"/>
            </w:pPr>
            <w:r>
              <w:t xml:space="preserve">FP</w:t>
            </w:r>
          </w:p>
        </w:tc>
        <w:tc>
          <w:tcPr>
            <w:tcW w:w="460" w:type="dxa"/>
            <w:vAlign w:val="center"/>
          </w:tcPr>
          <w:p>
            <w:pPr>
              <w:pStyle w:val="tablecolhead"/>
              <w:jc w:val="center"/>
            </w:pPr>
            <w:r>
              <w:t xml:space="preserve">TN</w:t>
            </w:r>
          </w:p>
        </w:tc>
        <w:tc>
          <w:tcPr>
            <w:tcW w:w="700" w:type="dxa"/>
            <w:vAlign w:val="center"/>
          </w:tcPr>
          <w:p>
            <w:pPr>
              <w:pStyle w:val="tablecolhead"/>
              <w:jc w:val="center"/>
            </w:pPr>
            <w:r>
              <w:t xml:space="preserve">Prec.</w:t>
            </w:r>
          </w:p>
        </w:tc>
        <w:tc>
          <w:tcPr>
            <w:tcW w:w="620" w:type="dxa"/>
            <w:vAlign w:val="center"/>
          </w:tcPr>
          <w:p>
            <w:pPr>
              <w:pStyle w:val="tablecolhead"/>
              <w:jc w:val="center"/>
            </w:pPr>
            <w:r>
              <w:t xml:space="preserve">Recall</w:t>
            </w:r>
          </w:p>
        </w:tc>
        <w:tc>
          <w:tcPr>
            <w:tcW w:w="660" w:type="dxa"/>
            <w:vAlign w:val="center"/>
          </w:tcPr>
          <w:p>
            <w:pPr>
              <w:pStyle w:val="tablecolhead"/>
              <w:jc w:val="center"/>
            </w:pPr>
            <w:r>
              <w:t xml:space="preserve">F1</w:t>
            </w:r>
          </w:p>
        </w:tc>
      </w:tr>
      <w:tr>
        <w:trPr>
          <w:cantSplit/>
          <w:jc w:val="center"/>
        </w:trPr>
        <w:tc>
          <w:tcPr>
            <w:tcW w:w="1260" w:type="dxa"/>
            <w:vAlign w:val="center"/>
          </w:tcPr>
          <w:p>
            <w:pPr>
              <w:pStyle w:val="tablecopy"/>
              <w:jc w:val="center"/>
            </w:pPr>
            <w:r>
              <w:t xml:space="preserve">1. Notice gap</w:t>
            </w:r>
          </w:p>
        </w:tc>
        <w:tc>
          <w:tcPr>
            <w:tcW w:w="380" w:type="dxa"/>
            <w:vAlign w:val="center"/>
          </w:tcPr>
          <w:p>
            <w:pPr>
              <w:pStyle w:val="tablecopy"/>
              <w:jc w:val="center"/>
            </w:pPr>
            <w:r>
              <w:t xml:space="preserve">10</w:t>
            </w:r>
          </w:p>
        </w:tc>
        <w:tc>
          <w:tcPr>
            <w:tcW w:w="380" w:type="dxa"/>
            <w:vAlign w:val="center"/>
          </w:tcPr>
          <w:p>
            <w:pPr>
              <w:pStyle w:val="tablecopy"/>
              <w:jc w:val="center"/>
            </w:pPr>
            <w:r>
              <w:t xml:space="preserve">7</w:t>
            </w:r>
          </w:p>
        </w:tc>
        <w:tc>
          <w:tcPr>
            <w:tcW w:w="400" w:type="dxa"/>
            <w:vAlign w:val="center"/>
          </w:tcPr>
          <w:p>
            <w:pPr>
              <w:pStyle w:val="tablecopy"/>
              <w:jc w:val="center"/>
            </w:pPr>
            <w:r>
              <w:t xml:space="preserve">8</w:t>
            </w:r>
          </w:p>
        </w:tc>
        <w:tc>
          <w:tcPr>
            <w:tcW w:w="460" w:type="dxa"/>
            <w:vAlign w:val="center"/>
          </w:tcPr>
          <w:p>
            <w:pPr>
              <w:pStyle w:val="tablecopy"/>
              <w:jc w:val="center"/>
            </w:pPr>
            <w:r>
              <w:t xml:space="preserve">65</w:t>
            </w:r>
          </w:p>
        </w:tc>
        <w:tc>
          <w:tcPr>
            <w:tcW w:w="700" w:type="dxa"/>
            <w:vAlign w:val="center"/>
          </w:tcPr>
          <w:p>
            <w:pPr>
              <w:pStyle w:val="tablecopy"/>
              <w:jc w:val="center"/>
            </w:pPr>
            <w:r>
              <w:t xml:space="preserve">55.6%</w:t>
            </w:r>
          </w:p>
        </w:tc>
        <w:tc>
          <w:tcPr>
            <w:tcW w:w="620" w:type="dxa"/>
            <w:vAlign w:val="center"/>
          </w:tcPr>
          <w:p>
            <w:pPr>
              <w:pStyle w:val="tablecopy"/>
              <w:jc w:val="center"/>
            </w:pPr>
            <w:r>
              <w:t xml:space="preserve">58.8%</w:t>
            </w:r>
          </w:p>
        </w:tc>
        <w:tc>
          <w:tcPr>
            <w:tcW w:w="660" w:type="dxa"/>
            <w:vAlign w:val="center"/>
          </w:tcPr>
          <w:p>
            <w:pPr>
              <w:pStyle w:val="tablecopy"/>
              <w:jc w:val="center"/>
            </w:pPr>
            <w:r>
              <w:t xml:space="preserve">57.1%</w:t>
            </w:r>
          </w:p>
        </w:tc>
      </w:tr>
      <w:tr>
        <w:trPr>
          <w:cantSplit/>
          <w:jc w:val="center"/>
        </w:trPr>
        <w:tc>
          <w:tcPr>
            <w:tcW w:w="1260" w:type="dxa"/>
            <w:vAlign w:val="center"/>
          </w:tcPr>
          <w:p>
            <w:pPr>
              <w:pStyle w:val="tablecopy"/>
              <w:jc w:val="center"/>
            </w:pPr>
            <w:r>
              <w:t xml:space="preserve">2. Third-party transmission</w:t>
            </w:r>
          </w:p>
        </w:tc>
        <w:tc>
          <w:tcPr>
            <w:tcW w:w="380" w:type="dxa"/>
            <w:vAlign w:val="center"/>
          </w:tcPr>
          <w:p>
            <w:pPr>
              <w:pStyle w:val="tablecopy"/>
              <w:jc w:val="center"/>
            </w:pPr>
            <w:r>
              <w:t xml:space="preserve">0</w:t>
            </w:r>
          </w:p>
        </w:tc>
        <w:tc>
          <w:tcPr>
            <w:tcW w:w="380" w:type="dxa"/>
            <w:vAlign w:val="center"/>
          </w:tcPr>
          <w:p>
            <w:pPr>
              <w:pStyle w:val="tablecopy"/>
              <w:jc w:val="center"/>
            </w:pPr>
            <w:r>
              <w:t xml:space="preserve">6</w:t>
            </w:r>
          </w:p>
        </w:tc>
        <w:tc>
          <w:tcPr>
            <w:tcW w:w="400" w:type="dxa"/>
            <w:vAlign w:val="center"/>
          </w:tcPr>
          <w:p>
            <w:pPr>
              <w:pStyle w:val="tablecopy"/>
              <w:jc w:val="center"/>
            </w:pPr>
            <w:r>
              <w:t xml:space="preserve">19</w:t>
            </w:r>
          </w:p>
        </w:tc>
        <w:tc>
          <w:tcPr>
            <w:tcW w:w="460" w:type="dxa"/>
            <w:vAlign w:val="center"/>
          </w:tcPr>
          <w:p>
            <w:pPr>
              <w:pStyle w:val="tablecopy"/>
              <w:jc w:val="center"/>
            </w:pPr>
            <w:r>
              <w:t xml:space="preserve">194</w:t>
            </w:r>
          </w:p>
        </w:tc>
        <w:tc>
          <w:tcPr>
            <w:tcW w:w="700" w:type="dxa"/>
            <w:vAlign w:val="center"/>
          </w:tcPr>
          <w:p>
            <w:pPr>
              <w:pStyle w:val="tablecopy"/>
              <w:jc w:val="center"/>
            </w:pPr>
            <w:r>
              <w:t xml:space="preserve">0.0%</w:t>
            </w:r>
          </w:p>
        </w:tc>
        <w:tc>
          <w:tcPr>
            <w:tcW w:w="620" w:type="dxa"/>
            <w:vAlign w:val="center"/>
          </w:tcPr>
          <w:p>
            <w:pPr>
              <w:pStyle w:val="tablecopy"/>
              <w:jc w:val="center"/>
            </w:pPr>
            <w:r>
              <w:t xml:space="preserve">0.0%</w:t>
            </w:r>
          </w:p>
        </w:tc>
        <w:tc>
          <w:tcPr>
            <w:tcW w:w="660" w:type="dxa"/>
            <w:vAlign w:val="center"/>
          </w:tcPr>
          <w:p>
            <w:pPr>
              <w:pStyle w:val="tablecopy"/>
              <w:jc w:val="center"/>
            </w:pPr>
            <w:r>
              <w:t xml:space="preserve">0.0%</w:t>
            </w:r>
          </w:p>
        </w:tc>
      </w:tr>
      <w:tr>
        <w:trPr>
          <w:cantSplit/>
          <w:jc w:val="center"/>
        </w:trPr>
        <w:tc>
          <w:tcPr>
            <w:tcW w:w="1260" w:type="dxa"/>
            <w:vAlign w:val="center"/>
          </w:tcPr>
          <w:p>
            <w:pPr>
              <w:pStyle w:val="tablecopy"/>
              <w:jc w:val="center"/>
            </w:pPr>
            <w:r>
              <w:t xml:space="preserve">Personal data in logs</w:t>
            </w:r>
          </w:p>
        </w:tc>
        <w:tc>
          <w:tcPr>
            <w:tcW w:w="380" w:type="dxa"/>
            <w:vAlign w:val="center"/>
          </w:tcPr>
          <w:p>
            <w:pPr>
              <w:pStyle w:val="tablecopy"/>
              <w:jc w:val="center"/>
            </w:pPr>
            <w:r>
              <w:t xml:space="preserve">6</w:t>
            </w:r>
          </w:p>
        </w:tc>
        <w:tc>
          <w:tcPr>
            <w:tcW w:w="380" w:type="dxa"/>
            <w:vAlign w:val="center"/>
          </w:tcPr>
          <w:p>
            <w:pPr>
              <w:pStyle w:val="tablecopy"/>
              <w:jc w:val="center"/>
            </w:pPr>
            <w:r>
              <w:t xml:space="preserve">7</w:t>
            </w:r>
          </w:p>
        </w:tc>
        <w:tc>
          <w:tcPr>
            <w:tcW w:w="400" w:type="dxa"/>
            <w:vAlign w:val="center"/>
          </w:tcPr>
          <w:p>
            <w:pPr>
              <w:pStyle w:val="tablecopy"/>
              <w:jc w:val="center"/>
            </w:pPr>
            <w:r>
              <w:t xml:space="preserve">11</w:t>
            </w:r>
          </w:p>
        </w:tc>
        <w:tc>
          <w:tcPr>
            <w:tcW w:w="460" w:type="dxa"/>
            <w:vAlign w:val="center"/>
          </w:tcPr>
          <w:p>
            <w:pPr>
              <w:pStyle w:val="tablecopy"/>
              <w:jc w:val="center"/>
            </w:pPr>
            <w:r>
              <w:t xml:space="preserve">66</w:t>
            </w:r>
          </w:p>
        </w:tc>
        <w:tc>
          <w:tcPr>
            <w:tcW w:w="700" w:type="dxa"/>
            <w:vAlign w:val="center"/>
          </w:tcPr>
          <w:p>
            <w:pPr>
              <w:pStyle w:val="tablecopy"/>
              <w:jc w:val="center"/>
            </w:pPr>
            <w:r>
              <w:t xml:space="preserve">35.3%</w:t>
            </w:r>
          </w:p>
        </w:tc>
        <w:tc>
          <w:tcPr>
            <w:tcW w:w="620" w:type="dxa"/>
            <w:vAlign w:val="center"/>
          </w:tcPr>
          <w:p>
            <w:pPr>
              <w:pStyle w:val="tablecopy"/>
              <w:jc w:val="center"/>
            </w:pPr>
            <w:r>
              <w:t xml:space="preserve">46.2%</w:t>
            </w:r>
          </w:p>
        </w:tc>
        <w:tc>
          <w:tcPr>
            <w:tcW w:w="660" w:type="dxa"/>
            <w:vAlign w:val="center"/>
          </w:tcPr>
          <w:p>
            <w:pPr>
              <w:pStyle w:val="tablecopy"/>
              <w:jc w:val="center"/>
            </w:pPr>
            <w:r>
              <w:t xml:space="preserve">40.0%</w:t>
            </w:r>
          </w:p>
        </w:tc>
      </w:tr>
      <w:tr>
        <w:trPr>
          <w:cantSplit/>
          <w:jc w:val="center"/>
        </w:trPr>
        <w:tc>
          <w:tcPr>
            <w:tcW w:w="1260" w:type="dxa"/>
            <w:vAlign w:val="center"/>
          </w:tcPr>
          <w:p>
            <w:pPr>
              <w:pStyle w:val="tablecopy"/>
              <w:jc w:val="center"/>
            </w:pPr>
            <w:r>
              <w:t xml:space="preserve">3. Purpose linkage</w:t>
            </w:r>
          </w:p>
        </w:tc>
        <w:tc>
          <w:tcPr>
            <w:tcW w:w="380" w:type="dxa"/>
            <w:vAlign w:val="center"/>
          </w:tcPr>
          <w:p>
            <w:pPr>
              <w:pStyle w:val="tablecopy"/>
              <w:jc w:val="center"/>
            </w:pPr>
            <w:r>
              <w:t xml:space="preserve">4</w:t>
            </w:r>
          </w:p>
        </w:tc>
        <w:tc>
          <w:tcPr>
            <w:tcW w:w="380" w:type="dxa"/>
            <w:vAlign w:val="center"/>
          </w:tcPr>
          <w:p>
            <w:pPr>
              <w:pStyle w:val="tablecopy"/>
              <w:jc w:val="center"/>
            </w:pPr>
            <w:r>
              <w:t xml:space="preserve">15</w:t>
            </w:r>
          </w:p>
        </w:tc>
        <w:tc>
          <w:tcPr>
            <w:tcW w:w="400" w:type="dxa"/>
            <w:vAlign w:val="center"/>
          </w:tcPr>
          <w:p>
            <w:pPr>
              <w:pStyle w:val="tablecopy"/>
              <w:jc w:val="center"/>
            </w:pPr>
            <w:r>
              <w:t xml:space="preserve">2</w:t>
            </w:r>
          </w:p>
        </w:tc>
        <w:tc>
          <w:tcPr>
            <w:tcW w:w="460" w:type="dxa"/>
            <w:vAlign w:val="center"/>
          </w:tcPr>
          <w:p>
            <w:pPr>
              <w:pStyle w:val="tablecopy"/>
              <w:jc w:val="center"/>
            </w:pPr>
            <w:r>
              <w:t xml:space="preserve">69</w:t>
            </w:r>
          </w:p>
        </w:tc>
        <w:tc>
          <w:tcPr>
            <w:tcW w:w="700" w:type="dxa"/>
            <w:vAlign w:val="center"/>
          </w:tcPr>
          <w:p>
            <w:pPr>
              <w:pStyle w:val="tablecopy"/>
              <w:jc w:val="center"/>
            </w:pPr>
            <w:r>
              <w:t xml:space="preserve">66.7%</w:t>
            </w:r>
          </w:p>
        </w:tc>
        <w:tc>
          <w:tcPr>
            <w:tcW w:w="620" w:type="dxa"/>
            <w:vAlign w:val="center"/>
          </w:tcPr>
          <w:p>
            <w:pPr>
              <w:pStyle w:val="tablecopy"/>
              <w:jc w:val="center"/>
            </w:pPr>
            <w:r>
              <w:t xml:space="preserve">21.1%</w:t>
            </w:r>
          </w:p>
        </w:tc>
        <w:tc>
          <w:tcPr>
            <w:tcW w:w="660" w:type="dxa"/>
            <w:vAlign w:val="center"/>
          </w:tcPr>
          <w:p>
            <w:pPr>
              <w:pStyle w:val="tablecopy"/>
              <w:jc w:val="center"/>
            </w:pPr>
            <w:r>
              <w:t xml:space="preserve">32.0%</w:t>
            </w:r>
          </w:p>
        </w:tc>
      </w:tr>
      <w:tr>
        <w:trPr>
          <w:cantSplit/>
          <w:jc w:val="center"/>
        </w:trPr>
        <w:tc>
          <w:tcPr>
            <w:tcW w:w="1260" w:type="dxa"/>
            <w:vAlign w:val="center"/>
          </w:tcPr>
          <w:p>
            <w:pPr>
              <w:pStyle w:val="tablecopy"/>
              <w:jc w:val="center"/>
            </w:pPr>
            <w:r>
              <w:t xml:space="preserve">Vague purpose</w:t>
            </w:r>
          </w:p>
        </w:tc>
        <w:tc>
          <w:tcPr>
            <w:tcW w:w="380" w:type="dxa"/>
            <w:vAlign w:val="center"/>
          </w:tcPr>
          <w:p>
            <w:pPr>
              <w:pStyle w:val="tablecopy"/>
              <w:jc w:val="center"/>
            </w:pPr>
            <w:r>
              <w:t xml:space="preserve">3</w:t>
            </w:r>
          </w:p>
        </w:tc>
        <w:tc>
          <w:tcPr>
            <w:tcW w:w="380" w:type="dxa"/>
            <w:vAlign w:val="center"/>
          </w:tcPr>
          <w:p>
            <w:pPr>
              <w:pStyle w:val="tablecopy"/>
              <w:jc w:val="center"/>
            </w:pPr>
            <w:r>
              <w:t xml:space="preserve">0</w:t>
            </w:r>
          </w:p>
        </w:tc>
        <w:tc>
          <w:tcPr>
            <w:tcW w:w="400" w:type="dxa"/>
            <w:vAlign w:val="center"/>
          </w:tcPr>
          <w:p>
            <w:pPr>
              <w:pStyle w:val="tablecopy"/>
              <w:jc w:val="center"/>
            </w:pPr>
            <w:r>
              <w:t xml:space="preserve">22</w:t>
            </w:r>
          </w:p>
        </w:tc>
        <w:tc>
          <w:tcPr>
            <w:tcW w:w="460" w:type="dxa"/>
            <w:vAlign w:val="center"/>
          </w:tcPr>
          <w:p>
            <w:pPr>
              <w:pStyle w:val="tablecopy"/>
              <w:jc w:val="center"/>
            </w:pPr>
            <w:r>
              <w:t xml:space="preserve">65</w:t>
            </w:r>
          </w:p>
        </w:tc>
        <w:tc>
          <w:tcPr>
            <w:tcW w:w="700" w:type="dxa"/>
            <w:vAlign w:val="center"/>
          </w:tcPr>
          <w:p>
            <w:pPr>
              <w:pStyle w:val="tablecopy"/>
              <w:jc w:val="center"/>
            </w:pPr>
            <w:r>
              <w:t xml:space="preserve">12.0%</w:t>
            </w:r>
          </w:p>
        </w:tc>
        <w:tc>
          <w:tcPr>
            <w:tcW w:w="620" w:type="dxa"/>
            <w:vAlign w:val="center"/>
          </w:tcPr>
          <w:p>
            <w:pPr>
              <w:pStyle w:val="tablecopy"/>
              <w:jc w:val="center"/>
            </w:pPr>
            <w:r>
              <w:t xml:space="preserve">100%</w:t>
            </w:r>
          </w:p>
        </w:tc>
        <w:tc>
          <w:tcPr>
            <w:tcW w:w="660" w:type="dxa"/>
            <w:vAlign w:val="center"/>
          </w:tcPr>
          <w:p>
            <w:pPr>
              <w:pStyle w:val="tablecopy"/>
              <w:jc w:val="center"/>
            </w:pPr>
            <w:r>
              <w:t xml:space="preserve">21.4%</w:t>
            </w:r>
          </w:p>
        </w:tc>
      </w:tr>
      <w:tr>
        <w:trPr>
          <w:cantSplit/>
          <w:jc w:val="center"/>
        </w:trPr>
        <w:tc>
          <w:tcPr>
            <w:tcW w:w="1260" w:type="dxa"/>
            <w:vAlign w:val="center"/>
          </w:tcPr>
          <w:p>
            <w:pPr>
              <w:pStyle w:val="tablecopy"/>
              <w:jc w:val="center"/>
            </w:pPr>
            <w:r>
              <w:t xml:space="preserve">All</w:t>
            </w:r>
          </w:p>
        </w:tc>
        <w:tc>
          <w:tcPr>
            <w:tcW w:w="380" w:type="dxa"/>
            <w:vAlign w:val="center"/>
          </w:tcPr>
          <w:p>
            <w:pPr>
              <w:pStyle w:val="tablecopy"/>
              <w:jc w:val="center"/>
            </w:pPr>
            <w:r>
              <w:t xml:space="preserve">23</w:t>
            </w:r>
          </w:p>
        </w:tc>
        <w:tc>
          <w:tcPr>
            <w:tcW w:w="380" w:type="dxa"/>
            <w:vAlign w:val="center"/>
          </w:tcPr>
          <w:p>
            <w:pPr>
              <w:pStyle w:val="tablecopy"/>
              <w:jc w:val="center"/>
            </w:pPr>
            <w:r>
              <w:t xml:space="preserve">35</w:t>
            </w:r>
          </w:p>
        </w:tc>
        <w:tc>
          <w:tcPr>
            <w:tcW w:w="400" w:type="dxa"/>
            <w:vAlign w:val="center"/>
          </w:tcPr>
          <w:p>
            <w:pPr>
              <w:pStyle w:val="tablecopy"/>
              <w:jc w:val="center"/>
            </w:pPr>
            <w:r>
              <w:t xml:space="preserve">62</w:t>
            </w:r>
          </w:p>
        </w:tc>
        <w:tc>
          <w:tcPr>
            <w:tcW w:w="460" w:type="dxa"/>
            <w:vAlign w:val="center"/>
          </w:tcPr>
          <w:p>
            <w:pPr>
              <w:pStyle w:val="tablecopy"/>
              <w:jc w:val="center"/>
            </w:pPr>
            <w:r>
              <w:t xml:space="preserve">459</w:t>
            </w:r>
          </w:p>
        </w:tc>
        <w:tc>
          <w:tcPr>
            <w:tcW w:w="700" w:type="dxa"/>
            <w:vAlign w:val="center"/>
          </w:tcPr>
          <w:p>
            <w:pPr>
              <w:pStyle w:val="tablecopy"/>
              <w:jc w:val="center"/>
            </w:pPr>
            <w:r>
              <w:t xml:space="preserve">27.1%</w:t>
            </w:r>
          </w:p>
        </w:tc>
        <w:tc>
          <w:tcPr>
            <w:tcW w:w="620" w:type="dxa"/>
            <w:vAlign w:val="center"/>
          </w:tcPr>
          <w:p>
            <w:pPr>
              <w:pStyle w:val="tablecopy"/>
              <w:jc w:val="center"/>
            </w:pPr>
            <w:r>
              <w:t xml:space="preserve">39.7%</w:t>
            </w:r>
          </w:p>
        </w:tc>
        <w:tc>
          <w:tcPr>
            <w:tcW w:w="660" w:type="dxa"/>
            <w:vAlign w:val="center"/>
          </w:tcPr>
          <w:p>
            <w:pPr>
              <w:pStyle w:val="tablecopy"/>
              <w:jc w:val="center"/>
            </w:pPr>
            <w:r>
              <w:t xml:space="preserve">32.2%</w:t>
            </w:r>
          </w:p>
        </w:tc>
      </w:tr>
    </w:tbl>
    <w:p>
      <w:pPr>
        <w:pStyle w:val="tablefootnote"/>
      </w:pPr>
      <w:r>
        <w:t xml:space="preserve">Nine repositories, 560 units, 58 violations. Specificity 88.1%. 95% Wilson CIs: precision 18.8–37.3%, recall 28.1–52.5%.</w:t>
      </w:r>
    </w:p>
    <w:p>
      <w:pPr>
        <w:pStyle w:val="Heading1"/>
      </w:pPr>
      <w:r>
        <w:t xml:space="preserve">Discussion and Limitations</w:t>
      </w:r>
    </w:p>
    <w:p>
      <w:pPr>
        <w:pStyle w:val="BodyText"/>
      </w:pPr>
      <w:r>
        <w:t xml:space="preserve">PrivacyPilot reports likely non-compliance from technical evidence; it cannot verify contracts, consent records or organisational measures, it does not assess the legitimate uses under which the Act permits processing without consent, and its output requires legal review. The rule mappings have not been validated by a legal expert.</w:t>
      </w:r>
    </w:p>
    <w:p>
      <w:pPr>
        <w:pStyle w:val="BodyText"/>
      </w:pPr>
      <w:r>
        <w:t xml:space="preserve">The code analysis is static and largely intra-file, so data flows through reflection, dynamic dispatch, configuration or other services are missed, and personal data is recognised from a fixed vocabulary that may miss unconventional field names. TypeScript is parsed with the JavaScript grammar, whose error recovery skips type annotations, which may reduce the precision of the data-flow analysis for TypeScript. Recipients and the government-host exception rely on URLs that can be resolved statically; a URL built at run time leaves the call labelled only as an HTTP request. Sinks are recognised from a curated list, so less common third parties are recognised only when called through a generic HTTP client. Module types are inferred from file paths and function names, which may not reflect the actual purpose of the code.</w:t>
      </w:r>
    </w:p>
    <w:p>
      <w:pPr>
        <w:pStyle w:val="BodyText"/>
      </w:pPr>
      <w:r>
        <w:t xml:space="preserve">The policy analysis assumes a single English document that can be fetched without running JavaScript. Pass 1 does not interpret negation, so a sentence such as “we do not collect your Aadhaar number” counts as disclosing the category, which can hide a notice gap. A single location category means that disclosing a home address also covers GPS tracking.</w:t>
      </w:r>
    </w:p>
    <w:p>
      <w:pPr>
        <w:pStyle w:val="BodyText"/>
      </w:pPr>
      <w:r>
        <w:t xml:space="preserve">Finally, the synthetic repositories are small, contain Python code only and were written by the authors, which may favour the patterns the system detects; the JavaScript/TypeScript analysis is covered by automated tests but not by this evaluation set. The real-world scans partly address this, but their reference set has limits. It covers nine repositories with 58 violations, so the per-check results rest on few positives and have wide confidence intervals. The annotators and the adjudicator are the authors, not independent experts, and a single adjudicator decided the disagreements. Logging units were merged and transmissions matched without the recipient to fit PrivacyPilot’s reporting unit, which favours the tool slightly. Finally, κ is sensitive to prevalence: with very few positive units, as for vague purposes, it can be 0 despite high observed agreement, so observed agreement is reported alongside it.</w:t>
      </w:r>
    </w:p>
    <w:p>
      <w:pPr>
        <w:pStyle w:val="Heading1"/>
      </w:pPr>
      <w:r>
        <w:t xml:space="preserve">Conclusion and Future Work</w:t>
      </w:r>
    </w:p>
    <w:p>
      <w:pPr>
        <w:pStyle w:val="BodyText"/>
      </w:pPr>
      <w:r>
        <w:t xml:space="preserve">PrivacyPilot cross-references a product’s source code and privacy policy to report likely violations of the DPDP Act, 2023 and the DPDP Rules, 2025, with the provision concerned, the evidence and a recommended fix, and it scales to repositories of any size. Future work includes negation handling in the policy parser, support for further programming languages, a dedicated TypeScript grammar, inter-file and inter-service data-flow analysis, policies in Indian languages, consent-flow verification, validation of the rule mappings with legal experts and integration into continuous integration pipelines so that compliance is checked on every change.</w:t>
      </w:r>
    </w:p>
    <w:p>
      <w:pPr>
        <w:pStyle w:val="Heading5"/>
        <w:keepNext/>
      </w:pPr>
      <w:r>
        <w:t xml:space="preserve">References</w:t>
      </w:r>
    </w:p>
    <w:p>
      <w:pPr>
        <w:pStyle w:val="references"/>
      </w:pPr>
      <w:r>
        <w:t xml:space="preserve">Ministry of Law and Justice, Government of India, “The Digital Personal Data Protection Act, 2023 (No. 22 of 2023),” </w:t>
      </w:r>
      <w:r>
        <w:rPr>
          <w:i/>
        </w:rPr>
        <w:t xml:space="preserve">The Gazette of India, Extraordinary</w:t>
      </w:r>
      <w:r>
        <w:t xml:space="preserve">, Part II, Sec. 1, Aug. 11, 2023.</w:t>
      </w:r>
    </w:p>
    <w:p>
      <w:pPr>
        <w:pStyle w:val="references"/>
      </w:pPr>
      <w:r>
        <w:t xml:space="preserve">Ministry of Electronics and Information Technology, Government of India, “Digital Personal Data Protection Rules, 2025,” </w:t>
      </w:r>
      <w:r>
        <w:rPr>
          <w:i/>
        </w:rPr>
        <w:t xml:space="preserve">The Gazette of India, Extraordinary</w:t>
      </w:r>
      <w:r>
        <w:t xml:space="preserve">, Nov. 13, 2025.</w:t>
      </w:r>
    </w:p>
    <w:p>
      <w:pPr>
        <w:pStyle w:val="references"/>
      </w:pPr>
      <w:r>
        <w:t xml:space="preserve">O. Amaral Cejas, M. I. Azeem, S. Abualhaija, and L. C. Briand, “NLP-based automated compliance checking of data processing agreements against GDPR,” </w:t>
      </w:r>
      <w:r>
        <w:rPr>
          <w:i/>
        </w:rPr>
        <w:t xml:space="preserve">IEEE Trans. Softw. Eng.</w:t>
      </w:r>
      <w:r>
        <w:t xml:space="preserve">, vol. 49, no. 9, pp. 4282–4303, Sep. 2023, doi: 10.1109/TSE.2023.3288901.</w:t>
      </w:r>
    </w:p>
    <w:p>
      <w:pPr>
        <w:pStyle w:val="references"/>
      </w:pPr>
      <w:r>
        <w:t xml:space="preserve">O. Amaral, S. Abualhaija, D. Torre, M. Sabetzadeh, and L. C. Briand, “AI-enabled automation for completeness checking of privacy policies,” </w:t>
      </w:r>
      <w:r>
        <w:rPr>
          <w:i/>
        </w:rPr>
        <w:t xml:space="preserve">IEEE Trans. Softw. Eng.</w:t>
      </w:r>
      <w:r>
        <w:t xml:space="preserve">, vol. 48, no. 11, pp. 4647–4674, Nov. 2022, doi: 10.1109/TSE.2021.3124332.</w:t>
      </w:r>
    </w:p>
    <w:p>
      <w:pPr>
        <w:pStyle w:val="references"/>
      </w:pPr>
      <w:r>
        <w:t xml:space="preserve">S. Liu, B. Zhao, R. Guo, G. Meng, F. Zhang, and M. Zhang, “Have you been properly notified? Automatic compliance analysis of privacy policy text with GDPR Article 13,” in </w:t>
      </w:r>
      <w:r>
        <w:rPr>
          <w:i/>
        </w:rPr>
        <w:t xml:space="preserve">Proc. Web Conf. (WWW)</w:t>
      </w:r>
      <w:r>
        <w:t xml:space="preserve">, 2021, pp. 2154–2164, doi: 10.1145/3442381.3450022.</w:t>
      </w:r>
    </w:p>
    <w:p>
      <w:pPr>
        <w:pStyle w:val="references"/>
      </w:pPr>
      <w:r>
        <w:t xml:space="preserve">S. Zimmeck </w:t>
      </w:r>
      <w:r>
        <w:rPr>
          <w:i/>
        </w:rPr>
        <w:t xml:space="preserve">et al.</w:t>
      </w:r>
      <w:r>
        <w:t xml:space="preserve">, “Automated analysis of privacy requirements for mobile apps,” in </w:t>
      </w:r>
      <w:r>
        <w:rPr>
          <w:i/>
        </w:rPr>
        <w:t xml:space="preserve">Proc. Network and Distributed System Security Symp. (NDSS)</w:t>
      </w:r>
      <w:r>
        <w:t xml:space="preserve">, San Diego, CA, USA, 2017.</w:t>
      </w:r>
    </w:p>
    <w:p>
      <w:pPr>
        <w:pStyle w:val="references"/>
      </w:pPr>
      <w:r>
        <w:t xml:space="preserve">S. Zimmeck </w:t>
      </w:r>
      <w:r>
        <w:rPr>
          <w:i/>
        </w:rPr>
        <w:t xml:space="preserve">et al.</w:t>
      </w:r>
      <w:r>
        <w:t xml:space="preserve">, “MAPS: Scaling privacy compliance analysis to a million apps,” </w:t>
      </w:r>
      <w:r>
        <w:rPr>
          <w:i/>
        </w:rPr>
        <w:t xml:space="preserve">Proc. Privacy Enhancing Technologies</w:t>
      </w:r>
      <w:r>
        <w:t xml:space="preserve">, vol. 2019, no. 3, pp. 66–86, 2019.</w:t>
      </w:r>
    </w:p>
    <w:p>
      <w:pPr>
        <w:pStyle w:val="references"/>
      </w:pPr>
      <w:r>
        <w:t xml:space="preserve">B. Andow </w:t>
      </w:r>
      <w:r>
        <w:rPr>
          <w:i/>
        </w:rPr>
        <w:t xml:space="preserve">et al.</w:t>
      </w:r>
      <w:r>
        <w:t xml:space="preserve">, “Actions speak louder than words: Entity-sensitive privacy policy and data flow analysis with PoliCheck,” in </w:t>
      </w:r>
      <w:r>
        <w:rPr>
          <w:i/>
        </w:rPr>
        <w:t xml:space="preserve">Proc. 29th USENIX Security Symp.</w:t>
      </w:r>
      <w:r>
        <w:t xml:space="preserve">, 2020, pp. 985–1002.</w:t>
      </w:r>
    </w:p>
    <w:p>
      <w:pPr>
        <w:pStyle w:val="references"/>
      </w:pPr>
      <w:r>
        <w:t xml:space="preserve">M. Khedkar, M. Schlichtig, N. Atakishiyev, and E. Bodden, “Between law and code: Challenges and opportunities for automating privacy assessments,” </w:t>
      </w:r>
      <w:r>
        <w:rPr>
          <w:i/>
        </w:rPr>
        <w:t xml:space="preserve">Automated Softw. Eng.</w:t>
      </w:r>
      <w:r>
        <w:t xml:space="preserve">, vol. 33, Art. no. 56, 2026, doi: 10.1007/s10515-026-00601-4.</w:t>
      </w:r>
    </w:p>
    <w:p>
      <w:pPr>
        <w:pStyle w:val="references"/>
      </w:pPr>
      <w:r>
        <w:t xml:space="preserve">S. Saurabh, “The Digital Personal Data Protection Act of 2023: Strengthening privacy in the digital age,” </w:t>
      </w:r>
      <w:r>
        <w:rPr>
          <w:i/>
        </w:rPr>
        <w:t xml:space="preserve">Int. J. Law in Changing World</w:t>
      </w:r>
      <w:r>
        <w:t xml:space="preserve">, vol. 3, no. 2, pp. 77–94, 2024, doi: 10.54934/ijlcw.v3i2.84.</w:t>
      </w:r>
    </w:p>
    <w:p>
      <w:pPr>
        <w:pStyle w:val="references"/>
      </w:pPr>
      <w:r>
        <w:t xml:space="preserve">C. K. Bareh, “Reviewing the privacy implications of India’s Digital Personal Data Protection Act (2023) from library contexts,” </w:t>
      </w:r>
      <w:r>
        <w:rPr>
          <w:i/>
        </w:rPr>
        <w:t xml:space="preserve">DESIDOC J. Library &amp; Inf. Technol.</w:t>
      </w:r>
      <w:r>
        <w:t xml:space="preserve">, vol. 44, no. 1, pp. 50–58, Jan. 2024, doi: 10.14429/djlit.44.1.18410.</w:t>
      </w:r>
    </w:p>
    <w:p>
      <w:pPr>
        <w:pStyle w:val="references"/>
      </w:pPr>
      <w:r>
        <w:t xml:space="preserve">S. Wilson </w:t>
      </w:r>
      <w:r>
        <w:rPr>
          <w:i/>
        </w:rPr>
        <w:t xml:space="preserve">et al.</w:t>
      </w:r>
      <w:r>
        <w:t xml:space="preserve">, “The creation and analysis of a website privacy policy corpus,” in </w:t>
      </w:r>
      <w:r>
        <w:rPr>
          <w:i/>
        </w:rPr>
        <w:t xml:space="preserve">Proc. 54th Annu. Meeting of the Association for Computational Linguistics (ACL)</w:t>
      </w:r>
      <w:r>
        <w:t xml:space="preserve">, Berlin, Germany, 2016, pp. 1330–1340.</w:t>
      </w:r>
    </w:p>
    <w:p>
      <w:pPr>
        <w:pStyle w:val="references"/>
      </w:pPr>
      <w:r>
        <w:t xml:space="preserve">H. Harkous, K. Fawaz, R. Lebret, F. Schaub, K. G. Shin, and K. Aberer, “Polisis: Automated analysis and presentation of privacy policies using deep learning,” in </w:t>
      </w:r>
      <w:r>
        <w:rPr>
          <w:i/>
        </w:rPr>
        <w:t xml:space="preserve">Proc. 27th USENIX Security Symp.</w:t>
      </w:r>
      <w:r>
        <w:t xml:space="preserve">, Baltimore, MD, USA, 2018, pp. 531–548.</w:t>
      </w:r>
    </w:p>
    <w:p>
      <w:pPr>
        <w:pStyle w:val="references"/>
      </w:pPr>
      <w:r>
        <w:t xml:space="preserve">Y. Chen, P. Tang, W. Qiu, and S. Li, “Using LLMs for automated privacy policy analysis: Prompt engineering, fine-tuning and explainability,” 2025, </w:t>
      </w:r>
      <w:r>
        <w:rPr>
          <w:i/>
        </w:rPr>
        <w:t xml:space="preserve">arXiv:2503.16516</w:t>
      </w:r>
      <w:r>
        <w:t xml:space="preserve">.</w:t>
      </w:r>
    </w:p>
    <w:p>
      <w:pPr>
        <w:pStyle w:val="references"/>
      </w:pPr>
      <w:r>
        <w:t xml:space="preserve">S. Mittal, S. Gupta, K. Bansal, and G. Aggarwal, “Democratizing GDPR compliance: AI-driven privacy policy interpretation,” in </w:t>
      </w:r>
      <w:r>
        <w:rPr>
          <w:i/>
        </w:rPr>
        <w:t xml:space="preserve">Proc. 16th Int. Conf. Contemporary Computing (IC3)</w:t>
      </w:r>
      <w:r>
        <w:t xml:space="preserve">, Noida, India, 2024, doi: 10.1145/3675888.3676142.</w:t>
      </w:r>
    </w:p>
    <w:p>
      <w:pPr>
        <w:pStyle w:val="references"/>
      </w:pPr>
      <w:r>
        <w:t xml:space="preserve">L. Zhu, L. Yang, C. Li, S. Hu, L. Liu, and B. Yin, “LegiLM: A fine-tuned legal language model for data compliance,” 2024, </w:t>
      </w:r>
      <w:r>
        <w:rPr>
          <w:i/>
        </w:rPr>
        <w:t xml:space="preserve">arXiv:2409.13721</w:t>
      </w:r>
      <w:r>
        <w:t xml:space="preserve">.</w:t>
      </w:r>
    </w:p>
    <w:p>
      <w:pPr>
        <w:pStyle w:val="references"/>
      </w:pPr>
      <w:r>
        <w:t xml:space="preserve">J. Chung </w:t>
      </w:r>
      <w:r>
        <w:rPr>
          <w:i/>
        </w:rPr>
        <w:t xml:space="preserve">et al.</w:t>
      </w:r>
      <w:r>
        <w:t xml:space="preserve">, “GraphCompliance: Aligning policy and context graphs for LLM-based regulatory compliance,” 2025, </w:t>
      </w:r>
      <w:r>
        <w:rPr>
          <w:i/>
        </w:rPr>
        <w:t xml:space="preserve">arXiv:2510.26309</w:t>
      </w:r>
      <w:r>
        <w:t xml:space="preserve">.</w:t>
      </w:r>
    </w:p>
    <w:p>
      <w:pPr>
        <w:pStyle w:val="references"/>
      </w:pPr>
      <w:r>
        <w:t xml:space="preserve">S. Hassani, M. Sabetzadeh, D. Amyot, and J. Liao, “Rethinking legal compliance automation: Opportunities with large language models,” in </w:t>
      </w:r>
      <w:r>
        <w:rPr>
          <w:i/>
        </w:rPr>
        <w:t xml:space="preserve">Proc. IEEE 32nd Int. Requirements Eng. Conf. (RE), RE@Next! track</w:t>
      </w:r>
      <w:r>
        <w:t xml:space="preserve">, Reykjavik, Iceland, 2024.</w:t>
      </w:r>
    </w:p>
    <w:p>
      <w:pPr>
        <w:pStyle w:val="references"/>
      </w:pPr>
      <w:r>
        <w:t xml:space="preserve">Y. Li </w:t>
      </w:r>
      <w:r>
        <w:rPr>
          <w:i/>
        </w:rPr>
        <w:t xml:space="preserve">et al.</w:t>
      </w:r>
      <w:r>
        <w:t xml:space="preserve">, “Breaking the illusion: Automated reasoning of GDPR consent violations,” in </w:t>
      </w:r>
      <w:r>
        <w:rPr>
          <w:i/>
        </w:rPr>
        <w:t xml:space="preserve">Proc. 47th IEEE Symp. Security and Privacy (S&amp;P)</w:t>
      </w:r>
      <w:r>
        <w:t xml:space="preserve">, 2026.</w:t>
      </w:r>
    </w:p>
    <w:p>
      <w:pPr>
        <w:pStyle w:val="references"/>
      </w:pPr>
      <w:r>
        <w:t xml:space="preserve">T. R. Chhetri, A. Kurteva, R. J. DeLong, R. Hilscher, K. Korte, and A. Fensel, “Data protection by design tool for automated GDPR compliance verification based on semantically modeled informed consent,” </w:t>
      </w:r>
      <w:r>
        <w:rPr>
          <w:i/>
        </w:rPr>
        <w:t xml:space="preserve">Sensors</w:t>
      </w:r>
      <w:r>
        <w:t xml:space="preserve">, vol. 22, no. 7, Art. no. 2763, 2022, doi: 10.3390/s22072763.</w:t>
      </w:r>
    </w:p>
    <w:p>
      <w:pPr>
        <w:pStyle w:val="references"/>
      </w:pPr>
      <w:r>
        <w:t xml:space="preserve">S. Arzt </w:t>
      </w:r>
      <w:r>
        <w:rPr>
          <w:i/>
        </w:rPr>
        <w:t xml:space="preserve">et al.</w:t>
      </w:r>
      <w:r>
        <w:t xml:space="preserve">, “FlowDroid: Precise context, flow, field, object-sensitive and lifecycle-aware taint analysis for Android apps,” in </w:t>
      </w:r>
      <w:r>
        <w:rPr>
          <w:i/>
        </w:rPr>
        <w:t xml:space="preserve">Proc. 35th ACM SIGPLAN Conf. Programming Language Design and Implementation (PLDI)</w:t>
      </w:r>
      <w:r>
        <w:t xml:space="preserve">, Edinburgh, U.K., 2014, pp. 259–269, doi: 10.1145/2594291.2594299.</w:t>
      </w:r>
    </w:p>
    <w:p>
      <w:pPr>
        <w:pStyle w:val="references"/>
      </w:pPr>
      <w:r>
        <w:t xml:space="preserve">H. Ran, H. Zhang, and X. Tang, “GDPR-Bench-Android: A benchmark for evaluating automated GDPR compliance detection in Android,” 2025, </w:t>
      </w:r>
      <w:r>
        <w:rPr>
          <w:i/>
        </w:rPr>
        <w:t xml:space="preserve">arXiv:2511.00619</w:t>
      </w:r>
      <w:r>
        <w:t xml:space="preserve">.</w:t>
      </w:r>
    </w:p>
    <w:p>
      <w:pPr>
        <w:pStyle w:val="references"/>
      </w:pPr>
      <w:r>
        <w:t xml:space="preserve">K. Mishra, H. Pagare, and K. Sharma, “A hybrid rule-based NLP and machine learning approach for PII detection and anonymization in financial documents,” </w:t>
      </w:r>
      <w:r>
        <w:rPr>
          <w:i/>
        </w:rPr>
        <w:t xml:space="preserve">Scientific Reports</w:t>
      </w:r>
      <w:r>
        <w:t xml:space="preserve">, vol. 15, Art. no. 22729, Jul. 2025, doi: 10.1038/s41598-025-04971-9.</w:t>
      </w:r>
    </w:p>
    <w:p>
      <w:pPr>
        <w:pStyle w:val="references"/>
      </w:pPr>
      <w:r>
        <w:t xml:space="preserve">J. Jaikumar and Mohana, “Privacy-preserving personal identifiable information (PII) label detection using machine learning,” in </w:t>
      </w:r>
      <w:r>
        <w:rPr>
          <w:i/>
        </w:rPr>
        <w:t xml:space="preserve">Proc. 14th Int. Conf. Computing Communication and Networking Technologies (ICCCNT)</w:t>
      </w:r>
      <w:r>
        <w:t xml:space="preserve">, 2023, doi: 10.1109/ICCCNT56998.2023.10307924.</w:t>
      </w:r>
    </w:p>
    <w:p>
      <w:pPr>
        <w:pStyle w:val="references"/>
      </w:pPr>
      <w:r>
        <w:t xml:space="preserve">Microsoft, “Presidio: Data protection and de-identification SDK,” GitHub repository. [Online]. Available: https://github.com/microsoft/presidio</w:t>
      </w:r>
    </w:p>
    <w:p>
      <w:pPr>
        <w:pStyle w:val="references"/>
      </w:pPr>
      <w:r>
        <w:t xml:space="preserve">OneTrust. [Online]. Available: https://www.onetrust.com/ (Accessed: Oct. 23, 2026.)</w:t>
      </w:r>
    </w:p>
    <w:p>
      <w:pPr>
        <w:pStyle w:val="references"/>
      </w:pPr>
      <w:r>
        <w:t xml:space="preserve">TrustArc. [Online]. Available: https://trustarc.com/ (Accessed: Oct. 23, 2026.)</w:t>
      </w:r>
    </w:p>
    <w:p>
      <w:pPr>
        <w:pStyle w:val="references"/>
      </w:pPr>
      <w:r>
        <w:t xml:space="preserve">Securiti. [Online]. Available: https://securiti.ai/ (Accessed: Oct. 23, 2026.)</w:t>
      </w:r>
    </w:p>
    <w:p>
      <w:pPr>
        <w:pStyle w:val="references"/>
      </w:pPr>
      <w:r>
        <w:t xml:space="preserve">BigID, “Data discovery.” [Online]. Available: https://bigid.com/data-discovery/ (Accessed: Oct. 23, 2026.)</w:t>
      </w:r>
    </w:p>
    <w:p>
      <w:pPr>
        <w:pStyle w:val="references"/>
      </w:pPr>
      <w:r>
        <w:t xml:space="preserve">Lightbeam. [Online]. Available: https://www.lightbeam.ai/ (Accessed: Oct. 23, 2026.)</w:t>
      </w:r>
    </w:p>
    <w:p>
      <w:pPr>
        <w:pStyle w:val="references"/>
      </w:pPr>
      <w:r>
        <w:t xml:space="preserve">DataGrail, “DSR management.” [Online]. Available: https://www.datagrail.io/solutions/dsr-management/ (Accessed: Oct. 23, 2026.)</w:t>
      </w:r>
    </w:p>
    <w:p>
      <w:pPr>
        <w:pStyle w:val="references"/>
      </w:pPr>
      <w:r>
        <w:t xml:space="preserve">Vanta. [Online]. Available: https://www.vanta.com/ (Accessed: Oct. 23, 2026.)</w:t>
      </w:r>
    </w:p>
    <w:p>
      <w:pPr>
        <w:pStyle w:val="references"/>
      </w:pPr>
      <w:r>
        <w:t xml:space="preserve">AuthBridge, “AuthBridge partners with Redacto to solve consent governance for India’s DPDP era,” Apr. 15, 2026. [Online]. Available: https://authbridge.com/newsroom/authbridge-partners-with-redacto-to-solve-consent-governance-for-indias-dpdp-era-2/ (Accessed: Oct. 23, 2026.)</w:t>
      </w:r>
    </w:p>
    <w:p>
      <w:pPr>
        <w:pStyle w:val="references"/>
      </w:pPr>
      <w:r>
        <w:t xml:space="preserve">Matters.AI, “DPDP compliance.” [Online]. Available: https://www.matters.ai/use-case/dpdp-compliance (Accessed: Oct. 23, 2026.)</w:t>
      </w:r>
    </w:p>
    <w:p>
      <w:pPr>
        <w:pStyle w:val="references"/>
      </w:pPr>
      <w:r>
        <w:t xml:space="preserve">Privado, “Privado open source.” [Online]. Available: https://privado.ai/open-source (Accessed: Oct. 23, 2026.)</w:t>
      </w:r>
    </w:p>
    <w:p>
      <w:pPr>
        <w:pStyle w:val="references"/>
      </w:pPr>
      <w:r>
        <w:t xml:space="preserve">J. Verhoeff, </w:t>
      </w:r>
      <w:r>
        <w:rPr>
          <w:i/>
        </w:rPr>
        <w:t xml:space="preserve">Error Detecting Decimal Codes</w:t>
      </w:r>
      <w:r>
        <w:t xml:space="preserve"> (Mathematical Centre Tracts 29). Amsterdam, The Netherlands: Mathematisch Centrum, 1969.</w:t>
      </w:r>
    </w:p>
    <w:p>
      <w:pPr>
        <w:pStyle w:val="references"/>
      </w:pPr>
      <w:r>
        <w:t xml:space="preserve">M. Honnibal, I. Montani, S. Van Landeghem, and A. Boyd, “spaCy: Industrial-strength natural language processing in Python,” Zenodo, 2020, doi: 10.5281/zenodo.1212303.</w:t>
      </w:r>
    </w:p>
    <w:p>
      <w:pPr>
        <w:pStyle w:val="references"/>
      </w:pPr>
      <w:r>
        <w:t xml:space="preserve">Tree-sitter, “Tree-sitter: An incremental parsing system for programming tools.” [Online]. Available: https://tree-sitter.github.io/tree-sitter/</w:t>
      </w:r>
    </w:p>
    <w:p>
      <w:pPr>
        <w:pStyle w:val="references"/>
      </w:pPr>
      <w:r>
        <w:t xml:space="preserve">W. Wang, F. Wei, L. Dong, H. Bao, N. Yang, and M. Zhou, “MiniLM: Deep self-attention distillation for task-agnostic compression of pre-trained transformers,” in </w:t>
      </w:r>
      <w:r>
        <w:rPr>
          <w:i/>
        </w:rPr>
        <w:t xml:space="preserve">Proc. Advances in Neural Information Processing Systems (NeurIPS)</w:t>
      </w:r>
      <w:r>
        <w:t xml:space="preserve">, vol. 33, 2020, pp. 5776–5788.</w:t>
      </w:r>
    </w:p>
    <w:p>
      <w:pPr>
        <w:pStyle w:val="references"/>
      </w:pPr>
      <w:r>
        <w:t xml:space="preserve">N. Reimers and I. Gurevych, “Sentence-BERT: Sentence embeddings using Siamese BERT-networks,” in </w:t>
      </w:r>
      <w:r>
        <w:rPr>
          <w:i/>
        </w:rPr>
        <w:t xml:space="preserve">Proc. Conf. Empirical Methods in Natural Language Processing and 9th Int. Joint Conf. Natural Language Processing (EMNLP-IJCNLP)</w:t>
      </w:r>
      <w:r>
        <w:t xml:space="preserve">, Hong Kong, China, 2019, pp. 3982–3992.</w:t>
      </w:r>
    </w:p>
    <w:p>
      <w:pPr>
        <w:pStyle w:val="references"/>
      </w:pPr>
      <w:r>
        <w:t xml:space="preserve">Celery Project, “Celery: Distributed task queue,” documentation. [Online]. Available: https://docs.celeryq.dev/</w:t>
      </w:r>
    </w:p>
    <w:p>
      <w:pPr>
        <w:pStyle w:val="references"/>
      </w:pPr>
      <w:r>
        <w:t xml:space="preserve">J. Cohen, “A coefficient of agreement for nominal scales,” </w:t>
      </w:r>
      <w:r>
        <w:rPr>
          <w:i/>
        </w:rPr>
        <w:t xml:space="preserve">Educational and Psychological Measurement</w:t>
      </w:r>
      <w:r>
        <w:t xml:space="preserve">, vol. 20, no. 1, pp. 37–46, 1960, doi: 10.1177/001316446002000104.</w:t>
      </w:r>
    </w:p>
    <w:p>
      <w:pPr>
        <w:pStyle w:val="references"/>
      </w:pPr>
      <w:r>
        <w:t xml:space="preserve">J. R. Landis and G. G. Koch, “The measurement of observer agreement for categorical data,” </w:t>
      </w:r>
      <w:r>
        <w:rPr>
          <w:i/>
        </w:rPr>
        <w:t xml:space="preserve">Biometrics</w:t>
      </w:r>
      <w:r>
        <w:t xml:space="preserve">, vol. 33, no. 1, pp. 159–174, 1977, doi: 10.2307/2529310.</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 xml:space="preserve">E. B. Wilson, “Probable inference, the law of succession, and statistical inference,” </w:t>
      </w:r>
      <w:r>
        <w:rPr>
          <w:i/>
        </w:rPr>
        <w:t xml:space="preserve">J. American Statistical Association</w:t>
      </w:r>
      <w:r>
        <w:t xml:space="preserve">, vol. 22, no. 158, pp. 209–212, 1927.</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 Id="rIdFig100" Type="http://purl.oclc.org/ooxml/officeDocument/relationships/image" Target="media/fig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PrivacyPilot: Static Analysis of Source Code and Privacy Policies for DPDP Act 2023 Compliance</dc:title>
  <dc:subject/>
  <dc:creator>IEEE</dc:creator>
  <cp:keywords/>
  <cp:lastModifiedBy>Diana Romeo</cp:lastModifiedBy>
  <cp:revision>2</cp:revision>
  <dcterms:created xsi:type="dcterms:W3CDTF">2024-07-16T13:42:00Z</dcterms:created>
  <dcterms:modified xsi:type="dcterms:W3CDTF">2024-07-16T13:42:00Z</dcterms:modified>
</cp:coreProperties>
</file>