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31213123"/>
        <w:rPr>
          <w:rFonts w:ascii="Times New Roman" w:hAnsi="Times New Roman"/>
          <w:b/>
          <w:bCs/>
        </w:rPr>
      </w:pPr>
      <w:bookmarkStart w:id="0" w:name="__RefHeading___Toc1938_1896026690"/>
      <w:bookmarkEnd w:id="0"/>
      <w:r>
        <w:rPr>
          <w:b/>
          <w:bCs/>
        </w:rPr>
        <w:t>Министерство науки и высшего образования Российской Федерации</w:t>
      </w:r>
    </w:p>
    <w:p>
      <w:pPr>
        <w:pStyle w:val="31213123"/>
        <w:rPr>
          <w:rFonts w:ascii="Times New Roman" w:hAnsi="Times New Roman"/>
          <w:b/>
          <w:bCs/>
        </w:rPr>
      </w:pPr>
      <w:bookmarkStart w:id="1" w:name="__RefHeading___Toc1940_1896026690"/>
      <w:bookmarkEnd w:id="1"/>
      <w:r>
        <w:rPr>
          <w:b/>
          <w:bCs/>
        </w:rPr>
        <w:t>федеральное государственное бюджетное образовательное учреждение</w:t>
      </w:r>
    </w:p>
    <w:p>
      <w:pPr>
        <w:pStyle w:val="31213123"/>
        <w:rPr>
          <w:rFonts w:ascii="Times New Roman" w:hAnsi="Times New Roman"/>
          <w:b/>
          <w:bCs/>
        </w:rPr>
      </w:pPr>
      <w:bookmarkStart w:id="2" w:name="__RefHeading___Toc1942_1896026690"/>
      <w:bookmarkEnd w:id="2"/>
      <w:r>
        <w:rPr>
          <w:b/>
          <w:bCs/>
        </w:rPr>
        <w:t>высшего образования</w:t>
      </w:r>
    </w:p>
    <w:p>
      <w:pPr>
        <w:pStyle w:val="31213123"/>
        <w:rPr>
          <w:rFonts w:ascii="Times New Roman" w:hAnsi="Times New Roman"/>
          <w:b/>
          <w:bCs/>
        </w:rPr>
      </w:pPr>
      <w:r>
        <w:rPr>
          <w:b/>
          <w:bCs/>
        </w:rPr>
        <w:t>«</w:t>
      </w:r>
      <w:r>
        <w:rPr>
          <w:b/>
          <w:bCs/>
          <w:caps/>
        </w:rPr>
        <w:t xml:space="preserve">Санкт-Петербургский государственный университет </w:t>
        <w:br/>
        <w:t>промышленных технологий и дизайна</w:t>
      </w:r>
      <w:r>
        <w:rPr>
          <w:b/>
          <w:bCs/>
        </w:rPr>
        <w:t>»</w:t>
      </w:r>
    </w:p>
    <w:p>
      <w:pPr>
        <w:pStyle w:val="31213123"/>
        <w:rPr>
          <w:rFonts w:ascii="Times New Roman" w:hAnsi="Times New Roman" w:eastAsia="Calibri"/>
          <w:color w:val="000000"/>
          <w:sz w:val="24"/>
          <w:szCs w:val="24"/>
        </w:rPr>
      </w:pPr>
      <w:r>
        <w:rPr>
          <w:rFonts w:eastAsia="Calibri"/>
          <w:color w:val="000000"/>
          <w:sz w:val="24"/>
          <w:szCs w:val="24"/>
        </w:rPr>
      </w:r>
    </w:p>
    <w:p>
      <w:pPr>
        <w:pStyle w:val="31213123"/>
        <w:jc w:val="both"/>
        <w:rPr>
          <w:rFonts w:ascii="Times New Roman" w:hAnsi="Times New Roman"/>
        </w:rPr>
      </w:pPr>
      <w:r>
        <w:rPr>
          <w:rFonts w:eastAsia="Calibri"/>
          <w:color w:val="000000"/>
          <w:sz w:val="24"/>
          <w:szCs w:val="24"/>
        </w:rPr>
        <w:t xml:space="preserve">Институт — </w:t>
      </w:r>
      <w:r>
        <w:rPr>
          <w:rFonts w:eastAsia="Calibri"/>
          <w:color w:val="000000"/>
          <w:sz w:val="24"/>
          <w:szCs w:val="24"/>
          <w:u w:val="single"/>
        </w:rPr>
        <w:t>Информационных технологий и автоматизации</w:t>
      </w:r>
    </w:p>
    <w:p>
      <w:pPr>
        <w:pStyle w:val="31213123"/>
        <w:jc w:val="both"/>
        <w:rPr>
          <w:rFonts w:ascii="Times New Roman" w:hAnsi="Times New Roman"/>
        </w:rPr>
      </w:pPr>
      <w:r>
        <w:rPr>
          <w:rFonts w:eastAsia="Calibri"/>
          <w:color w:val="000000"/>
          <w:sz w:val="24"/>
          <w:szCs w:val="24"/>
        </w:rPr>
        <w:t xml:space="preserve">Направление — </w:t>
      </w:r>
      <w:r>
        <w:rPr>
          <w:rFonts w:eastAsia="Calibri"/>
          <w:color w:val="000000"/>
          <w:sz w:val="24"/>
          <w:szCs w:val="24"/>
          <w:u w:val="single"/>
        </w:rPr>
        <w:t>09.03.03 — Прикладная информатика в дизайне</w:t>
      </w:r>
    </w:p>
    <w:p>
      <w:pPr>
        <w:pStyle w:val="31213123"/>
        <w:jc w:val="both"/>
        <w:rPr>
          <w:rFonts w:ascii="Times New Roman" w:hAnsi="Times New Roman"/>
        </w:rPr>
      </w:pPr>
      <w:r>
        <w:rPr>
          <w:rFonts w:eastAsia="Calibri"/>
          <w:color w:val="000000"/>
          <w:sz w:val="24"/>
          <w:szCs w:val="24"/>
        </w:rPr>
        <w:t xml:space="preserve">Кафедра — </w:t>
      </w:r>
      <w:r>
        <w:rPr>
          <w:rFonts w:eastAsia="Calibri"/>
          <w:color w:val="000000"/>
          <w:sz w:val="24"/>
          <w:szCs w:val="24"/>
          <w:u w:val="single"/>
        </w:rPr>
        <w:t>Цифровых и аддитивных технологий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  <w:softHyphen/>
        <w:softHyphen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РАЗРАБОТКА ПРОЕКТА</w:t>
      </w:r>
    </w:p>
    <w:p>
      <w:pPr>
        <w:pStyle w:val="31213123"/>
        <w:rPr>
          <w:rFonts w:ascii="Times New Roman" w:hAnsi="Times New Roman"/>
        </w:rPr>
      </w:pPr>
      <w:r>
        <w:rPr>
          <w:rFonts w:eastAsia="Calibri"/>
          <w:b/>
          <w:bCs/>
          <w:color w:val="000000"/>
          <w:sz w:val="40"/>
          <w:szCs w:val="44"/>
        </w:rPr>
        <w:t>ВЕБ-САЙТ ДЛЯ КОМПАНИИ «</w:t>
      </w:r>
      <w:r>
        <w:rPr>
          <w:rFonts w:eastAsia="Calibri"/>
          <w:b/>
          <w:bCs/>
          <w:color w:val="000000"/>
          <w:sz w:val="40"/>
          <w:szCs w:val="44"/>
          <w:lang w:val="en-US"/>
        </w:rPr>
        <w:t>NETWAVE</w:t>
      </w:r>
      <w:r>
        <w:rPr>
          <w:rFonts w:eastAsia="Calibri"/>
          <w:b/>
          <w:bCs/>
          <w:color w:val="000000"/>
          <w:sz w:val="40"/>
          <w:szCs w:val="44"/>
        </w:rPr>
        <w:t>»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ТЕХНИЧЕСКОЕ ЗАДАНИЕ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>
          <w:rFonts w:eastAsia="Calibri"/>
          <w:color w:val="000000"/>
        </w:rPr>
        <w:t>Исполнитель</w:t>
      </w:r>
      <w:r>
        <w:rPr>
          <w:rFonts w:eastAsia="Calibri"/>
          <w:b/>
          <w:color w:val="000000"/>
        </w:rPr>
        <w:t xml:space="preserve"> —</w:t>
      </w:r>
      <w:r>
        <w:rPr>
          <w:rFonts w:eastAsia="Calibri"/>
          <w:color w:val="000000"/>
        </w:rPr>
        <w:t xml:space="preserve"> студент учебной группы </w:t>
      </w:r>
      <w:bookmarkStart w:id="3" w:name="_Hlk527456270"/>
      <w:r>
        <w:rPr>
          <w:rFonts w:eastAsia="Calibri"/>
          <w:color w:val="000000"/>
          <w:u w:val="single"/>
        </w:rPr>
        <w:tab/>
        <w:t xml:space="preserve">1-МД-20     </w:t>
        <w:tab/>
        <w:tab/>
      </w:r>
    </w:p>
    <w:p>
      <w:pPr>
        <w:pStyle w:val="31213123"/>
        <w:rPr>
          <w:rFonts w:ascii="Times New Roman" w:hAnsi="Times New Roman"/>
        </w:rPr>
      </w:pPr>
      <w:r>
        <w:rPr/>
        <w:t>(группа)</w:t>
      </w:r>
      <w:bookmarkEnd w:id="3"/>
    </w:p>
    <w:p>
      <w:pPr>
        <w:pStyle w:val="31213123"/>
        <w:rPr>
          <w:rFonts w:ascii="Times New Roman" w:hAnsi="Times New Roman"/>
        </w:rPr>
      </w:pPr>
      <w:r>
        <w:rPr>
          <w:rFonts w:eastAsia="Calibri"/>
          <w:color w:val="000000"/>
          <w:sz w:val="20"/>
          <w:szCs w:val="20"/>
          <w:u w:val="single"/>
        </w:rPr>
        <w:tab/>
      </w:r>
      <w:r>
        <w:rPr>
          <w:rFonts w:eastAsia="Calibri"/>
          <w:color w:val="000000"/>
          <w:u w:val="single"/>
        </w:rPr>
        <w:t xml:space="preserve"> Хамидов Юсуф Шамсуллоевич </w:t>
        <w:tab/>
        <w:tab/>
        <w:tab/>
      </w:r>
    </w:p>
    <w:p>
      <w:pPr>
        <w:pStyle w:val="31213123"/>
        <w:rPr>
          <w:rFonts w:ascii="Times New Roman" w:hAnsi="Times New Roman"/>
        </w:rPr>
      </w:pPr>
      <w:r>
        <w:rPr/>
        <w:tab/>
        <w:t>(фамилия, имя, отчество)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jc w:val="start"/>
        <w:rPr/>
      </w:pPr>
      <w:r>
        <w:rPr>
          <w:rFonts w:eastAsia="Calibri"/>
          <w:color w:val="000000"/>
        </w:rPr>
        <w:t xml:space="preserve">Ссылка на макет в </w:t>
      </w:r>
      <w:r>
        <w:rPr>
          <w:rFonts w:eastAsia="Calibri"/>
          <w:color w:val="000000"/>
          <w:lang w:val="en-US"/>
        </w:rPr>
        <w:t>Figma</w:t>
      </w:r>
      <w:r>
        <w:rPr>
          <w:rFonts w:eastAsia="Calibri"/>
          <w:color w:val="000000"/>
        </w:rPr>
        <w:t xml:space="preserve"> / </w:t>
      </w:r>
      <w:r>
        <w:rPr>
          <w:rFonts w:eastAsia="Calibri"/>
          <w:color w:val="000000"/>
          <w:lang w:val="en-US"/>
        </w:rPr>
        <w:t>URL</w:t>
      </w:r>
      <w:r>
        <w:rPr>
          <w:rFonts w:eastAsia="Calibri"/>
          <w:color w:val="000000"/>
        </w:rPr>
        <w:t xml:space="preserve">: </w:t>
      </w:r>
      <w:r>
        <w:rPr>
          <w:rFonts w:eastAsia="Calibri"/>
          <w:color w:val="000000"/>
          <w:u w:val="single"/>
        </w:rPr>
        <w:t>https://www.figma.com/</w:t>
      </w:r>
    </w:p>
    <w:p>
      <w:pPr>
        <w:pStyle w:val="BodyText"/>
        <w:rPr/>
      </w:pPr>
      <w:r>
        <w:rPr>
          <w:rFonts w:eastAsia="Calibri" w:ascii="Times New Roman" w:hAnsi="Times New Roman"/>
          <w:color w:val="000000"/>
        </w:rPr>
        <w:t xml:space="preserve">Ссылка на итоговый сайт / </w:t>
      </w:r>
      <w:r>
        <w:rPr>
          <w:rFonts w:eastAsia="Calibri" w:ascii="Times New Roman" w:hAnsi="Times New Roman"/>
          <w:color w:val="000000"/>
          <w:lang w:val="en-US"/>
        </w:rPr>
        <w:t>URL</w:t>
      </w:r>
      <w:r>
        <w:rPr>
          <w:rFonts w:eastAsia="Calibri" w:ascii="Times New Roman" w:hAnsi="Times New Roman"/>
          <w:color w:val="000000"/>
        </w:rPr>
        <w:t xml:space="preserve">: </w:t>
      </w:r>
      <w:hyperlink r:id="rId2">
        <w:r>
          <w:rPr>
            <w:rStyle w:val="Hyperlink"/>
            <w:rFonts w:ascii="Times New Roman" w:hAnsi="Times New Roman"/>
            <w:sz w:val="22"/>
            <w:szCs w:val="22"/>
          </w:rPr>
          <w:t>www.priwete.github.io/Khamidov_Y._S._2-MD-20/</w:t>
        </w:r>
      </w:hyperlink>
    </w:p>
    <w:p>
      <w:pPr>
        <w:pStyle w:val="BodyText"/>
        <w:rPr/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  <w:t>Санкт-Петербург</w:t>
      </w:r>
    </w:p>
    <w:p>
      <w:pPr>
        <w:pStyle w:val="31213123"/>
        <w:rPr>
          <w:rFonts w:ascii="Times New Roman" w:hAnsi="Times New Roman"/>
        </w:rPr>
      </w:pPr>
      <w:r>
        <w:rPr/>
        <w:t>2026</w:t>
      </w:r>
      <w:r>
        <w:br w:type="page"/>
      </w:r>
    </w:p>
    <w:p>
      <w:pPr>
        <w:pStyle w:val="Normal"/>
        <w:spacing w:lineRule="auto" w:line="360" w:before="0" w:after="16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user1"/>
              <w:b w:val="false"/>
              <w:bCs w:val="false"/>
              <w:spacing w:val="0"/>
              <w:sz w:val="28"/>
              <w:szCs w:val="28"/>
            </w:rPr>
            <w:instrText xml:space="preserve"> TOC \f \t "111,1,123,1,222,2" \h</w:instrText>
          </w:r>
          <w:r>
            <w:rPr>
              <w:rStyle w:val="user1"/>
              <w:b w:val="false"/>
              <w:bCs w:val="false"/>
              <w:spacing w:val="0"/>
              <w:sz w:val="28"/>
              <w:szCs w:val="28"/>
            </w:rPr>
            <w:fldChar w:fldCharType="separate"/>
          </w:r>
          <w:r>
            <w:rPr>
              <w:rStyle w:val="user1"/>
              <w:b w:val="false"/>
              <w:bCs w:val="false"/>
              <w:spacing w:val="0"/>
              <w:sz w:val="28"/>
              <w:szCs w:val="28"/>
            </w:rPr>
            <w:t>ВВЕДЕНИЕ</w:t>
          </w:r>
          <w:r>
            <w:rPr>
              <w:b w:val="false"/>
              <w:bCs w:val="false"/>
              <w:spacing w:val="0"/>
              <w:sz w:val="28"/>
              <w:szCs w:val="28"/>
            </w:rPr>
            <w:tab/>
            <w:t>3</w:t>
          </w:r>
        </w:p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rPr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b w:val="false"/>
              <w:bCs w:val="false"/>
              <w:spacing w:val="0"/>
              <w:sz w:val="28"/>
              <w:szCs w:val="28"/>
            </w:rPr>
            <w:t>1 МУДБОРД</w:t>
            <w:tab/>
            <w:t>4</w:t>
          </w:r>
        </w:p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rPr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b w:val="false"/>
              <w:bCs w:val="false"/>
              <w:spacing w:val="0"/>
              <w:sz w:val="28"/>
              <w:szCs w:val="28"/>
            </w:rPr>
            <w:t>2 Общая информация о проекте</w:t>
            <w:tab/>
            <w:t>5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2.1 Цветовая палитра</w:t>
            <w:tab/>
            <w:t>10</w:t>
          </w:r>
        </w:p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rPr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b w:val="false"/>
              <w:bCs w:val="false"/>
              <w:spacing w:val="0"/>
              <w:sz w:val="28"/>
              <w:szCs w:val="28"/>
            </w:rPr>
            <w:t>3 Алгоритм действий пользователя (как воспользоваться услугой)</w:t>
            <w:tab/>
            <w:t>12</w:t>
          </w:r>
        </w:p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rPr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b w:val="false"/>
              <w:bCs w:val="false"/>
              <w:spacing w:val="0"/>
              <w:sz w:val="28"/>
              <w:szCs w:val="28"/>
            </w:rPr>
            <w:t>4 Общая структура веб-сайта</w:t>
            <w:tab/>
            <w:t>13</w:t>
          </w:r>
        </w:p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rPr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b w:val="false"/>
              <w:bCs w:val="false"/>
              <w:spacing w:val="0"/>
              <w:sz w:val="28"/>
              <w:szCs w:val="28"/>
            </w:rPr>
            <w:t>5 Описание страниц</w:t>
            <w:tab/>
            <w:t>14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5.1. Главная страница (index.html)</w:t>
            <w:tab/>
            <w:t>14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5.2. Страница «Тарифы» (tariffs.html)</w:t>
            <w:tab/>
            <w:t>17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5.3. Страница «Покрытие» (coverage.html)</w:t>
            <w:tab/>
            <w:t>19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5.4. Страница «Подключение» (connect.html)</w:t>
            <w:tab/>
            <w:t>20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5.5. Страница «Подтверждение» (success.html)</w:t>
            <w:tab/>
            <w:t>22</w:t>
          </w: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fldChar w:fldCharType="end"/>
          </w:r>
        </w:p>
      </w:sdtContent>
    </w:sdt>
    <w:p>
      <w:pPr>
        <w:pStyle w:val="Normal"/>
        <w:spacing w:lineRule="auto" w:line="36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  <w:r>
        <w:br w:type="page"/>
      </w:r>
    </w:p>
    <w:p>
      <w:pPr>
        <w:pStyle w:val="111"/>
        <w:spacing w:before="0" w:after="160"/>
        <w:rPr/>
      </w:pPr>
      <w:bookmarkStart w:id="4" w:name="__RefHeading___Toc2287_1896026690"/>
      <w:bookmarkEnd w:id="4"/>
      <w:r>
        <w:rPr/>
        <w:t>ВВЕДЕНИЕ</w:t>
      </w:r>
    </w:p>
    <w:p>
      <w:pPr>
        <w:pStyle w:val="Normal"/>
        <w:spacing w:lineRule="auto" w:line="360"/>
        <w:jc w:val="both"/>
        <w:rPr>
          <w:rFonts w:ascii="Times New Roman" w:hAnsi="Times New Roman"/>
          <w:b/>
          <w:bCs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shd w:fill="auto" w:val="clear"/>
          <w:lang w:val="ru-RU"/>
        </w:rPr>
        <w:tab/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Настоящее техническое задание (ТЗ) определяет требования к разработке многостраничного адаптивного веб-сайта виртуального мобильного оператора (MVNO) «NetWave». Документ составлен на основе предоставленного мудборда, вайрфрейма, макета в Figma и исходного описания проекта.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Цель разработки: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создание современного, адаптивного, многостраничного веб-сайта, обеспечивающего пользователям возможность ознакомиться с услугами оператора, выбрать и подключить тариф, проверить зону покрытия, оформить заявку на подключение, а также получить подтверждение и информацию о компании.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Область применения: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сайт предназначен для публичного использования в сети Интернет, ориентирован на граждан РФ, преимущественно в возрасте 20—45 лет, проживающих в крупных городах и агломерациях.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Основание для разработки: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внутренняя инициатива компании NetWave, концепция бренда и маркетинговая стратегия.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Нормативная база: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ГОСТ 19.201-78 «Единая система программной документации. Техническое задание. Требования к содержанию и оформлению», ГОСТ 34.602-89, ГОСТ Р 52872-2019 (доступность веб-контента).</w:t>
      </w:r>
      <w:r>
        <w:br w:type="page"/>
      </w:r>
    </w:p>
    <w:p>
      <w:pPr>
        <w:pStyle w:val="123"/>
        <w:spacing w:before="0" w:after="160"/>
        <w:rPr/>
      </w:pPr>
      <w:bookmarkStart w:id="5" w:name="__RefHeading___Toc2289_1896026690"/>
      <w:bookmarkEnd w:id="5"/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pacing w:val="0"/>
          <w:sz w:val="28"/>
          <w:szCs w:val="28"/>
          <w:lang w:val="en-US"/>
        </w:rPr>
        <w:t xml:space="preserve">1 </w:t>
      </w:r>
      <w:r>
        <w:rPr>
          <w:b/>
          <w:bCs/>
          <w:spacing w:val="0"/>
          <w:sz w:val="28"/>
          <w:szCs w:val="28"/>
        </w:rPr>
        <w:t>МУДБОРД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203190" cy="3038475"/>
            <wp:effectExtent l="0" t="0" r="0" b="0"/>
            <wp:docPr id="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319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199380" cy="3465195"/>
            <wp:effectExtent l="0" t="0" r="0" b="0"/>
            <wp:docPr id="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380" cy="3465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>Рисунок 1 — мудборд</w:t>
      </w:r>
    </w:p>
    <w:p>
      <w:pPr>
        <w:pStyle w:val="Normal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/>
          <w:b/>
          <w:bCs/>
          <w:spacing w:val="60"/>
          <w:sz w:val="28"/>
          <w:szCs w:val="28"/>
        </w:rPr>
      </w:pPr>
      <w:r>
        <w:rPr>
          <w:rFonts w:ascii="Times New Roman" w:hAnsi="Times New Roman"/>
          <w:b/>
          <w:bCs/>
          <w:spacing w:val="60"/>
          <w:sz w:val="28"/>
          <w:szCs w:val="28"/>
        </w:rPr>
      </w:r>
      <w:r>
        <w:br w:type="page"/>
      </w:r>
    </w:p>
    <w:p>
      <w:pPr>
        <w:pStyle w:val="123"/>
        <w:spacing w:before="0" w:after="160"/>
        <w:rPr/>
      </w:pPr>
      <w:bookmarkStart w:id="6" w:name="__RefHeading___Toc4224_1896026690"/>
      <w:bookmarkEnd w:id="6"/>
      <w:r>
        <w:rPr>
          <w:lang w:val="en-US"/>
        </w:rPr>
        <w:tab/>
      </w:r>
      <w:r>
        <w:rPr>
          <w:spacing w:val="0"/>
          <w:lang w:val="en-US"/>
        </w:rPr>
        <w:t>2</w:t>
      </w:r>
      <w:r>
        <w:rPr>
          <w:spacing w:val="0"/>
        </w:rPr>
        <w:t xml:space="preserve"> Общая информация о проекте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Название компании: NetWave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Тематика компании: Виртуальный мобильный оператор (MVNO), предоставляющий услуги высокоскоростного мобильного интернета (4G/5G), бесплатные звонки по России, а также домашний интернет и цифровые сервисы для контроля расходов.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Перечень услуг: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1. Мобильная связь с безлимитным интернетом (пакетные и безлимитные тарифы).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2.  Услуга «Безлимитные соцсети» (трафик на мессенджеры и соцсети не расходует основной пакет).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3.  Домашний интернет + Wi—Fi роутер в подарок при подключении пакета.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4.  Аренда и продажа смартфонов в рассрочку 0%.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5.  Корпоративные тарифы для бизнеса (единый номер для сотрудников, аналитика расходов).</w:t>
      </w:r>
    </w:p>
    <w:p>
      <w:pPr>
        <w:pStyle w:val="Normal"/>
        <w:spacing w:lineRule="auto" w:line="360"/>
        <w:ind w:firstLine="708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>Целевая аудитория: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Социо—демографические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Возраст: 20—45 лет (ядро — 25—35 лет).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Пол: 55% мужчины / 45% женщины.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Национальность: любая, преимущественно граждане РФ.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Семейное положение: холостые / не замужем, а также состоящие в браке с детьми.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Этап семейной жизни: «активная карьера», «молодые родители», «семья с детьми—школьниками».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Размер семьи: 1—4 человека.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Образование: среднее специальное, неоконченное высшее, высшее (особенно IT, маркетинг, управление).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Религия (убеждения): не является определяющим фактором; важна светскость и цифровая грамотность.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Род занятий: IT—специалисты, удалённые сотрудники, фрилансеры, предприниматели, менеджеры среднего звена, студенты.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Уровень доходов: средний и выше среднего (от 50 000+ рублей).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Географические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Регион (область): крупные агломерации (Москва и область, Санкт—Петербург, города—миллионники, региональные столицы).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Округ (район): центральные районы, деловые кластеры, спальные районы с развитой инфраструктурой, районы у бизнес—центров и технопарков.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Город: мегаполисы и крупные города с устойчивым покрытием 4G/5G.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Плотность населения: высокая и средняя (локации с хорошей проходимостью и доступностью связи).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Климат: не влияет на выбор оператора, но в холодное время года востребован надёжный домашний интернет.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Психографические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Общественный класс: средний класс, верхний слой среднего класса, «цифровой класс».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Образ жизни: мобильный, технологичный, ориентированный на эффективность и экономию времени. Ценят прозрачность, контроль расходов и удобство цифровых сервисов.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Тип личности: рациональные, практичные, ценящие стабильность и предсказуемость. Предпочитают управлять услугами онлайн.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Интересы и увлечения: онлайн—сервисы, стриминг, видеозвонки, финансовая грамотность, технологии, смарт—устройства, удалённая работа.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Ценности и убеждения: «платить только за то, чем реально пользуюсь», важность честных тарифов без скрытых комиссий, экономия семейного бюджета, цифровая безопасность.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Поведенческие (мотивационные)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Покупательские привычки: регулярно оплачивают услуги онлайн, пользуются автоплатежами и подписками, сравнивают тарифы перед подключением. Предпочитают бесконтактную оплату и управление через приложение.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Использование технологий: уверенные пользователи (pro—sumers). Имеют смартфоны последних поколений, активно используют мессенджеры, соцсети, видеозвонки и стриминговые сервисы.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Повод для совершения покупки: заканчивающийся пакет трафика, недовольство текущим оператором, подключение домашнего интернета, объединение услуг для семьи, переход на более выгодный тариф.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Искомые выгоды: экономия денег, стабильная скорость интернета, удобный личный кабинет, возможность переноса номера, отсутствие роуминга по России.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Статус пользователя: преимущественно постоянные пользователи с одним оператором, а также «перебежчики» — те, кто сменил оператора ради лучших условий.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Интенсивность потребления: высокая — ежедневное использование мобильного интернета более 4—6 часов, активный трафик видео и мессенджеров.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Степень приверженности: средняя — лояльны к оператору, пока тот предлагает конкурентные условия. При появлении более выгодного предложения готовы рассмотреть смену.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Отношение к товару: воспринимают мобильную связь и интернет как базовую необходимость, но с высокой требовательностью к качеству и цене.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Степень готовности к восприятию товара: высокая. Аудитория хорошо знакома с рынком мобильных операторов и активно ищет оптимальное соотношение «цена — качество».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Цели и потребности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Проблемы и боли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Отсутствие прозрачности тарифов — скрытые комиссии, внезапное списание средств, сложные условия договаривания после исчерпания пакета.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Недостаток трафика в дорогих пакетах — завышенная цена при маленьком объёме гигабайт, особенно для активных пользователей.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Сложность смены оператора с сохранением номера — бюрократические задержки, необходимость личного визита в офис, потеря времени.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Плохое покрытие в спальных районах и за городом — нестабильная связь, низкая скорость мобильного интернета, обрывы звонков.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Невозможность управлять услугами семьи из одного кабинета — нужно заходить в разные аккаунты, сложно контролировать расходы детей и родителей.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Роуминг внутри России — неожиданно высокая стоимость связи при поездках по стране.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b/>
          <w:bCs/>
          <w:sz w:val="28"/>
          <w:szCs w:val="28"/>
        </w:rPr>
        <w:t>Желания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Получать честный безлимитный интернет — без скрытых ограничений и замедления скорости после использования определённого объёма трафика.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Управлять тарифом и услугами через удобный личный кабинет и мобильное приложение — менять тариф, подключать/отключать опции, видеть детализацию расходов.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Подключить всю семью с общей скидкой — объединить до 5 номеров на одном лицевом счёте с единым платёжом.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Перенести свой номер к новому оператору быстро и без потери связи — онлайн—заявка, курьерская доставка SIM—карты, активация без визита в салон.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Получать стабильную связь и высокую скорость мобильного интернета (4G/5G) по всей России — уверенный приём даже за городом, без дополнительной платы в поездках.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— Экономить семейный бюджет за счёт умного выбора тарифов — подписка на нужный объём услуг, автоплатеж, контроль трафика для каждого члена семьи.</w:t>
      </w:r>
      <w:r>
        <w:br w:type="page"/>
      </w:r>
    </w:p>
    <w:p>
      <w:pPr>
        <w:pStyle w:val="222"/>
        <w:spacing w:before="0" w:after="160"/>
        <w:rPr/>
      </w:pPr>
      <w:bookmarkStart w:id="7" w:name="__RefHeading___Toc2291_1896026690"/>
      <w:bookmarkEnd w:id="7"/>
      <w:r>
        <w:rPr>
          <w:rFonts w:ascii="Times New Roman" w:hAnsi="Times New Roman"/>
          <w:b/>
          <w:bCs/>
          <w:spacing w:val="60"/>
          <w:sz w:val="28"/>
          <w:szCs w:val="28"/>
        </w:rPr>
        <w:tab/>
        <w:t>2.</w:t>
      </w:r>
      <w:r>
        <w:rPr>
          <w:rFonts w:ascii="Times New Roman" w:hAnsi="Times New Roman"/>
          <w:b/>
          <w:bCs/>
          <w:spacing w:val="60"/>
          <w:sz w:val="28"/>
          <w:szCs w:val="28"/>
          <w:lang w:val="en-US"/>
        </w:rPr>
        <w:t>1</w:t>
      </w:r>
      <w:r>
        <w:rPr>
          <w:rFonts w:ascii="Times New Roman" w:hAnsi="Times New Roman"/>
          <w:b/>
          <w:bCs/>
          <w:spacing w:val="60"/>
          <w:sz w:val="28"/>
          <w:szCs w:val="28"/>
        </w:rPr>
        <w:t xml:space="preserve"> Цветовая палитра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Рекомендуемые цвета (на рисунке 1):</w:t>
      </w:r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6264275" cy="5053965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275" cy="505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color w:val="000000"/>
          <w:sz w:val="28"/>
          <w:szCs w:val="28"/>
        </w:rPr>
        <w:t>Рисунок 2 — Палитра желательных цветов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color w:val="000000"/>
          <w:sz w:val="28"/>
          <w:szCs w:val="28"/>
        </w:rPr>
        <w:tab/>
        <w:t>Нежелательные цвета (на рисунке 2):</w:t>
      </w:r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5058410" cy="36582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3658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sz w:val="28"/>
          <w:szCs w:val="28"/>
        </w:rPr>
        <w:t>Рисунок 3 — Палитра нежелательных цветов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/>
          <w:b/>
          <w:bCs/>
          <w:spacing w:val="60"/>
          <w:sz w:val="28"/>
          <w:szCs w:val="28"/>
        </w:rPr>
      </w:pPr>
      <w:r>
        <w:rPr>
          <w:rFonts w:ascii="Times New Roman" w:hAnsi="Times New Roman"/>
          <w:b/>
          <w:bCs/>
          <w:spacing w:val="60"/>
          <w:sz w:val="28"/>
          <w:szCs w:val="28"/>
        </w:rPr>
      </w:r>
      <w:r>
        <w:br w:type="page"/>
      </w:r>
    </w:p>
    <w:p>
      <w:pPr>
        <w:pStyle w:val="123"/>
        <w:spacing w:before="0" w:after="160"/>
        <w:rPr>
          <w:spacing w:val="0"/>
        </w:rPr>
      </w:pPr>
      <w:bookmarkStart w:id="8" w:name="__RefHeading___Toc4218_1896026690"/>
      <w:bookmarkEnd w:id="8"/>
      <w:r>
        <w:rPr>
          <w:spacing w:val="0"/>
        </w:rPr>
        <w:tab/>
        <w:t>3 Алгоритм действий пользователя (как воспользоваться услугой)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Цель пользователя: Подключить безлимитный мобильный интернет на 30 дней с переносом своего номера.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1.  Выбор тарифа: Пользователь заходит на сайт, открывает раздел «Тарифы», выбирает тариф. Сравнивает условия (скорость, лимиты, цена).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2.  Проверка покрытия: Пользователь нажимает «Покрытие», вводит свой адрес или город в форме проверки покрытия. Система показывает на карте доступное покрытие.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3.  Оформление заявки: Пользователь заполняет короткую форму (ФИО, номер телефона, e—mail), выбирает способ получения SIM—карты (курьер или самовывоз), указывает текущий номер для переноса. Нажимает «Заказать SIM—карту».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4.  Подтверждение услуги: Пользователь получает на указанный e—mail договор и QR—код для отслеживания доставки. При получении SIM—карты активирует её через SMS—код. Подтверждением услуги служит SMS: «Тариф подключён, ваш баланс — 300₽».</w:t>
      </w:r>
    </w:p>
    <w:p>
      <w:pPr>
        <w:pStyle w:val="Normal"/>
        <w:spacing w:lineRule="auto" w:line="360"/>
        <w:ind w:hanging="0" w:start="0"/>
        <w:jc w:val="both"/>
        <w:rPr>
          <w:rFonts w:ascii="Times New Roman" w:hAnsi="Times New Roman"/>
          <w:b/>
          <w:bCs/>
          <w:spacing w:val="60"/>
          <w:sz w:val="28"/>
          <w:szCs w:val="28"/>
        </w:rPr>
      </w:pPr>
      <w:r>
        <w:rPr>
          <w:rFonts w:ascii="Times New Roman" w:hAnsi="Times New Roman"/>
          <w:b/>
          <w:bCs/>
          <w:spacing w:val="60"/>
          <w:sz w:val="28"/>
          <w:szCs w:val="28"/>
        </w:rPr>
        <w:tab/>
      </w:r>
      <w:r>
        <w:br w:type="page"/>
      </w:r>
    </w:p>
    <w:p>
      <w:pPr>
        <w:pStyle w:val="123"/>
        <w:spacing w:before="0" w:after="160"/>
        <w:rPr/>
      </w:pPr>
      <w:bookmarkStart w:id="9" w:name="__RefHeading___Toc4222_1896026690"/>
      <w:bookmarkEnd w:id="9"/>
      <w:r>
        <w:rPr/>
        <w:tab/>
      </w:r>
      <w:r>
        <w:rPr>
          <w:caps/>
          <w:spacing w:val="0"/>
        </w:rPr>
        <w:t>4 Общая структура веб-сайта</w:t>
      </w:r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5940425" cy="3555365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5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sz w:val="28"/>
          <w:szCs w:val="28"/>
          <w:lang w:val="ru-RU"/>
        </w:rPr>
        <w:t>Рисунок 4 — общая структура сайта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 xml:space="preserve">Ссылка на </w:t>
      </w:r>
      <w:r>
        <w:fldChar w:fldCharType="begin"/>
      </w:r>
      <w:r>
        <w:rPr>
          <w:rStyle w:val="Hyperlink"/>
          <w:rFonts w:ascii="Times New Roman" w:hAnsi="Times New Roman"/>
          <w:sz w:val="28"/>
          <w:szCs w:val="28"/>
        </w:rPr>
        <w:instrText xml:space="preserve"> HYPERLINK "https://excalidraw.com/" \l "json=PKU6wGMfDbIQuAw22Q3ta,yMCGAjlqxuZPG9EFnjE1MQ"</w:instrText>
      </w:r>
      <w:r>
        <w:rPr>
          <w:rStyle w:val="Hyperlink"/>
          <w:rFonts w:ascii="Times New Roman" w:hAnsi="Times New Roman"/>
          <w:sz w:val="28"/>
          <w:szCs w:val="28"/>
        </w:rPr>
        <w:fldChar w:fldCharType="separate"/>
      </w:r>
      <w:r>
        <w:rPr>
          <w:rStyle w:val="Hyperlink"/>
          <w:rFonts w:ascii="Times New Roman" w:hAnsi="Times New Roman"/>
          <w:sz w:val="28"/>
          <w:szCs w:val="28"/>
        </w:rPr>
        <w:t>структуру</w:t>
      </w:r>
      <w:r>
        <w:rPr>
          <w:rStyle w:val="Hyperlink"/>
          <w:rFonts w:ascii="Times New Roman" w:hAnsi="Times New Roman"/>
          <w:sz w:val="28"/>
          <w:szCs w:val="28"/>
        </w:rPr>
        <w:fldChar w:fldCharType="end"/>
      </w:r>
      <w:r>
        <w:rPr>
          <w:rStyle w:val="Hyperlink"/>
          <w:rFonts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/>
        <w:jc w:val="both"/>
        <w:rPr>
          <w:rStyle w:val="Hyperlink"/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123"/>
        <w:spacing w:before="0" w:after="160"/>
        <w:rPr/>
      </w:pPr>
      <w:bookmarkStart w:id="10" w:name="__RefHeading___Toc4220_1896026690"/>
      <w:bookmarkEnd w:id="10"/>
      <w:r>
        <w:rPr>
          <w:sz w:val="28"/>
          <w:szCs w:val="28"/>
        </w:rPr>
        <w:br/>
        <w:tab/>
      </w:r>
      <w:r>
        <w:rPr>
          <w:b/>
          <w:bCs/>
          <w:caps/>
          <w:spacing w:val="0"/>
          <w:sz w:val="28"/>
          <w:szCs w:val="28"/>
        </w:rPr>
        <w:t>5 Описание страниц</w:t>
      </w:r>
    </w:p>
    <w:p>
      <w:pPr>
        <w:pStyle w:val="222"/>
        <w:rPr>
          <w:rFonts w:ascii="Times New Roman" w:hAnsi="Times New Roman"/>
          <w:b/>
          <w:bCs/>
          <w:sz w:val="28"/>
          <w:szCs w:val="28"/>
        </w:rPr>
      </w:pPr>
      <w:bookmarkStart w:id="11" w:name="__RefHeading___Toc4234_1896026690"/>
      <w:bookmarkEnd w:id="11"/>
      <w:r>
        <w:rPr>
          <w:rFonts w:ascii="Times New Roman" w:hAnsi="Times New Roman"/>
          <w:b/>
          <w:bCs/>
          <w:sz w:val="28"/>
          <w:szCs w:val="28"/>
        </w:rPr>
        <w:t>5.1. Главная страница (index.html)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Прямой вход по домену.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— глубокий синий (#1A2C4E). Высота автоматическая, зависит от содержимого. Элементы расположены в горизонтальном flex-контейнере, выравнивание по центру, отступы слева и справа по 75px.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Логотип (NetWave).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Графический элемент — изображение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logos.png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Расположен в левом верхнем углу. Размер 75×72px. Форма круглая (border-radius: 50%).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плавно увеличивается до 112.5×108px (transition: width 0.3s ease, height 0.3s ease). Является ссылкой на главную страницу.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Текстовый логотип «netwave».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справа от графического логотипа. Цвет белый. Размер 20px. Отступ справа 90px.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появляется лёгкое свечение: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text-shadow: 0 0 5px rgba(255, 255, 255,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Навигационное меню.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Горизонтальный список ссылок: «Главная страница», «Тарифы», «Покрытие», «Подключение». Выравнивание по центру. Отступы между элементами 110px. Цвет ссылок белый. Цвет активной страницы оранжевый (#FF6B35).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появляется лёгкое свечение: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text-shadow: 0 0 5px rgba(255, 255, 255,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 меняется прозрачность. При фокусе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появляется обводка вокруг ссылки (outline) для доступности.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Первый экран (Hero).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— изображение людей, использующих смартфоны с индикатором 5G. Высота 100px. Ширина 960px. Расположение по центру, отступы сверху и снизу по 100px. Фон блока светло-серый (#D9D9D9),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H1.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«Интернет, который всегда с тобой». Размер 32px. Расположение по центру. Отступ снизу 0.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Подзаголовок.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«Безлимит от 299₽/мес. 5G в 70 городах». Размер 16px. Расположение по центру. Отступ сверху 0.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Кнопка-призыв (CTA) «Выбрать тариф».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Расположена по центру, под подзаголовком. Цвет фона оранжевый (#FF6B35). Цвет текста белый. Размер 400×100px. Border-radius: 25px. Отступ 50px.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цвет фона меняется на светло-серый (#D9D9D9), цвет текста — на чёрный. Плавный переход (transition: background-color 0.3s ease).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обводка. Ведёт на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tariffs.html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«Почему мы?» (Article).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по центру, отступы слева и справа по 75px. Компоновка — flex-контейнер, выравнивание по центру, отступ сверху 100px. Левая часть — статья: фон светло-серый (#D9D9D9), размер 600×500px, border-radius: 25px,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Заголовок H2: «Почему мы?». Текст — описание компании (история, миссия, призыв). Отступы внутри 20px. Правая часть — баннер: размер 600×500px, border-radius: 25px, фоновое изображение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ad1.png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,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«Почему выбирают нас?» (HeroBox).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H1: «Почему выбирают нас?». Расположен по центру. Отступ снизу 100px. Контейнер с преимуществами: фоновое изображение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kartinka.png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, размер 1200×300px, border-radius: 25px,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Расположен по центру, отступы слева и справа по 75px. Внутри три текстовых блока: «Никаких скрытых комиссий», «Без роуминга по РФ», «Лучшее покрытие». Размер текста 28px. Цвет текста белый. Text-shadow: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1px 1px 5px black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Отступы между блоками 75px. Отступ снизу 100px.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«Популярно сегодня» (Main).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H1: «Популярно сегодня». Расположен по центру. Отступ снизу 100px. Контейнер с тарифами: фоновое изображение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img2.png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, размер 1200×470px, border-radius: 25px,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Расположен по центру, отступы слева и справа по 75px. Отступ снизу 100px. Внутри три карточки тарифов (ParentCard): «ПРОСТО И БЫСТРО» (30 ГБ, 200 минут, безлимит на ВК и МАКС, от 299 рублей/месяц), «ДЛЯ БОГАТЫХ» (120 ГБ, 1500 минут, безлимит на ВК, МАКС, YouTube, Кинопоиск, от 599 рублей/месяц), «СУПЕР ВЫГОДА» (10 ТБ, 1 млн. минут, безлимит на ВК, МАКС, YouTube, Плюс, от 1199 рублей/месяц).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Карточка тарифа (TradeCard).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светло-серый (#D9D9D9). Размер 300×200px.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Заголовок H2 — название тарифа. Текст — описание услуг (14px). Цена — 20px.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«Подробнее» (ChooseTarifBT).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оранжевый (#FF6B35). Цвет текста белый. Размер 300×80px. Border-radius: 25px. Отступ сверху 20px.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цвет фона меняется на светло-серый (#D9D9D9), цвет текста — на чёрный. Плавный переход (transition: background-color 0.3s ease).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обводка. Ведёт на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tariffs.html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глубокий синий (#1A2C4E). Высота автоматическая. Элементы расположены в горизонтальном flex-контейнере, выравнивание по центру, отступы слева и справа по 75px. Навигационные ссылки: «Главная страница», «Тарифы», «Покрытие», «Подключение». Цвет ссылок белый. Цвет активной страницы оранжевый (#FF6B35).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появляется лёгкое свечение: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text-shadow: 0 0 5px rgba(255, 255, 255,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контактов (Contacts).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оранжевый (#FF6B35). Размер 400×140px. Border-radius: 10px.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Внутри иконки соцсетей (VK, Telegram) и текст: «Контакты:», «+7 921 228 67 69», «usuph212@mail.ru». Иконки 27×27px, круглая форма для Telegram.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лёгкое увеличение иконок. Копирайт: «© 2026 NetWave».</w:t>
      </w:r>
    </w:p>
    <w:p>
      <w:pPr>
        <w:pStyle w:val="222"/>
        <w:rPr/>
      </w:pPr>
      <w:bookmarkStart w:id="12" w:name="__RefHeading___Toc4232_1896026690"/>
      <w:bookmarkEnd w:id="12"/>
      <w:r>
        <w:rPr>
          <w:rFonts w:ascii="Times New Roman" w:hAnsi="Times New Roman"/>
          <w:b/>
          <w:bCs/>
          <w:sz w:val="28"/>
          <w:szCs w:val="28"/>
        </w:rPr>
        <w:t>5.2. Страница «Тарифы»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tariffs.html</w:t>
      </w:r>
      <w:r>
        <w:rPr>
          <w:rFonts w:ascii="Times New Roman" w:hAnsi="Times New Roman"/>
          <w:b/>
          <w:bCs/>
          <w:sz w:val="28"/>
          <w:szCs w:val="28"/>
        </w:rPr>
        <w:t>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Из главного меню, с главной страницы (кнопка «Выбрать тариф» или «Подробнее» в карточке тарифа).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Аналогична главной странице. Активная страница — «Тарифы» (выделена оранжевым).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страницы.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«Мы подобрали несколько вариантов специально для Вас. Не торопитесь, посмотрите все». Расположен по центру, под шапкой. Размер 32px. Отступ сверху 100px.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Сетка тарифов (CardsGrid).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Компоновка — grid-сетка 3×3. Отступы: слева и справа по 280px, снизу 100px. Отступы между карточками 20px.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Карточка тарифа (TradeCard).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светло-серый (#D9D9D9). Размер 400×250px.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Внутри: логотип (36×36px, круглый), заголовок H2 — название тарифа, аватар (36×36px, круглый), текст — описание услуг (24px), кнопка «299 руб/мес» (PriceBtn).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«299 руб/мес» (PriceBtn).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оранжевый (#FF6B35). Цвет текста белый. Размер 180×60px.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цвет фона меняется на белый, цвет текста — на чёрный. Плавный переход (transition: background-color 0.3s ease).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Названия тарифов.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«ПРОСТО И БЫСТРО», «ДЛЯ БОГАТЫХ», «СУПЕР ВЫГОДА», «ДЛЯ ДОМА», «РЕБЁНКУ», «ПОДРОСТКУ», «ВСЁ ВКЛЮЧЕНО», «Геймерский», «ФРИЛАНСЕРУ».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«Дополнительно» (DopUsl).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600×500px. Фон светло-серый (#D9D9D9).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Заголовок: «Дополнительно» (32px). Внутри шесть чекбоксов (Checker): «безлимит Telegram», «Подписка Wink», «безлимит VPN», «Подписка КИОН», «безлимит ВК», «Подписка Я.Музыка».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Чекбокс (Checker).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250×120px. Фон белый.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Внутри текст (32px) и input type="checkbox".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лёгкое изменение тени.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изменение состояния чекбокса. При фокусе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«Конкурс» (Konkurs).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600×500px. Border-radius: 25px. Фоновое изображение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ad2.png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«Отзывы» (Otzyvy).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H1: «Отзывы (если вы ещё вдруг не доверяете нам)». Расположен по центру. Отступ сверху 100px. Сетка отзывов: grid-сетка 4×1. Отступы: слева и справа по 280px, снизу 100px. Отступы между отзывами 10px.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Карточка отзыва (Otzyv).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светло-серый (#D9D9D9). Размер 290×400px.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Внутри: заголовок H3 (имя, возраст, род занятий), текст отзыва (Abzac).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лёгкое увеличение тени.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Отзывы.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Иван, 32 года, фрилансер — положительный. Мария, 28 лет, фрилансер — положительный. Алексей, 40 лет, бизнесмен — положительный. Ольга, 25 лет, студент — отрицательный.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Аналогичен главной странице.</w:t>
      </w:r>
    </w:p>
    <w:p>
      <w:pPr>
        <w:pStyle w:val="222"/>
        <w:rPr/>
      </w:pPr>
      <w:bookmarkStart w:id="13" w:name="__RefHeading___Toc4230_1896026690"/>
      <w:bookmarkEnd w:id="13"/>
      <w:r>
        <w:rPr>
          <w:rFonts w:ascii="Times New Roman" w:hAnsi="Times New Roman"/>
          <w:b/>
          <w:bCs/>
          <w:sz w:val="28"/>
          <w:szCs w:val="28"/>
        </w:rPr>
        <w:t>5.3. Страница «Покрытие»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coverage</w:t>
      </w:r>
      <w:r>
        <w:rPr>
          <w:rFonts w:ascii="Times New Roman" w:hAnsi="Times New Roman"/>
          <w:b/>
          <w:bCs/>
          <w:sz w:val="28"/>
          <w:szCs w:val="28"/>
        </w:rPr>
        <w:t>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Из главного меню, с главной страницы (кнопка «Проверить» в блоке проверки покрытия).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Аналогична главной странице. Активная страница — «Покрытие» (выделена оранжевым).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страницы.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«Зона покрытия 4G/5G». Расположен по центру. Размер 32px. Отступ сверху 100px.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Поле поиска.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Расположено по центру. Ширина 800px. Высота 70px. Border-radius: 25px. Подсказка: «Введите название города, улицы, метро». Отступы сверху и снизу по 50px. При фокусе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обводка оранжевого цвета. При вводе появляются подсказки адресов.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Интерактивная карта (Яндекс.Карты).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Расположена по центру. Ширина 100% (в пределах контейнера col-sm-10). Высота 700px. Border-radius: 25px. Слои карты: слой 5G — синие зоны, слой 4G — серо-голубые зоны. Возможности: масштабирование, перемещение.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курсор меняется на «руку».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карта центрируется по выбранной точке.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с уведомлением (misc).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1000×340px. Фон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ad3.png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Расположен по центру, отступ сверху 100px, снизу 100px. Внутри: логотип (72×72px, круглый), заголовок H1 «Нет вашего города или улицы?» (белый), текст «Напишите нам, и мы расширим покрытие» (16px, белый), блок контактов (Contacts).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контактов (Contacts).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оранжевый (#FF6B35). Размер 400×140px. Border-radius: 10px.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Внутри иконки соцсетей (VK, Telegram) и текст: «Контакты:», «+7 921 228 67 69», «usuph212@mail.ru».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«Оставить заявку».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оранжевый (#FF6B35). Цвет текста белый. Размер 300×80px.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цвет фона меняется на светло-серый (#D9D9D9), цвет текста — на чёрный. Плавный переход (transition: background-color 0.3s ease).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обводка. Открывает модальное окно с формой.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Модальное окно.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Затемнённый фон (overlay). Форма с полями: «Имя», «Телефон», «Адрес». Кнопка «Отправить».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кнопка меняет цвет.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отправляет данные.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Аналогичен главной странице.</w:t>
      </w:r>
    </w:p>
    <w:p>
      <w:pPr>
        <w:pStyle w:val="222"/>
        <w:rPr/>
      </w:pPr>
      <w:bookmarkStart w:id="14" w:name="__RefHeading___Toc4228_1896026690"/>
      <w:bookmarkEnd w:id="14"/>
      <w:r>
        <w:rPr>
          <w:rFonts w:ascii="Times New Roman" w:hAnsi="Times New Roman"/>
          <w:b/>
          <w:bCs/>
          <w:sz w:val="28"/>
          <w:szCs w:val="28"/>
        </w:rPr>
        <w:t>5.4. Страница «Подключение»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connect</w:t>
      </w:r>
      <w:r>
        <w:rPr>
          <w:rFonts w:ascii="Times New Roman" w:hAnsi="Times New Roman"/>
          <w:b/>
          <w:bCs/>
          <w:sz w:val="28"/>
          <w:szCs w:val="28"/>
        </w:rPr>
        <w:t>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Кнопка «Подключить» в карточке тарифа на странице `tariffs.html`.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sz w:val="28"/>
          <w:szCs w:val="28"/>
        </w:rPr>
        <w:tab/>
        <w:t>Блоки и элементы (форма подключения):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Аналогична главной странице.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с выбранным тарифом.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«Вы подключаете: NetWave MAX 5G, 599₽/мес». Название тарифа передаётся параметром из предыдущей страницы.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Выбор услуги.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Группа радио-кнопок: «Мобильный интернет» / «Домашний интернет». По умолчанию выбран «Мобильный интернет».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Выбор даты и времени доставки.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Календарь (Datepicker) для выбора даты доставки SIM-карты курьером. Запрещены даты ранее завтрашнего дня. Выпадающий список (Select) для выбора интервала доставки: «10:00—14:00», «14:00—18:00», «18:00—22:00».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с итоговой стоимостью.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справа от формы (или под ней). Динамически пересчитывает и отображает общую стоимость: цена тарифа + стоимость SIM-карты (бесплатно).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Форма личных данных.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Поле «ФИО полностью» (тип: текст). Обязательное. Принимает только кириллицу, пробелы и дефис. Подсказка: «Иванов Иван Иванович». Поле «Дата рождения» (тип: date). Обязательное. Запрещает выбор даты, если пользователь младше 18 лет. Поле «Серия и номер паспорта» (тип: текст). Маска ввода «____ ____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» (4 цифры, пробел, 6 цифр). Обязательное. Поле «Номер телефона для связи» (тип: tel). Обязательное. Маска «+7 (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__)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-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». Автоматически подставляет +7 при фокусе. Поле «E-mail» (тип: email). Обязательное. Проверка на наличие символа «@» и точки. Чекбокс «Согласие на обработку персональных данных». Обязательный. Без его активации кнопка отправки неактивна.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«Отправить заявку на подключение».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Крупная кнопка под формой. Цвет фона оранжевый (#FF6B35). Цвет текста белый. Размер 400×100px.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цвет фона меняется на светло-серый (#D9D9D9), цвет текста — на чёрный. Плавный переход (transition: background-color 0.3s ease).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обводка. При нажатии валидирует форму, показывает спиннер загрузки, отправляет POST-запрос на сервер. При успехе перенаправляет на страницу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success.html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Аналогичен главной странице.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</w:r>
    </w:p>
    <w:p>
      <w:pPr>
        <w:pStyle w:val="222"/>
        <w:rPr/>
      </w:pPr>
      <w:bookmarkStart w:id="15" w:name="__RefHeading___Toc4226_1896026690"/>
      <w:bookmarkEnd w:id="15"/>
      <w:r>
        <w:rPr>
          <w:rFonts w:ascii="Times New Roman" w:hAnsi="Times New Roman"/>
          <w:b/>
          <w:bCs/>
          <w:sz w:val="28"/>
          <w:szCs w:val="28"/>
        </w:rPr>
        <w:t>5.5. Страница «Подтверждение»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success</w:t>
      </w:r>
      <w:r>
        <w:rPr>
          <w:rFonts w:ascii="Times New Roman" w:hAnsi="Times New Roman"/>
          <w:b/>
          <w:bCs/>
          <w:sz w:val="28"/>
          <w:szCs w:val="28"/>
        </w:rPr>
        <w:t>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Только после успешной отправки формы на странице «connect.html».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Блок с сообщением.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Крупная иконка — визуальный элемент (зелёная галочка), расположенный в центре блока, сигнализирующий об успешном завершении действия. Текст: крупное сообщение «Заявка принята!», под ним — «Ожидайте звонка курьера для подтверждения доставки». Дополнительный текст: «Договор отправлен на вашу электронную почту».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ab/>
        <w:t>Кнопка «Вернуться на главную».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Кнопка под блоком с сообщением, содержащая ссылку на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index.html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. Цвет фона оранжевый (#FF6B35). Цвет текста белый. Размер 300×80px. Border-radius: 25px. Тень: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) цвет фона меняется на светло-серый (#D9D9D9), цвет текста — на чёрный. Плавный переход (transition: background-color 0.3s ease).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) кратковременное затемнение. При фокусе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)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ab/>
        <w:t>Карта (Яндекс.Карты).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Интерактивная карта, расположенная ниже кнопки. На карте отмечен адрес ближайшего пункта самовывоза SIM-карт (на случай, если пользователь захочет забрать SIM самостоятельно). Высота 500px. Border-radius: 25px. При наведении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) курсор меняется на «руку». При клике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) карта центрируется по выбранной точке.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Аналогичен главной странице.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next w:val="222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6e577e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6e577e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6e577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6e577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6e577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6e577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6e577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6e577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6e577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6e577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6e577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6e577e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6e577e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6e577e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6e577e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6e577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6e577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e577e"/>
    <w:rPr>
      <w:i/>
      <w:iCs/>
      <w:color w:themeColor="accent1" w:themeShade="bf" w:val="2F5496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6e577e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6e577e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5c7054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c7054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5c7054"/>
    <w:rPr>
      <w:color w:themeColor="followedHyperlink" w:val="954F72"/>
      <w:u w:val="single"/>
    </w:rPr>
  </w:style>
  <w:style w:type="character" w:styleId="user">
    <w:name w:val="Исходный текст (user)"/>
    <w:qFormat/>
    <w:rPr>
      <w:rFonts w:ascii="Courier New" w:hAnsi="Courier New" w:eastAsia="Courier New" w:cs="Courier New"/>
    </w:rPr>
  </w:style>
  <w:style w:type="character" w:styleId="Strong">
    <w:name w:val="Strong"/>
    <w:qFormat/>
    <w:rPr>
      <w:b/>
      <w:bCs/>
    </w:rPr>
  </w:style>
  <w:style w:type="character" w:styleId="user1">
    <w:name w:val="Ссылка указателя (user)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6e577e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6e577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6e57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e577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6e57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111">
    <w:name w:val="111"/>
    <w:basedOn w:val="Normal"/>
    <w:qFormat/>
    <w:pPr>
      <w:spacing w:lineRule="auto" w:line="360"/>
      <w:jc w:val="center"/>
    </w:pPr>
    <w:rPr>
      <w:rFonts w:ascii="Times New Roman" w:hAnsi="Times New Roman"/>
      <w:b/>
      <w:bCs/>
      <w:sz w:val="28"/>
      <w:szCs w:val="28"/>
      <w:lang w:val="ru-RU"/>
    </w:rPr>
  </w:style>
  <w:style w:type="paragraph" w:styleId="123">
    <w:name w:val="123"/>
    <w:basedOn w:val="Normal"/>
    <w:qFormat/>
    <w:pPr>
      <w:spacing w:lineRule="auto" w:line="360"/>
      <w:ind w:hanging="0" w:start="0"/>
      <w:jc w:val="both"/>
    </w:pPr>
    <w:rPr>
      <w:rFonts w:ascii="Times New Roman" w:hAnsi="Times New Roman"/>
      <w:b/>
      <w:bCs/>
      <w:caps/>
      <w:spacing w:val="60"/>
      <w:sz w:val="28"/>
      <w:szCs w:val="28"/>
    </w:rPr>
  </w:style>
  <w:style w:type="paragraph" w:styleId="222">
    <w:name w:val="222"/>
    <w:basedOn w:val="Normal"/>
    <w:qFormat/>
    <w:pPr>
      <w:spacing w:lineRule="auto" w:line="360"/>
      <w:ind w:firstLine="708" w:start="0"/>
      <w:jc w:val="both"/>
    </w:pPr>
    <w:rPr>
      <w:spacing w:val="60"/>
    </w:rPr>
  </w:style>
  <w:style w:type="paragraph" w:styleId="IndexHeading">
    <w:name w:val="index heading"/>
    <w:basedOn w:val="user2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6">
    <w:name w:val="toc 6"/>
    <w:basedOn w:val="user3"/>
    <w:pPr>
      <w:tabs>
        <w:tab w:val="clear" w:pos="708"/>
        <w:tab w:val="right" w:pos="7938" w:leader="dot"/>
      </w:tabs>
      <w:ind w:hanging="0" w:start="1417"/>
    </w:pPr>
    <w:rPr/>
  </w:style>
  <w:style w:type="paragraph" w:styleId="31213123">
    <w:name w:val="31213123"/>
    <w:basedOn w:val="Normal"/>
    <w:qFormat/>
    <w:pPr>
      <w:jc w:val="center"/>
    </w:pPr>
    <w:rPr>
      <w:rFonts w:ascii="Times New Roman" w:hAnsi="Times New Roman"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priwete.github.io/Khamidov_Y._S._2-MD-20/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Application>LibreOffice/26.2.1.2$Windows_X86_64 LibreOffice_project/620$Build-2</Application>
  <AppVersion>15.0000</AppVersion>
  <Pages>22</Pages>
  <Words>2985</Words>
  <Characters>20507</Characters>
  <CharactersWithSpaces>23554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2026-05-07T14:54:00Z</dcterms:created>
  <dc:creator>Student</dc:creator>
  <dc:description/>
  <dc:language>ru-RU</dc:language>
  <cp:lastModifiedBy/>
  <dcterms:modified xsi:type="dcterms:W3CDTF">2026-10-14T20:07:34Z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