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Calibri" w:hAnsi="Calibri"/>
          <w:b/>
          <w:color w:val="1F4E5F"/>
          <w:sz w:val="64"/>
        </w:rPr>
        <w:t>The Human Cost</w:t>
      </w:r>
    </w:p>
    <w:p>
      <w:pPr>
        <w:spacing w:after="400"/>
        <w:jc w:val="center"/>
      </w:pPr>
      <w:r>
        <w:rPr>
          <w:rFonts w:ascii="Calibri" w:hAnsi="Calibri"/>
          <w:color w:val="444444"/>
          <w:sz w:val="32"/>
        </w:rPr>
        <w:t>Individuals Affected by Oil &amp; Gas Industry Disasters</w:t>
      </w:r>
    </w:p>
    <w:p>
      <w:pPr>
        <w:spacing w:after="1200"/>
        <w:jc w:val="center"/>
      </w:pPr>
      <w:r>
        <w:rPr>
          <w:rFonts w:ascii="Calibri" w:hAnsi="Calibri"/>
          <w:i/>
          <w:color w:val="666666"/>
          <w:sz w:val="26"/>
        </w:rPr>
        <w:t>A Structured Case-Study Analysis for VIGIL-AI (SIH26165)</w:t>
      </w:r>
    </w:p>
    <w:p>
      <w:pPr>
        <w:jc w:val="center"/>
      </w:pPr>
      <w:r>
        <w:rPr>
          <w:rFonts w:ascii="Calibri" w:hAnsi="Calibri"/>
          <w:color w:val="888888"/>
          <w:sz w:val="22"/>
        </w:rPr>
        <w:t>Prepared for: Oil India Limited — Smart India Hackathon Submission</w:t>
      </w:r>
    </w:p>
    <w:p>
      <w:r>
        <w:br w:type="page"/>
      </w:r>
    </w:p>
    <w:p>
      <w:pPr>
        <w:spacing w:before="320" w:after="160"/>
      </w:pPr>
      <w:r>
        <w:rPr>
          <w:rFonts w:ascii="Calibri" w:hAnsi="Calibri"/>
          <w:b/>
          <w:color w:val="1F4E5F"/>
          <w:sz w:val="32"/>
        </w:rPr>
        <w:t>A Note on Sourcing and Sensitivity</w:t>
      </w:r>
    </w:p>
    <w:p>
      <w:pPr>
        <w:spacing w:after="120" w:line="276" w:lineRule="auto"/>
      </w:pPr>
      <w:r>
        <w:rPr>
          <w:rFonts w:ascii="Calibri" w:hAnsi="Calibri"/>
          <w:sz w:val="22"/>
        </w:rPr>
        <w:t>This document profiles individuals connected to real oil-and-gas industry disasters — several of whom died in the incidents described. Every biographical detail, quotation, and claim below is drawn from published news reporting, official inquiry findings, court/investigation records, or documented public statements, each cited at the end of its profile.</w:t>
      </w:r>
    </w:p>
    <w:p>
      <w:pPr>
        <w:spacing w:after="120" w:line="276" w:lineRule="auto"/>
      </w:pPr>
      <w:r>
        <w:rPr>
          <w:rFonts w:ascii="Calibri" w:hAnsi="Calibri"/>
          <w:sz w:val="22"/>
        </w:rPr>
        <w:t xml:space="preserve">Two important limits are followed throughout: </w:t>
      </w:r>
      <w:r>
        <w:rPr>
          <w:rFonts w:ascii="Calibri" w:hAnsi="Calibri"/>
          <w:b/>
          <w:sz w:val="22"/>
        </w:rPr>
        <w:t>first</w:t>
      </w:r>
      <w:r>
        <w:rPr>
          <w:rFonts w:ascii="Calibri" w:hAnsi="Calibri"/>
          <w:sz w:val="22"/>
        </w:rPr>
        <w:t xml:space="preserve">, where no public testimony from an individual exists — as is the case for several workers who died — this document says so explicitly rather than inventing words for them. </w:t>
      </w:r>
      <w:r>
        <w:rPr>
          <w:rFonts w:ascii="Calibri" w:hAnsi="Calibri"/>
          <w:b/>
          <w:sz w:val="22"/>
        </w:rPr>
        <w:t>Second</w:t>
      </w:r>
      <w:r>
        <w:rPr>
          <w:rFonts w:ascii="Calibri" w:hAnsi="Calibri"/>
          <w:sz w:val="22"/>
        </w:rPr>
        <w:t>, the “suggestions for improvement” in each profile are drawn from official investigation findings, published journalism, or an individual's own documented public statements — never presented as invented personal opinions.</w:t>
      </w:r>
    </w:p>
    <w:p>
      <w:pPr>
        <w:spacing w:after="120" w:line="276" w:lineRule="auto"/>
      </w:pPr>
      <w:r>
        <w:rPr>
          <w:rFonts w:ascii="Calibri" w:hAnsi="Calibri"/>
          <w:sz w:val="22"/>
        </w:rPr>
        <w:t>Where a profile centers on a role (e.g. “the cook,” “the Offshore Installation Manager”) rather than a named person, that reflects the limits of what is publicly documented about that individual, not an omission on our part.</w:t>
      </w:r>
    </w:p>
    <w:p>
      <w:pPr>
        <w:spacing w:after="240"/>
      </w:pPr>
    </w:p>
    <w:p>
      <w:pPr>
        <w:spacing w:before="320" w:after="160"/>
      </w:pPr>
      <w:r>
        <w:rPr>
          <w:rFonts w:ascii="Calibri" w:hAnsi="Calibri"/>
          <w:b/>
          <w:color w:val="1F4E5F"/>
          <w:sz w:val="32"/>
        </w:rPr>
        <w:t>Durlov Gogoi &amp; Tikheswar Gohain</w:t>
      </w:r>
    </w:p>
    <w:p>
      <w:pPr>
        <w:spacing w:after="80"/>
      </w:pPr>
      <w:r>
        <w:rPr>
          <w:rFonts w:ascii="Calibri" w:hAnsi="Calibri"/>
          <w:i/>
          <w:color w:val="666666"/>
          <w:sz w:val="24"/>
        </w:rPr>
        <w:t>Assistant Fire Operators, Oil India Limited</w:t>
      </w:r>
    </w:p>
    <w:tbl>
      <w:tblPr>
        <w:tblW w:type="auto" w:w="0"/>
        <w:jc w:val="center"/>
        <w:tblLook w:firstColumn="1" w:firstRow="1" w:lastColumn="0" w:lastRow="0" w:noHBand="0" w:noVBand="1" w:val="04A0"/>
      </w:tblPr>
      <w:tblGrid>
        <w:gridCol w:w="8208"/>
      </w:tblGrid>
      <w:tr>
        <w:tc>
          <w:tcPr>
            <w:tcW w:type="dxa" w:w="8208"/>
            <w:shd w:fill="EAF2F5"/>
            <w:tcMar>
              <w:top w:w="80" w:type="dxa"/>
              <w:bottom w:w="80" w:type="dxa"/>
              <w:left w:w="150" w:type="dxa"/>
              <w:right w:w="150" w:type="dxa"/>
            </w:tcMar>
          </w:tcPr>
          <w:p>
            <w:pPr>
              <w:spacing w:after="0"/>
            </w:pPr>
            <w:r>
              <w:rPr>
                <w:rFonts w:ascii="Calibri" w:hAnsi="Calibri"/>
                <w:b/>
                <w:color w:val="1F4E5F"/>
                <w:sz w:val="20"/>
              </w:rPr>
              <w:t>CASE 1 OF 6   —   INDIA</w:t>
            </w:r>
          </w:p>
        </w:tc>
      </w:tr>
    </w:tbl>
    <w:p>
      <w:pPr>
        <w:spacing w:after="120"/>
      </w:pPr>
    </w:p>
    <w:p>
      <w:pPr>
        <w:spacing w:after="80" w:line="276" w:lineRule="auto"/>
      </w:pPr>
      <w:r>
        <w:rPr>
          <w:rFonts w:ascii="Calibri" w:hAnsi="Calibri"/>
          <w:b/>
          <w:sz w:val="22"/>
        </w:rPr>
        <w:t xml:space="preserve">Role: </w:t>
      </w:r>
      <w:r>
        <w:rPr>
          <w:rFonts w:ascii="Calibri" w:hAnsi="Calibri"/>
          <w:sz w:val="22"/>
        </w:rPr>
        <w:t>Assistant Fire Operators, OIL Fire Service Department, Tinsukia, Assam</w:t>
      </w:r>
    </w:p>
    <w:p>
      <w:pPr>
        <w:spacing w:after="80" w:line="276" w:lineRule="auto"/>
      </w:pPr>
      <w:r>
        <w:rPr>
          <w:rFonts w:ascii="Calibri" w:hAnsi="Calibri"/>
          <w:b/>
          <w:sz w:val="22"/>
        </w:rPr>
        <w:t xml:space="preserve">Incident: </w:t>
      </w:r>
      <w:r>
        <w:rPr>
          <w:rFonts w:ascii="Calibri" w:hAnsi="Calibri"/>
          <w:sz w:val="22"/>
        </w:rPr>
        <w:t>Baghjan Well #5 Blowout and Fire</w:t>
      </w:r>
    </w:p>
    <w:p>
      <w:pPr>
        <w:spacing w:after="80" w:line="276" w:lineRule="auto"/>
      </w:pPr>
      <w:r>
        <w:rPr>
          <w:rFonts w:ascii="Calibri" w:hAnsi="Calibri"/>
          <w:b/>
          <w:sz w:val="22"/>
        </w:rPr>
        <w:t xml:space="preserve">Date &amp; Location: </w:t>
      </w:r>
      <w:r>
        <w:rPr>
          <w:rFonts w:ascii="Calibri" w:hAnsi="Calibri"/>
          <w:sz w:val="22"/>
        </w:rPr>
        <w:t>Blowout began 27 May 2020; fire broke out 9 June 2020 — Baghjan oilfield, Tinsukia district, Assam, near Dibru-Saikhowa National Park</w:t>
      </w:r>
    </w:p>
    <w:p>
      <w:pPr>
        <w:spacing w:before="240" w:after="120"/>
      </w:pPr>
      <w:r>
        <w:rPr>
          <w:rFonts w:ascii="Calibri" w:hAnsi="Calibri"/>
          <w:b/>
          <w:color w:val="1F4E5F"/>
          <w:sz w:val="26"/>
        </w:rPr>
        <w:t>What Happened</w:t>
      </w:r>
    </w:p>
    <w:p>
      <w:pPr>
        <w:spacing w:after="120" w:line="276" w:lineRule="auto"/>
      </w:pPr>
      <w:r>
        <w:rPr>
          <w:rFonts w:ascii="Calibri" w:hAnsi="Calibri"/>
          <w:sz w:val="22"/>
        </w:rPr>
        <w:t>Well #5 at OIL's Baghjan field, undergoing workover operations, blew out on 27 May 2020, releasing gas and condensate uncontrollably for 13 days. On 9 June, while clearing operations were underway, the escaping gas ignited into a major fire.</w:t>
      </w:r>
    </w:p>
    <w:p>
      <w:pPr>
        <w:spacing w:after="120" w:line="276" w:lineRule="auto"/>
      </w:pPr>
      <w:r>
        <w:rPr>
          <w:rFonts w:ascii="Calibri" w:hAnsi="Calibri"/>
          <w:sz w:val="22"/>
        </w:rPr>
        <w:t>Gogoi and Gohain, both assistant fire operators, were laying water hoses and working to establish an emergency perimeter when the fire's sudden spread cut them off. They went missing that evening; their bodies were recovered the next morning from a pond near the well site by NDRF personnel, with drowning or smoke suffocation cited as the likely cause of death.</w:t>
      </w:r>
    </w:p>
    <w:p>
      <w:pPr>
        <w:spacing w:after="120" w:line="276" w:lineRule="auto"/>
      </w:pPr>
      <w:r>
        <w:rPr>
          <w:rFonts w:ascii="Calibri" w:hAnsi="Calibri"/>
          <w:sz w:val="22"/>
        </w:rPr>
        <w:t>A third OIL employee, electrical engineer Arnab Kishore Bordoloi, died months later (9 September 2020) in a separate electrocution incident at the same site while the capping operation continued.</w:t>
      </w:r>
    </w:p>
    <w:p>
      <w:pPr>
        <w:spacing w:before="240" w:after="120"/>
      </w:pPr>
      <w:r>
        <w:rPr>
          <w:rFonts w:ascii="Calibri" w:hAnsi="Calibri"/>
          <w:b/>
          <w:color w:val="1F4E5F"/>
          <w:sz w:val="26"/>
        </w:rPr>
        <w:t>Documented Testimony / Statements</w:t>
      </w:r>
    </w:p>
    <w:p>
      <w:pPr>
        <w:spacing w:after="120"/>
      </w:pPr>
      <w:r>
        <w:rPr>
          <w:rFonts w:ascii="Calibri" w:hAnsi="Calibri"/>
          <w:i/>
          <w:sz w:val="22"/>
        </w:rPr>
        <w:t>No public statement or personal testimony from Gogoi or Gohain themselves is part of the documented record — both died in the incident. The statements below are from OIL, local officials, and community members who responded to it.</w:t>
      </w:r>
    </w:p>
    <w:tbl>
      <w:tblPr>
        <w:tblW w:type="auto" w:w="0"/>
        <w:jc w:val="center"/>
        <w:tblLook w:firstColumn="1" w:firstRow="1" w:lastColumn="0" w:lastRow="0" w:noHBand="0" w:noVBand="1" w:val="04A0"/>
      </w:tblPr>
      <w:tblGrid>
        <w:gridCol w:w="8208"/>
      </w:tblGrid>
      <w:tr>
        <w:tc>
          <w:tcPr>
            <w:tcW w:type="dxa" w:w="8208"/>
            <w:shd w:fill="EAF2F5"/>
            <w:tcMar>
              <w:top w:w="120" w:type="dxa"/>
              <w:bottom w:w="120" w:type="dxa"/>
              <w:left w:w="200" w:type="dxa"/>
              <w:right w:w="200" w:type="dxa"/>
            </w:tcMar>
            <w:tcBorders>
              <w:left w:val="single" w:sz="24" w:space="0" w:color="1F4E5F"/>
              <w:top w:val="none"/>
              <w:right w:val="none"/>
              <w:bottom w:val="none"/>
            </w:tcBorders>
          </w:tcPr>
          <w:p>
            <w:pPr>
              <w:spacing w:after="0" w:line="276" w:lineRule="auto"/>
            </w:pPr>
            <w:r>
              <w:rPr>
                <w:rFonts w:ascii="Calibri" w:hAnsi="Calibri"/>
                <w:i/>
                <w:sz w:val="22"/>
              </w:rPr>
              <w:t>“It felt like a piece of me was burning”</w:t>
              <w:br/>
            </w:r>
            <w:r>
              <w:rPr>
                <w:rFonts w:ascii="Calibri" w:hAnsi="Calibri"/>
                <w:i/>
                <w:color w:val="666666"/>
                <w:sz w:val="20"/>
              </w:rPr>
              <w:t>— Niranta Gohain, local environmental activist, on seeing the fire erupt — The Caravan</w:t>
            </w:r>
          </w:p>
        </w:tc>
      </w:tr>
    </w:tbl>
    <w:p>
      <w:pPr>
        <w:spacing w:after="120"/>
      </w:pPr>
    </w:p>
    <w:p>
      <w:pPr>
        <w:spacing w:before="240" w:after="120"/>
      </w:pPr>
      <w:r>
        <w:rPr>
          <w:rFonts w:ascii="Calibri" w:hAnsi="Calibri"/>
          <w:b/>
          <w:color w:val="1F4E5F"/>
          <w:sz w:val="26"/>
        </w:rPr>
        <w:t>Aftermath</w:t>
      </w:r>
    </w:p>
    <w:p>
      <w:pPr>
        <w:spacing w:after="120" w:line="276" w:lineRule="auto"/>
      </w:pPr>
      <w:r>
        <w:rPr>
          <w:rFonts w:ascii="Calibri" w:hAnsi="Calibri"/>
          <w:sz w:val="22"/>
        </w:rPr>
        <w:t>OIL announced the two firefighters died “in the line of duty” and recommended them for posthumous bravery awards from the Union Ministry of Petroleum and Natural Gas. The company provided Rs 1 crore to Gohain's family and Rs 60 lakh to Gogoi's family based on years of service, along with pensions and one job offer per family.</w:t>
      </w:r>
    </w:p>
    <w:p>
      <w:pPr>
        <w:spacing w:after="120" w:line="276" w:lineRule="auto"/>
      </w:pPr>
      <w:r>
        <w:rPr>
          <w:rFonts w:ascii="Calibri" w:hAnsi="Calibri"/>
          <w:sz w:val="22"/>
        </w:rPr>
        <w:t>Nearly 1,600 families from surrounding villages were moved through 12 relief camps during the crisis; the well was eventually brought under control after several weeks.</w:t>
      </w:r>
    </w:p>
    <w:p>
      <w:pPr>
        <w:spacing w:before="240" w:after="120"/>
      </w:pPr>
      <w:r>
        <w:rPr>
          <w:rFonts w:ascii="Calibri" w:hAnsi="Calibri"/>
          <w:b/>
          <w:color w:val="1F4E5F"/>
          <w:sz w:val="26"/>
        </w:rPr>
        <w:t>Documented Suggestions for Improvement</w:t>
      </w:r>
    </w:p>
    <w:p>
      <w:pPr>
        <w:pStyle w:val="ListBullet"/>
        <w:spacing w:after="80" w:line="276" w:lineRule="auto"/>
      </w:pPr>
      <w:r>
        <w:rPr>
          <w:rFonts w:ascii="Calibri" w:hAnsi="Calibri"/>
          <w:sz w:val="22"/>
        </w:rPr>
        <w:t>Field reports in the 14 days preceding the blowout — rumbling sounds, minor gas venting, pressure fluctuations reported by villagers and field workers — were logged as routine drilling friction rather than escalated as safety precursors; investigative accounts point to the absence of a mechanism to aggregate these scattered, low-severity reports into a single risk picture before the blowout occurred.</w:t>
      </w:r>
    </w:p>
    <w:p>
      <w:pPr>
        <w:pStyle w:val="ListBullet"/>
        <w:spacing w:after="80" w:line="276" w:lineRule="auto"/>
      </w:pPr>
      <w:r>
        <w:rPr>
          <w:rFonts w:ascii="Calibri" w:hAnsi="Calibri"/>
          <w:sz w:val="22"/>
        </w:rPr>
        <w:t>Post-incident environmental and safety reviews called for stricter enforcement of well-integrity checks during workover operations near ecologically sensitive zones, and for clearer protocols before shifting production between sand layers.</w:t>
      </w:r>
    </w:p>
    <w:p>
      <w:pPr>
        <w:spacing w:before="240" w:after="120"/>
      </w:pPr>
      <w:r>
        <w:rPr>
          <w:rFonts w:ascii="Calibri" w:hAnsi="Calibri"/>
          <w:b/>
          <w:color w:val="1F4E5F"/>
          <w:sz w:val="26"/>
        </w:rPr>
        <w:t>Relevance to VIGIL-AI</w:t>
      </w:r>
    </w:p>
    <w:p>
      <w:pPr>
        <w:spacing w:after="120" w:line="276" w:lineRule="auto"/>
      </w:pPr>
      <w:r>
        <w:rPr>
          <w:rFonts w:ascii="Calibri" w:hAnsi="Calibri"/>
          <w:sz w:val="22"/>
        </w:rPr>
        <w:t>This is the founding case for VIGIL-AI's Near-Miss Multiplier (F7): the core failure was not a single missed report but a pattern of related low-severity signals — sound, venting, pressure — that were never algorithmically clustered before the blowout.</w:t>
      </w:r>
    </w:p>
    <w:p>
      <w:pPr>
        <w:spacing w:after="360"/>
      </w:pPr>
      <w:r>
        <w:rPr>
          <w:rFonts w:ascii="Calibri" w:hAnsi="Calibri"/>
          <w:i/>
          <w:color w:val="666666"/>
          <w:sz w:val="19"/>
        </w:rPr>
        <w:t>Sources: The Caravan (16 Oct 2020); ThePrint (10 Jun 2020); Mongabay India (12 Jun 2020); The Wire Science (10 Jun 2020); Deccan Herald (10–11 Jun 2020); Gulf News (10 Jun 2020).</w:t>
      </w:r>
    </w:p>
    <w:p>
      <w:pPr>
        <w:spacing w:before="320" w:after="160"/>
      </w:pPr>
      <w:r>
        <w:rPr>
          <w:rFonts w:ascii="Calibri" w:hAnsi="Calibri"/>
          <w:b/>
          <w:color w:val="1F4E5F"/>
          <w:sz w:val="32"/>
        </w:rPr>
        <w:t>Rajkumar Keswani</w:t>
      </w:r>
    </w:p>
    <w:p>
      <w:pPr>
        <w:spacing w:after="80"/>
      </w:pPr>
      <w:r>
        <w:rPr>
          <w:rFonts w:ascii="Calibri" w:hAnsi="Calibri"/>
          <w:i/>
          <w:color w:val="666666"/>
          <w:sz w:val="24"/>
        </w:rPr>
        <w:t>Independent Journalist, Bhopal</w:t>
      </w:r>
    </w:p>
    <w:tbl>
      <w:tblPr>
        <w:tblW w:type="auto" w:w="0"/>
        <w:jc w:val="center"/>
        <w:tblLook w:firstColumn="1" w:firstRow="1" w:lastColumn="0" w:lastRow="0" w:noHBand="0" w:noVBand="1" w:val="04A0"/>
      </w:tblPr>
      <w:tblGrid>
        <w:gridCol w:w="8208"/>
      </w:tblGrid>
      <w:tr>
        <w:tc>
          <w:tcPr>
            <w:tcW w:type="dxa" w:w="8208"/>
            <w:shd w:fill="EAF2F5"/>
            <w:tcMar>
              <w:top w:w="80" w:type="dxa"/>
              <w:bottom w:w="80" w:type="dxa"/>
              <w:left w:w="150" w:type="dxa"/>
              <w:right w:w="150" w:type="dxa"/>
            </w:tcMar>
          </w:tcPr>
          <w:p>
            <w:pPr>
              <w:spacing w:after="0"/>
            </w:pPr>
            <w:r>
              <w:rPr>
                <w:rFonts w:ascii="Calibri" w:hAnsi="Calibri"/>
                <w:b/>
                <w:color w:val="1F4E5F"/>
                <w:sz w:val="20"/>
              </w:rPr>
              <w:t>CASE 2 OF 6   —   INDIA</w:t>
            </w:r>
          </w:p>
        </w:tc>
      </w:tr>
    </w:tbl>
    <w:p>
      <w:pPr>
        <w:spacing w:after="120"/>
      </w:pPr>
    </w:p>
    <w:p>
      <w:pPr>
        <w:spacing w:after="80" w:line="276" w:lineRule="auto"/>
      </w:pPr>
      <w:r>
        <w:rPr>
          <w:rFonts w:ascii="Calibri" w:hAnsi="Calibri"/>
          <w:b/>
          <w:sz w:val="22"/>
        </w:rPr>
        <w:t xml:space="preserve">Role: </w:t>
      </w:r>
      <w:r>
        <w:rPr>
          <w:rFonts w:ascii="Calibri" w:hAnsi="Calibri"/>
          <w:sz w:val="22"/>
        </w:rPr>
        <w:t>Freelance journalist, contributor to Rapat (local Bhopal weekly), later NDTV, India Today, and other national outlets</w:t>
      </w:r>
    </w:p>
    <w:p>
      <w:pPr>
        <w:spacing w:after="80" w:line="276" w:lineRule="auto"/>
      </w:pPr>
      <w:r>
        <w:rPr>
          <w:rFonts w:ascii="Calibri" w:hAnsi="Calibri"/>
          <w:b/>
          <w:sz w:val="22"/>
        </w:rPr>
        <w:t xml:space="preserve">Incident: </w:t>
      </w:r>
      <w:r>
        <w:rPr>
          <w:rFonts w:ascii="Calibri" w:hAnsi="Calibri"/>
          <w:sz w:val="22"/>
        </w:rPr>
        <w:t>Bhopal Gas Tragedy — the individual who tried to warn the city beforehand</w:t>
      </w:r>
    </w:p>
    <w:p>
      <w:pPr>
        <w:spacing w:after="80" w:line="276" w:lineRule="auto"/>
      </w:pPr>
      <w:r>
        <w:rPr>
          <w:rFonts w:ascii="Calibri" w:hAnsi="Calibri"/>
          <w:b/>
          <w:sz w:val="22"/>
        </w:rPr>
        <w:t xml:space="preserve">Date &amp; Location: </w:t>
      </w:r>
      <w:r>
        <w:rPr>
          <w:rFonts w:ascii="Calibri" w:hAnsi="Calibri"/>
          <w:sz w:val="22"/>
        </w:rPr>
        <w:t>Warnings published 1982–1984; disaster occurred night of 2–3 December 1984 — Union Carbide India Limited plant, Bhopal, Madhya Pradesh</w:t>
      </w:r>
    </w:p>
    <w:p>
      <w:pPr>
        <w:spacing w:before="240" w:after="120"/>
      </w:pPr>
      <w:r>
        <w:rPr>
          <w:rFonts w:ascii="Calibri" w:hAnsi="Calibri"/>
          <w:b/>
          <w:color w:val="1F4E5F"/>
          <w:sz w:val="26"/>
        </w:rPr>
        <w:t>What Happened</w:t>
      </w:r>
    </w:p>
    <w:p>
      <w:pPr>
        <w:spacing w:after="120" w:line="276" w:lineRule="auto"/>
      </w:pPr>
      <w:r>
        <w:rPr>
          <w:rFonts w:ascii="Calibri" w:hAnsi="Calibri"/>
          <w:sz w:val="22"/>
        </w:rPr>
        <w:t>Keswani's interest in the Union Carbide plant began in 1981, when his friend Mohammad Ashraf, a plant employee, described safety concerns to him shortly before dying from phosgene gas inhalation during a pipe-maintenance incident at the plant.</w:t>
      </w:r>
    </w:p>
    <w:p>
      <w:pPr>
        <w:spacing w:after="120" w:line="276" w:lineRule="auto"/>
      </w:pPr>
      <w:r>
        <w:rPr>
          <w:rFonts w:ascii="Calibri" w:hAnsi="Calibri"/>
          <w:sz w:val="22"/>
        </w:rPr>
        <w:t>Over roughly nine months of investigation — obtaining internal manuals and reports through two former employees — Keswani published a series of articles in the small Hindi weekly Rapat between September 1982 and 1984, documenting inadequate safety standards, bypassed safety systems, and the risk of a catastrophic MIC (methyl isocyanate) leak.</w:t>
      </w:r>
    </w:p>
    <w:p>
      <w:pPr>
        <w:spacing w:after="120" w:line="276" w:lineRule="auto"/>
      </w:pPr>
      <w:r>
        <w:rPr>
          <w:rFonts w:ascii="Calibri" w:hAnsi="Calibri"/>
          <w:sz w:val="22"/>
        </w:rPr>
        <w:t>His warnings were reprinted by the Indian Express and repeated across several more articles through 1984, but were dismissed by both Union Carbide management and the Madhya Pradesh state government; no safety inquiry was launched. The MIC leak he had warned of occurred roughly two years after his first article.</w:t>
      </w:r>
    </w:p>
    <w:p>
      <w:pPr>
        <w:spacing w:before="240" w:after="120"/>
      </w:pPr>
      <w:r>
        <w:rPr>
          <w:rFonts w:ascii="Calibri" w:hAnsi="Calibri"/>
          <w:b/>
          <w:color w:val="1F4E5F"/>
          <w:sz w:val="26"/>
        </w:rPr>
        <w:t>Documented Testimony / Statements</w:t>
      </w:r>
    </w:p>
    <w:p>
      <w:pPr>
        <w:spacing w:after="120"/>
      </w:pPr>
      <w:r>
        <w:rPr>
          <w:rFonts w:ascii="Calibri" w:hAnsi="Calibri"/>
          <w:i/>
          <w:sz w:val="22"/>
        </w:rPr>
        <w:t>Unlike most individuals in this document, Keswani left an extensive, directly documented public record — his own published warnings.</w:t>
      </w:r>
    </w:p>
    <w:tbl>
      <w:tblPr>
        <w:tblW w:type="auto" w:w="0"/>
        <w:jc w:val="center"/>
        <w:tblLook w:firstColumn="1" w:firstRow="1" w:lastColumn="0" w:lastRow="0" w:noHBand="0" w:noVBand="1" w:val="04A0"/>
      </w:tblPr>
      <w:tblGrid>
        <w:gridCol w:w="8208"/>
      </w:tblGrid>
      <w:tr>
        <w:tc>
          <w:tcPr>
            <w:tcW w:type="dxa" w:w="8208"/>
            <w:shd w:fill="EAF2F5"/>
            <w:tcMar>
              <w:top w:w="120" w:type="dxa"/>
              <w:bottom w:w="120" w:type="dxa"/>
              <w:left w:w="200" w:type="dxa"/>
              <w:right w:w="200" w:type="dxa"/>
            </w:tcMar>
            <w:tcBorders>
              <w:left w:val="single" w:sz="24" w:space="0" w:color="1F4E5F"/>
              <w:top w:val="none"/>
              <w:right w:val="none"/>
              <w:bottom w:val="none"/>
            </w:tcBorders>
          </w:tcPr>
          <w:p>
            <w:pPr>
              <w:spacing w:after="0" w:line="276" w:lineRule="auto"/>
            </w:pPr>
            <w:r>
              <w:rPr>
                <w:rFonts w:ascii="Calibri" w:hAnsi="Calibri"/>
                <w:i/>
                <w:sz w:val="22"/>
              </w:rPr>
              <w:t>“Wake up, people of Bhopal, you are on the edge of a volcano”</w:t>
              <w:br/>
            </w:r>
            <w:r>
              <w:rPr>
                <w:rFonts w:ascii="Calibri" w:hAnsi="Calibri"/>
                <w:i/>
                <w:color w:val="666666"/>
                <w:sz w:val="20"/>
              </w:rPr>
              <w:t>— Rajkumar Keswani, Rapat, 1982–84 (as widely reported, e.g. The Climate Historian, 2025)</w:t>
            </w:r>
          </w:p>
        </w:tc>
      </w:tr>
    </w:tbl>
    <w:p>
      <w:pPr>
        <w:spacing w:after="120"/>
      </w:pPr>
    </w:p>
    <w:p>
      <w:pPr>
        <w:spacing w:before="240" w:after="120"/>
      </w:pPr>
      <w:r>
        <w:rPr>
          <w:rFonts w:ascii="Calibri" w:hAnsi="Calibri"/>
          <w:b/>
          <w:color w:val="1F4E5F"/>
          <w:sz w:val="26"/>
        </w:rPr>
        <w:t>Documented Suggestions for Improvement</w:t>
      </w:r>
    </w:p>
    <w:p>
      <w:pPr>
        <w:pStyle w:val="ListBullet"/>
        <w:spacing w:after="80" w:line="276" w:lineRule="auto"/>
      </w:pPr>
      <w:r>
        <w:rPr>
          <w:rFonts w:ascii="Calibri" w:hAnsi="Calibri"/>
          <w:sz w:val="22"/>
        </w:rPr>
        <w:t>Keswani's articles specifically identified relaxed maintenance schedules, undertrained staff, and safety systems (the refrigeration unit, gas scrubbers, and flare tower meant to neutralize MIC) that were routinely shut down for cost-saving — and called for independent safety audits rather than the plant's own self-reporting.</w:t>
      </w:r>
    </w:p>
    <w:p>
      <w:pPr>
        <w:pStyle w:val="ListBullet"/>
        <w:spacing w:after="80" w:line="276" w:lineRule="auto"/>
      </w:pPr>
      <w:r>
        <w:rPr>
          <w:rFonts w:ascii="Calibri" w:hAnsi="Calibri"/>
          <w:sz w:val="22"/>
        </w:rPr>
        <w:t>Reporting after the disaster (Indira Jaising, The Leaflet, 2021) noted that Keswani's core recommendation — that recurring low-severity leaks and worker complaints be treated as escalating warning signs, not isolated maintenance issues — was never acted on before 1984.</w:t>
      </w:r>
    </w:p>
    <w:p>
      <w:pPr>
        <w:spacing w:before="240" w:after="120"/>
      </w:pPr>
      <w:r>
        <w:rPr>
          <w:rFonts w:ascii="Calibri" w:hAnsi="Calibri"/>
          <w:b/>
          <w:color w:val="1F4E5F"/>
          <w:sz w:val="26"/>
        </w:rPr>
        <w:t>Relevance to VIGIL-AI</w:t>
      </w:r>
    </w:p>
    <w:p>
      <w:pPr>
        <w:spacing w:after="120" w:line="276" w:lineRule="auto"/>
      </w:pPr>
      <w:r>
        <w:rPr>
          <w:rFonts w:ascii="Calibri" w:hAnsi="Calibri"/>
          <w:sz w:val="22"/>
        </w:rPr>
        <w:t>Keswani is the clearest real-world precedent for VIGIL-AI's Normalization-of-Deviance Flag (F21) and Historical Precedent Matcher (F19): an outside observer correctly identified a repeating precursor pattern years in advance, but no institutional mechanism existed to act on it.</w:t>
      </w:r>
    </w:p>
    <w:p>
      <w:pPr>
        <w:spacing w:after="360"/>
      </w:pPr>
      <w:r>
        <w:rPr>
          <w:rFonts w:ascii="Calibri" w:hAnsi="Calibri"/>
          <w:i/>
          <w:color w:val="666666"/>
          <w:sz w:val="19"/>
        </w:rPr>
        <w:t>Sources: Wikipedia, “Rajkumar Keswani”; The Leaflet, “Rajkumar Keswani's warning about a gas tragedy in Bhopal fell on deaf ears” (2021); Janata Weekly (2021); The Bhopal Medical Appeal (2021); The Climate Historian (2025).</w:t>
      </w:r>
    </w:p>
    <w:p>
      <w:pPr>
        <w:spacing w:before="320" w:after="160"/>
      </w:pPr>
      <w:r>
        <w:rPr>
          <w:rFonts w:ascii="Calibri" w:hAnsi="Calibri"/>
          <w:b/>
          <w:color w:val="1F4E5F"/>
          <w:sz w:val="32"/>
        </w:rPr>
        <w:t>The Cook and the Offshore Installation Manager</w:t>
      </w:r>
    </w:p>
    <w:p>
      <w:pPr>
        <w:spacing w:after="80"/>
      </w:pPr>
      <w:r>
        <w:rPr>
          <w:rFonts w:ascii="Calibri" w:hAnsi="Calibri"/>
          <w:i/>
          <w:color w:val="666666"/>
          <w:sz w:val="24"/>
        </w:rPr>
        <w:t>Mumbai High North Platform, ONGC</w:t>
      </w:r>
    </w:p>
    <w:tbl>
      <w:tblPr>
        <w:tblW w:type="auto" w:w="0"/>
        <w:jc w:val="center"/>
        <w:tblLook w:firstColumn="1" w:firstRow="1" w:lastColumn="0" w:lastRow="0" w:noHBand="0" w:noVBand="1" w:val="04A0"/>
      </w:tblPr>
      <w:tblGrid>
        <w:gridCol w:w="8208"/>
      </w:tblGrid>
      <w:tr>
        <w:tc>
          <w:tcPr>
            <w:tcW w:type="dxa" w:w="8208"/>
            <w:shd w:fill="EAF2F5"/>
            <w:tcMar>
              <w:top w:w="80" w:type="dxa"/>
              <w:bottom w:w="80" w:type="dxa"/>
              <w:left w:w="150" w:type="dxa"/>
              <w:right w:w="150" w:type="dxa"/>
            </w:tcMar>
          </w:tcPr>
          <w:p>
            <w:pPr>
              <w:spacing w:after="0"/>
            </w:pPr>
            <w:r>
              <w:rPr>
                <w:rFonts w:ascii="Calibri" w:hAnsi="Calibri"/>
                <w:b/>
                <w:color w:val="1F4E5F"/>
                <w:sz w:val="20"/>
              </w:rPr>
              <w:t>CASE 3 OF 6   —   INDIA</w:t>
            </w:r>
          </w:p>
        </w:tc>
      </w:tr>
    </w:tbl>
    <w:p>
      <w:pPr>
        <w:spacing w:after="120"/>
      </w:pPr>
    </w:p>
    <w:p>
      <w:pPr>
        <w:spacing w:after="80" w:line="276" w:lineRule="auto"/>
      </w:pPr>
      <w:r>
        <w:rPr>
          <w:rFonts w:ascii="Calibri" w:hAnsi="Calibri"/>
          <w:b/>
          <w:sz w:val="22"/>
        </w:rPr>
        <w:t xml:space="preserve">Role: </w:t>
      </w:r>
      <w:r>
        <w:rPr>
          <w:rFonts w:ascii="Calibri" w:hAnsi="Calibri"/>
          <w:sz w:val="22"/>
        </w:rPr>
        <w:t>Ship's cook aboard MSV Samudra Suraksha; and the Offshore Installation Manager (OIM) of the Mumbai High North (MHN) platform</w:t>
      </w:r>
    </w:p>
    <w:p>
      <w:pPr>
        <w:spacing w:after="80" w:line="276" w:lineRule="auto"/>
      </w:pPr>
      <w:r>
        <w:rPr>
          <w:rFonts w:ascii="Calibri" w:hAnsi="Calibri"/>
          <w:b/>
          <w:sz w:val="22"/>
        </w:rPr>
        <w:t xml:space="preserve">Incident: </w:t>
      </w:r>
      <w:r>
        <w:rPr>
          <w:rFonts w:ascii="Calibri" w:hAnsi="Calibri"/>
          <w:sz w:val="22"/>
        </w:rPr>
        <w:t>Mumbai High North Platform Fire</w:t>
      </w:r>
    </w:p>
    <w:p>
      <w:pPr>
        <w:spacing w:after="80" w:line="276" w:lineRule="auto"/>
      </w:pPr>
      <w:r>
        <w:rPr>
          <w:rFonts w:ascii="Calibri" w:hAnsi="Calibri"/>
          <w:b/>
          <w:sz w:val="22"/>
        </w:rPr>
        <w:t xml:space="preserve">Date &amp; Location: </w:t>
      </w:r>
      <w:r>
        <w:rPr>
          <w:rFonts w:ascii="Calibri" w:hAnsi="Calibri"/>
          <w:sz w:val="22"/>
        </w:rPr>
        <w:t>27 July 2005 — Mumbai High oilfield, Arabian Sea, ~160 km off the Mumbai coast</w:t>
      </w:r>
    </w:p>
    <w:p>
      <w:pPr>
        <w:spacing w:before="240" w:after="120"/>
      </w:pPr>
      <w:r>
        <w:rPr>
          <w:rFonts w:ascii="Calibri" w:hAnsi="Calibri"/>
          <w:b/>
          <w:color w:val="1F4E5F"/>
          <w:sz w:val="26"/>
        </w:rPr>
        <w:t>What Happened</w:t>
      </w:r>
    </w:p>
    <w:p>
      <w:pPr>
        <w:spacing w:after="120" w:line="276" w:lineRule="auto"/>
      </w:pPr>
      <w:r>
        <w:rPr>
          <w:rFonts w:ascii="Calibri" w:hAnsi="Calibri"/>
          <w:sz w:val="22"/>
        </w:rPr>
        <w:t>During heavy monsoon conditions, a cook aboard the support vessel Samudra Suraksha severed the tips of two fingers. Because rough seas and high winds had grounded all helicopters in the field for several days, the vessel's master requested a direct transfer of the injured man to the MHN platform for evacuation.</w:t>
      </w:r>
    </w:p>
    <w:p>
      <w:pPr>
        <w:spacing w:after="120" w:line="276" w:lineRule="auto"/>
      </w:pPr>
      <w:r>
        <w:rPr>
          <w:rFonts w:ascii="Calibri" w:hAnsi="Calibri"/>
          <w:sz w:val="22"/>
        </w:rPr>
        <w:t>The OIM approved the transfer. The vessel approached MHN on the weather-exposed side (the sheltered-side crane was unavailable); as it neared, its dynamic positioning system reportedly malfunctioned in heavy swells, and the vessel collided with the platform's unprotected gas export risers.</w:t>
      </w:r>
    </w:p>
    <w:p>
      <w:pPr>
        <w:spacing w:after="120" w:line="276" w:lineRule="auto"/>
      </w:pPr>
      <w:r>
        <w:rPr>
          <w:rFonts w:ascii="Calibri" w:hAnsi="Calibri"/>
          <w:sz w:val="22"/>
        </w:rPr>
        <w:t>The collision severed high-pressure gas lines; the resulting jet fire destroyed the seven-storey platform within two hours and the support vessel itself later caught fire and sank. Twenty-two people died, including production staff, a diver, and an ONGC official; 362 of 384 personnel aboard were rescued over a 15-hour operation.</w:t>
      </w:r>
    </w:p>
    <w:p>
      <w:pPr>
        <w:spacing w:before="240" w:after="120"/>
      </w:pPr>
      <w:r>
        <w:rPr>
          <w:rFonts w:ascii="Calibri" w:hAnsi="Calibri"/>
          <w:b/>
          <w:color w:val="1F4E5F"/>
          <w:sz w:val="26"/>
        </w:rPr>
        <w:t>Documented Testimony / Statements</w:t>
      </w:r>
    </w:p>
    <w:p>
      <w:pPr>
        <w:spacing w:after="120"/>
      </w:pPr>
      <w:r>
        <w:rPr>
          <w:rFonts w:ascii="Calibri" w:hAnsi="Calibri"/>
          <w:i/>
          <w:sz w:val="22"/>
        </w:rPr>
        <w:t>No named, personal testimony from the cook or the OIM is part of the public documentary record — both are identified only by role in every source reviewed for this document. ONGC's then-Chairman spoke publicly in the disaster's aftermath.</w:t>
      </w:r>
    </w:p>
    <w:p>
      <w:pPr>
        <w:spacing w:before="240" w:after="120"/>
      </w:pPr>
      <w:r>
        <w:rPr>
          <w:rFonts w:ascii="Calibri" w:hAnsi="Calibri"/>
          <w:b/>
          <w:color w:val="1F4E5F"/>
          <w:sz w:val="26"/>
        </w:rPr>
        <w:t>Aftermath</w:t>
      </w:r>
    </w:p>
    <w:p>
      <w:pPr>
        <w:spacing w:after="120" w:line="276" w:lineRule="auto"/>
      </w:pPr>
      <w:r>
        <w:rPr>
          <w:rFonts w:ascii="Calibri" w:hAnsi="Calibri"/>
          <w:sz w:val="22"/>
        </w:rPr>
        <w:t>ONGC's Chairman and Managing Director, Subir Raha, publicly committed to restoring lost production within weeks and confirmed that inquiry committees and compensation arrangements for affected families were being set up.</w:t>
      </w:r>
    </w:p>
    <w:p>
      <w:pPr>
        <w:spacing w:before="240" w:after="120"/>
      </w:pPr>
      <w:r>
        <w:rPr>
          <w:rFonts w:ascii="Calibri" w:hAnsi="Calibri"/>
          <w:b/>
          <w:color w:val="1F4E5F"/>
          <w:sz w:val="26"/>
        </w:rPr>
        <w:t>Documented Suggestions for Improvement</w:t>
      </w:r>
    </w:p>
    <w:p>
      <w:pPr>
        <w:pStyle w:val="ListBullet"/>
        <w:spacing w:after="80" w:line="276" w:lineRule="auto"/>
      </w:pPr>
      <w:r>
        <w:rPr>
          <w:rFonts w:ascii="Calibri" w:hAnsi="Calibri"/>
          <w:sz w:val="22"/>
        </w:rPr>
        <w:t>A published case-study review (Suraksha Marine) identifies three concrete, documented failure categories: a Risk Management failure (no systematic risk assessment existed for vessel-to-platform interface operations in adverse weather); a Design failure (gas-export risers were mounted on the weather-exposed side of the platform, outside protective structure); and a Procedural failure (no joint emergency procedure existed between platform and vessel crews for basket transfers in monsoon conditions).</w:t>
      </w:r>
    </w:p>
    <w:p>
      <w:pPr>
        <w:pStyle w:val="ListBullet"/>
        <w:spacing w:after="80" w:line="276" w:lineRule="auto"/>
      </w:pPr>
      <w:r>
        <w:rPr>
          <w:rFonts w:ascii="Calibri" w:hAnsi="Calibri"/>
          <w:sz w:val="22"/>
        </w:rPr>
        <w:t>The same review recommends integrating weather, equipment-status, and procedural-override signals into a single risk picture before authorizing a high-risk maneuver — rather than evaluating each factor (weather, thruster status, medical urgency) in isolation.</w:t>
      </w:r>
    </w:p>
    <w:p>
      <w:pPr>
        <w:spacing w:before="240" w:after="120"/>
      </w:pPr>
      <w:r>
        <w:rPr>
          <w:rFonts w:ascii="Calibri" w:hAnsi="Calibri"/>
          <w:b/>
          <w:color w:val="1F4E5F"/>
          <w:sz w:val="26"/>
        </w:rPr>
        <w:t>Relevance to VIGIL-AI</w:t>
      </w:r>
    </w:p>
    <w:p>
      <w:pPr>
        <w:spacing w:after="120" w:line="276" w:lineRule="auto"/>
      </w:pPr>
      <w:r>
        <w:rPr>
          <w:rFonts w:ascii="Calibri" w:hAnsi="Calibri"/>
          <w:sz w:val="22"/>
        </w:rPr>
        <w:t>This case is the direct basis for VIGIL-AI's Compounding/Cross-Type Cluster Detection (F23): the disaster resulted not from one repeated failure type but from several different kinds of degraded conditions — weather, mechanical, procedural — converging at once, a pattern a same-type clustering rule alone would miss.</w:t>
      </w:r>
    </w:p>
    <w:p>
      <w:pPr>
        <w:spacing w:after="360"/>
      </w:pPr>
      <w:r>
        <w:rPr>
          <w:rFonts w:ascii="Calibri" w:hAnsi="Calibri"/>
          <w:i/>
          <w:color w:val="666666"/>
          <w:sz w:val="19"/>
        </w:rPr>
        <w:t>Sources: Wikipedia, “2005 Mumbai High Fire”; Oil &amp; Gas Journal (28 Jul 2005); FABIG industrial accident case file; Suraksha Marine, “Mumbai High North Platform Disaster Case Study.”</w:t>
      </w:r>
    </w:p>
    <w:p>
      <w:pPr>
        <w:spacing w:before="320" w:after="160"/>
      </w:pPr>
      <w:r>
        <w:rPr>
          <w:rFonts w:ascii="Calibri" w:hAnsi="Calibri"/>
          <w:b/>
          <w:color w:val="1F4E5F"/>
          <w:sz w:val="32"/>
        </w:rPr>
        <w:t>The Jaipur Terminal Fire — Documented Institutional Findings</w:t>
      </w:r>
    </w:p>
    <w:p>
      <w:pPr>
        <w:spacing w:after="80"/>
      </w:pPr>
      <w:r>
        <w:rPr>
          <w:rFonts w:ascii="Calibri" w:hAnsi="Calibri"/>
          <w:i/>
          <w:color w:val="666666"/>
          <w:sz w:val="24"/>
        </w:rPr>
        <w:t>Indian Oil Corporation (IOC) Petroleum, Oil &amp; Lubricants Terminal, Sitapura</w:t>
      </w:r>
    </w:p>
    <w:tbl>
      <w:tblPr>
        <w:tblW w:type="auto" w:w="0"/>
        <w:jc w:val="center"/>
        <w:tblLook w:firstColumn="1" w:firstRow="1" w:lastColumn="0" w:lastRow="0" w:noHBand="0" w:noVBand="1" w:val="04A0"/>
      </w:tblPr>
      <w:tblGrid>
        <w:gridCol w:w="8208"/>
      </w:tblGrid>
      <w:tr>
        <w:tc>
          <w:tcPr>
            <w:tcW w:type="dxa" w:w="8208"/>
            <w:shd w:fill="EAF2F5"/>
            <w:tcMar>
              <w:top w:w="80" w:type="dxa"/>
              <w:bottom w:w="80" w:type="dxa"/>
              <w:left w:w="150" w:type="dxa"/>
              <w:right w:w="150" w:type="dxa"/>
            </w:tcMar>
          </w:tcPr>
          <w:p>
            <w:pPr>
              <w:spacing w:after="0"/>
            </w:pPr>
            <w:r>
              <w:rPr>
                <w:rFonts w:ascii="Calibri" w:hAnsi="Calibri"/>
                <w:b/>
                <w:color w:val="1F4E5F"/>
                <w:sz w:val="20"/>
              </w:rPr>
              <w:t>CASE 4 OF 6   —   INDIA</w:t>
            </w:r>
          </w:p>
        </w:tc>
      </w:tr>
    </w:tbl>
    <w:p>
      <w:pPr>
        <w:spacing w:after="120"/>
      </w:pPr>
    </w:p>
    <w:p>
      <w:pPr>
        <w:spacing w:after="80" w:line="276" w:lineRule="auto"/>
      </w:pPr>
      <w:r>
        <w:rPr>
          <w:rFonts w:ascii="Calibri" w:hAnsi="Calibri"/>
          <w:b/>
          <w:sz w:val="22"/>
        </w:rPr>
        <w:t xml:space="preserve">Role: </w:t>
      </w:r>
      <w:r>
        <w:rPr>
          <w:rFonts w:ascii="Calibri" w:hAnsi="Calibri"/>
          <w:sz w:val="22"/>
        </w:rPr>
        <w:t>IOC terminal workforce and surrounding residents; official findings presented by S.K. Roy, General Manager (HSE), Indian Oil Corporation</w:t>
      </w:r>
    </w:p>
    <w:p>
      <w:pPr>
        <w:spacing w:after="80" w:line="276" w:lineRule="auto"/>
      </w:pPr>
      <w:r>
        <w:rPr>
          <w:rFonts w:ascii="Calibri" w:hAnsi="Calibri"/>
          <w:b/>
          <w:sz w:val="22"/>
        </w:rPr>
        <w:t xml:space="preserve">Incident: </w:t>
      </w:r>
      <w:r>
        <w:rPr>
          <w:rFonts w:ascii="Calibri" w:hAnsi="Calibri"/>
          <w:sz w:val="22"/>
        </w:rPr>
        <w:t>Jaipur Oil Depot Fire (Vapour Cloud Explosion)</w:t>
      </w:r>
    </w:p>
    <w:p>
      <w:pPr>
        <w:spacing w:after="80" w:line="276" w:lineRule="auto"/>
      </w:pPr>
      <w:r>
        <w:rPr>
          <w:rFonts w:ascii="Calibri" w:hAnsi="Calibri"/>
          <w:b/>
          <w:sz w:val="22"/>
        </w:rPr>
        <w:t xml:space="preserve">Date &amp; Location: </w:t>
      </w:r>
      <w:r>
        <w:rPr>
          <w:rFonts w:ascii="Calibri" w:hAnsi="Calibri"/>
          <w:sz w:val="22"/>
        </w:rPr>
        <w:t>29 October 2009 — Sitapura Industrial Area, Jaipur, Rajasthan</w:t>
      </w:r>
    </w:p>
    <w:p>
      <w:pPr>
        <w:spacing w:before="240" w:after="120"/>
      </w:pPr>
      <w:r>
        <w:rPr>
          <w:rFonts w:ascii="Calibri" w:hAnsi="Calibri"/>
          <w:b/>
          <w:color w:val="1F4E5F"/>
          <w:sz w:val="26"/>
        </w:rPr>
        <w:t>What Happened</w:t>
      </w:r>
    </w:p>
    <w:p>
      <w:pPr>
        <w:spacing w:after="120" w:line="276" w:lineRule="auto"/>
      </w:pPr>
      <w:r>
        <w:rPr>
          <w:rFonts w:ascii="Calibri" w:hAnsi="Calibri"/>
          <w:sz w:val="22"/>
        </w:rPr>
        <w:t>A gasoline leak began at approximately 7:30 PM from a storage tank at IOC's Sitapura terminal. The leak went undetected and unignited for roughly 80 minutes, during which a vapour cloud spread over an area of about 180,000 square metres.</w:t>
      </w:r>
    </w:p>
    <w:p>
      <w:pPr>
        <w:spacing w:after="120" w:line="276" w:lineRule="auto"/>
      </w:pPr>
      <w:r>
        <w:rPr>
          <w:rFonts w:ascii="Calibri" w:hAnsi="Calibri"/>
          <w:sz w:val="22"/>
        </w:rPr>
        <w:t>The cloud ignited into a vapour cloud explosion and fire that killed 11–12 people (six of them depot employees) and injured over 150–300 more. The blaze burned for 11 days, destroyed the terminal, and forced the evacuation of roughly half a million residents from the surrounding area.</w:t>
      </w:r>
    </w:p>
    <w:p>
      <w:pPr>
        <w:spacing w:after="120" w:line="276" w:lineRule="auto"/>
      </w:pPr>
      <w:r>
        <w:rPr>
          <w:rFonts w:ascii="Calibri" w:hAnsi="Calibri"/>
          <w:sz w:val="22"/>
        </w:rPr>
        <w:t>Investigations found local fire services were not equipped for a fire of this scale, and that no disaster management plan existed for an incident of this magnitude at the depot.</w:t>
      </w:r>
    </w:p>
    <w:p>
      <w:pPr>
        <w:spacing w:before="240" w:after="120"/>
      </w:pPr>
      <w:r>
        <w:rPr>
          <w:rFonts w:ascii="Calibri" w:hAnsi="Calibri"/>
          <w:b/>
          <w:color w:val="1F4E5F"/>
          <w:sz w:val="26"/>
        </w:rPr>
        <w:t>Documented Testimony / Statements</w:t>
      </w:r>
    </w:p>
    <w:p>
      <w:pPr>
        <w:spacing w:after="120"/>
      </w:pPr>
      <w:r>
        <w:rPr>
          <w:rFonts w:ascii="Calibri" w:hAnsi="Calibri"/>
          <w:i/>
          <w:sz w:val="22"/>
        </w:rPr>
        <w:t>No individually named worker or resident testimony from this incident is part of the public record reviewed for this document. IOC's own internal safety review, however, is directly documented and is reproduced below in summary.</w:t>
      </w:r>
    </w:p>
    <w:p>
      <w:pPr>
        <w:spacing w:before="240" w:after="120"/>
      </w:pPr>
      <w:r>
        <w:rPr>
          <w:rFonts w:ascii="Calibri" w:hAnsi="Calibri"/>
          <w:b/>
          <w:color w:val="1F4E5F"/>
          <w:sz w:val="26"/>
        </w:rPr>
        <w:t>Documented Suggestions for Improvement</w:t>
      </w:r>
    </w:p>
    <w:p>
      <w:pPr>
        <w:pStyle w:val="ListBullet"/>
        <w:spacing w:after="80" w:line="276" w:lineRule="auto"/>
      </w:pPr>
      <w:r>
        <w:rPr>
          <w:rFonts w:ascii="Calibri" w:hAnsi="Calibri"/>
          <w:sz w:val="22"/>
        </w:rPr>
        <w:t>IOC's official post-incident HSE presentation (S.K. Roy, GM-HSE) states that a high safety priority from senior management sends the right signal down the operational chain, and calls for consistently maintaining a high degree of operational competence across all professional groups involved.</w:t>
      </w:r>
    </w:p>
    <w:p>
      <w:pPr>
        <w:pStyle w:val="ListBullet"/>
        <w:spacing w:after="80" w:line="276" w:lineRule="auto"/>
      </w:pPr>
      <w:r>
        <w:rPr>
          <w:rFonts w:ascii="Calibri" w:hAnsi="Calibri"/>
          <w:sz w:val="22"/>
        </w:rPr>
        <w:t>The same presentation recommends that lessons learned from major incidents be shared and disseminated across the industry through a common platform, rather than remaining internal to the company where the incident occurred.</w:t>
      </w:r>
    </w:p>
    <w:p>
      <w:pPr>
        <w:pStyle w:val="ListBullet"/>
        <w:spacing w:after="80" w:line="276" w:lineRule="auto"/>
      </w:pPr>
      <w:r>
        <w:rPr>
          <w:rFonts w:ascii="Calibri" w:hAnsi="Calibri"/>
          <w:sz w:val="22"/>
        </w:rPr>
        <w:t>Academic post-incident analysis (Assessment of an Accidental Vapour Cloud Explosion, cross-referencing Jaipur against Buncefield 2005 and Puerto Rico 2009) recommends a formal buffer zone of 50–100 metres between fuel storage depots and residential settlement, engineered as a physical barrier rather than left as an administrative distance.</w:t>
      </w:r>
    </w:p>
    <w:p>
      <w:pPr>
        <w:spacing w:before="240" w:after="120"/>
      </w:pPr>
      <w:r>
        <w:rPr>
          <w:rFonts w:ascii="Calibri" w:hAnsi="Calibri"/>
          <w:b/>
          <w:color w:val="1F4E5F"/>
          <w:sz w:val="26"/>
        </w:rPr>
        <w:t>Relevance to VIGIL-AI</w:t>
      </w:r>
    </w:p>
    <w:p>
      <w:pPr>
        <w:spacing w:after="120" w:line="276" w:lineRule="auto"/>
      </w:pPr>
      <w:r>
        <w:rPr>
          <w:rFonts w:ascii="Calibri" w:hAnsi="Calibri"/>
          <w:sz w:val="22"/>
        </w:rPr>
        <w:t>The 80-minute undetected leak window and the absence of a scaled disaster-management plan are the clearest real-world case for VIGIL-AI's OISD/DGMS Clause-Level Citation (F24) — mapping precursor reports directly against the specific Indian regulatory clauses (OISD-STD-105 on storage terminal safety) they were meant to satisfy.</w:t>
      </w:r>
    </w:p>
    <w:p>
      <w:pPr>
        <w:spacing w:after="360"/>
      </w:pPr>
      <w:r>
        <w:rPr>
          <w:rFonts w:ascii="Calibri" w:hAnsi="Calibri"/>
          <w:i/>
          <w:color w:val="666666"/>
          <w:sz w:val="19"/>
        </w:rPr>
        <w:t>Sources: Wikipedia, “2009 Jaipur Fire”; FABIG industrial accident case file; S.K. Roy (GM-HSE, IOC), “Jaipur Terminal Fire of 29.10.2009” internal presentation; ResearchGate, “Assessment of an Accidental Vapour Cloud Explosion…”</w:t>
      </w:r>
    </w:p>
    <w:p>
      <w:pPr>
        <w:spacing w:before="320" w:after="160"/>
      </w:pPr>
      <w:r>
        <w:rPr>
          <w:rFonts w:ascii="Calibri" w:hAnsi="Calibri"/>
          <w:b/>
          <w:color w:val="1F4E5F"/>
          <w:sz w:val="32"/>
        </w:rPr>
        <w:t>Mike Williams</w:t>
      </w:r>
    </w:p>
    <w:p>
      <w:pPr>
        <w:spacing w:after="80"/>
      </w:pPr>
      <w:r>
        <w:rPr>
          <w:rFonts w:ascii="Calibri" w:hAnsi="Calibri"/>
          <w:i/>
          <w:color w:val="666666"/>
          <w:sz w:val="24"/>
        </w:rPr>
        <w:t>Chief Electronics Technician, Deepwater Horizon (Transocean, leased by BP)</w:t>
      </w:r>
    </w:p>
    <w:tbl>
      <w:tblPr>
        <w:tblW w:type="auto" w:w="0"/>
        <w:jc w:val="center"/>
        <w:tblLook w:firstColumn="1" w:firstRow="1" w:lastColumn="0" w:lastRow="0" w:noHBand="0" w:noVBand="1" w:val="04A0"/>
      </w:tblPr>
      <w:tblGrid>
        <w:gridCol w:w="8208"/>
      </w:tblGrid>
      <w:tr>
        <w:tc>
          <w:tcPr>
            <w:tcW w:type="dxa" w:w="8208"/>
            <w:shd w:fill="EAF2F5"/>
            <w:tcMar>
              <w:top w:w="80" w:type="dxa"/>
              <w:bottom w:w="80" w:type="dxa"/>
              <w:left w:w="150" w:type="dxa"/>
              <w:right w:w="150" w:type="dxa"/>
            </w:tcMar>
          </w:tcPr>
          <w:p>
            <w:pPr>
              <w:spacing w:after="0"/>
            </w:pPr>
            <w:r>
              <w:rPr>
                <w:rFonts w:ascii="Calibri" w:hAnsi="Calibri"/>
                <w:b/>
                <w:color w:val="1F4E5F"/>
                <w:sz w:val="20"/>
              </w:rPr>
              <w:t>CASE 5 OF 6   —   INTERNATIONAL COMPARATOR</w:t>
            </w:r>
          </w:p>
        </w:tc>
      </w:tr>
    </w:tbl>
    <w:p>
      <w:pPr>
        <w:spacing w:after="120"/>
      </w:pPr>
    </w:p>
    <w:p>
      <w:pPr>
        <w:spacing w:after="80" w:line="276" w:lineRule="auto"/>
      </w:pPr>
      <w:r>
        <w:rPr>
          <w:rFonts w:ascii="Calibri" w:hAnsi="Calibri"/>
          <w:b/>
          <w:sz w:val="22"/>
        </w:rPr>
        <w:t xml:space="preserve">Role: </w:t>
      </w:r>
      <w:r>
        <w:rPr>
          <w:rFonts w:ascii="Calibri" w:hAnsi="Calibri"/>
          <w:sz w:val="22"/>
        </w:rPr>
        <w:t>Chief Electronics Technician</w:t>
      </w:r>
    </w:p>
    <w:p>
      <w:pPr>
        <w:spacing w:after="80" w:line="276" w:lineRule="auto"/>
      </w:pPr>
      <w:r>
        <w:rPr>
          <w:rFonts w:ascii="Calibri" w:hAnsi="Calibri"/>
          <w:b/>
          <w:sz w:val="22"/>
        </w:rPr>
        <w:t xml:space="preserve">Incident: </w:t>
      </w:r>
      <w:r>
        <w:rPr>
          <w:rFonts w:ascii="Calibri" w:hAnsi="Calibri"/>
          <w:sz w:val="22"/>
        </w:rPr>
        <w:t>Deepwater Horizon Blowout and Explosion</w:t>
      </w:r>
    </w:p>
    <w:p>
      <w:pPr>
        <w:spacing w:after="80" w:line="276" w:lineRule="auto"/>
      </w:pPr>
      <w:r>
        <w:rPr>
          <w:rFonts w:ascii="Calibri" w:hAnsi="Calibri"/>
          <w:b/>
          <w:sz w:val="22"/>
        </w:rPr>
        <w:t xml:space="preserve">Date &amp; Location: </w:t>
      </w:r>
      <w:r>
        <w:rPr>
          <w:rFonts w:ascii="Calibri" w:hAnsi="Calibri"/>
          <w:sz w:val="22"/>
        </w:rPr>
        <w:t>20 April 2010 — Macondo Prospect, Gulf of Mexico</w:t>
      </w:r>
    </w:p>
    <w:p>
      <w:pPr>
        <w:spacing w:before="240" w:after="120"/>
      </w:pPr>
      <w:r>
        <w:rPr>
          <w:rFonts w:ascii="Calibri" w:hAnsi="Calibri"/>
          <w:b/>
          <w:color w:val="1F4E5F"/>
          <w:sz w:val="26"/>
        </w:rPr>
        <w:t>What Happened</w:t>
      </w:r>
    </w:p>
    <w:p>
      <w:pPr>
        <w:spacing w:after="120" w:line="276" w:lineRule="auto"/>
      </w:pPr>
      <w:r>
        <w:rPr>
          <w:rFonts w:ascii="Calibri" w:hAnsi="Calibri"/>
          <w:sz w:val="22"/>
        </w:rPr>
        <w:t>In the weeks before the disaster, Williams and his team logged recurring digital control system glitches and warning lights on the rig's dynamic positioning and emergency disconnect systems — issues that were treated as maintenance workarounds rather than escalated, amid pressure to finish a project running significantly over budget.</w:t>
      </w:r>
    </w:p>
    <w:p>
      <w:pPr>
        <w:spacing w:after="120" w:line="276" w:lineRule="auto"/>
      </w:pPr>
      <w:r>
        <w:rPr>
          <w:rFonts w:ascii="Calibri" w:hAnsi="Calibri"/>
          <w:sz w:val="22"/>
        </w:rPr>
        <w:t>On the night of the explosion, high-pressure methane surged up the drill column and ignited. Williams survived by jumping more than 100 feet from the burning rig into the Gulf, sustaining serious injuries; 11 of his colleagues were killed.</w:t>
      </w:r>
    </w:p>
    <w:p>
      <w:pPr>
        <w:spacing w:after="120" w:line="276" w:lineRule="auto"/>
      </w:pPr>
      <w:r>
        <w:rPr>
          <w:rFonts w:ascii="Calibri" w:hAnsi="Calibri"/>
          <w:sz w:val="22"/>
        </w:rPr>
        <w:t>He went on to testify before the U.S. Congress and become a key witness in the federal investigation into the disaster.</w:t>
      </w:r>
    </w:p>
    <w:p>
      <w:pPr>
        <w:spacing w:before="240" w:after="120"/>
      </w:pPr>
      <w:r>
        <w:rPr>
          <w:rFonts w:ascii="Calibri" w:hAnsi="Calibri"/>
          <w:b/>
          <w:color w:val="1F4E5F"/>
          <w:sz w:val="26"/>
        </w:rPr>
        <w:t>Documented Testimony / Statements</w:t>
      </w:r>
    </w:p>
    <w:tbl>
      <w:tblPr>
        <w:tblW w:type="auto" w:w="0"/>
        <w:jc w:val="center"/>
        <w:tblLook w:firstColumn="1" w:firstRow="1" w:lastColumn="0" w:lastRow="0" w:noHBand="0" w:noVBand="1" w:val="04A0"/>
      </w:tblPr>
      <w:tblGrid>
        <w:gridCol w:w="8208"/>
      </w:tblGrid>
      <w:tr>
        <w:tc>
          <w:tcPr>
            <w:tcW w:type="dxa" w:w="8208"/>
            <w:shd w:fill="EAF2F5"/>
            <w:tcMar>
              <w:top w:w="120" w:type="dxa"/>
              <w:bottom w:w="120" w:type="dxa"/>
              <w:left w:w="200" w:type="dxa"/>
              <w:right w:w="200" w:type="dxa"/>
            </w:tcMar>
            <w:tcBorders>
              <w:left w:val="single" w:sz="24" w:space="0" w:color="1F4E5F"/>
              <w:top w:val="none"/>
              <w:right w:val="none"/>
              <w:bottom w:val="none"/>
            </w:tcBorders>
          </w:tcPr>
          <w:p>
            <w:pPr>
              <w:spacing w:after="0" w:line="276" w:lineRule="auto"/>
            </w:pPr>
            <w:r>
              <w:rPr>
                <w:rFonts w:ascii="Calibri" w:hAnsi="Calibri"/>
                <w:i/>
                <w:sz w:val="22"/>
              </w:rPr>
              <w:t>“It's okay to be scared. I'm scared, too.”</w:t>
              <w:br/>
            </w:r>
            <w:r>
              <w:rPr>
                <w:rFonts w:ascii="Calibri" w:hAnsi="Calibri"/>
                <w:i/>
                <w:color w:val="666666"/>
                <w:sz w:val="20"/>
              </w:rPr>
              <w:t>— Mike Williams to fellow crew member Andrea Fleytas, moments before jumping — as recounted in Carl Safina, A Sea in Flames</w:t>
            </w:r>
          </w:p>
        </w:tc>
      </w:tr>
    </w:tbl>
    <w:p>
      <w:pPr>
        <w:spacing w:after="120"/>
      </w:pPr>
    </w:p>
    <w:p>
      <w:pPr>
        <w:spacing w:before="240" w:after="120"/>
      </w:pPr>
      <w:r>
        <w:rPr>
          <w:rFonts w:ascii="Calibri" w:hAnsi="Calibri"/>
          <w:b/>
          <w:color w:val="1F4E5F"/>
          <w:sz w:val="26"/>
        </w:rPr>
        <w:t>Documented Suggestions for Improvement</w:t>
      </w:r>
    </w:p>
    <w:p>
      <w:pPr>
        <w:pStyle w:val="ListBullet"/>
        <w:spacing w:after="80" w:line="276" w:lineRule="auto"/>
      </w:pPr>
      <w:r>
        <w:rPr>
          <w:rFonts w:ascii="Calibri" w:hAnsi="Calibri"/>
          <w:sz w:val="22"/>
        </w:rPr>
        <w:t>In sworn Congressional testimony, Williams stated that key gas and fire alarms aboard the rig had been placed in an inhibited (silenced) mode prior to the explosion — a deliberate configuration intended to reduce nuisance alarms — and that this inhibited state meant the crew received no automated warning as gas flooded the rig.</w:t>
      </w:r>
    </w:p>
    <w:p>
      <w:pPr>
        <w:pStyle w:val="ListBullet"/>
        <w:spacing w:after="80" w:line="276" w:lineRule="auto"/>
      </w:pPr>
      <w:r>
        <w:rPr>
          <w:rFonts w:ascii="Calibri" w:hAnsi="Calibri"/>
          <w:sz w:val="22"/>
        </w:rPr>
        <w:t>His testimony, and the subsequent U.S. federal investigation, recommended that safety-critical alarm systems on offshore installations never be left in a bypassed or inhibited state during active operations, regardless of nuisance-alarm concerns.</w:t>
      </w:r>
    </w:p>
    <w:p>
      <w:pPr>
        <w:spacing w:before="240" w:after="120"/>
      </w:pPr>
      <w:r>
        <w:rPr>
          <w:rFonts w:ascii="Calibri" w:hAnsi="Calibri"/>
          <w:b/>
          <w:color w:val="1F4E5F"/>
          <w:sz w:val="26"/>
        </w:rPr>
        <w:t>Relevance to VIGIL-AI</w:t>
      </w:r>
    </w:p>
    <w:p>
      <w:pPr>
        <w:spacing w:after="120" w:line="276" w:lineRule="auto"/>
      </w:pPr>
      <w:r>
        <w:rPr>
          <w:rFonts w:ascii="Calibri" w:hAnsi="Calibri"/>
          <w:sz w:val="22"/>
        </w:rPr>
        <w:t>Williams's testimony is the direct real-world basis for VIGIL-AI's Disabled/Bypassed Safety-System Detector (F20): the alarms were not malfunctioning — they were deliberately silenced, which is precisely the distinct, higher-severity signal that feature is designed to catch.</w:t>
      </w:r>
    </w:p>
    <w:p>
      <w:pPr>
        <w:spacing w:after="360"/>
      </w:pPr>
      <w:r>
        <w:rPr>
          <w:rFonts w:ascii="Calibri" w:hAnsi="Calibri"/>
          <w:i/>
          <w:color w:val="666666"/>
          <w:sz w:val="19"/>
        </w:rPr>
        <w:t>Sources: C-SPAN, “Investigation of Deepwater Horizon Explosion, Mike Williams” testimony; CBS News, “Blowout: The Deepwater Horizon Disaster” (2010); Carl Safina, A Sea in Flames (2011).</w:t>
      </w:r>
    </w:p>
    <w:p>
      <w:pPr>
        <w:spacing w:before="320" w:after="160"/>
      </w:pPr>
      <w:r>
        <w:rPr>
          <w:rFonts w:ascii="Calibri" w:hAnsi="Calibri"/>
          <w:b/>
          <w:color w:val="1F4E5F"/>
          <w:sz w:val="32"/>
        </w:rPr>
        <w:t>Bob Ballantyne</w:t>
      </w:r>
    </w:p>
    <w:p>
      <w:pPr>
        <w:spacing w:after="80"/>
      </w:pPr>
      <w:r>
        <w:rPr>
          <w:rFonts w:ascii="Calibri" w:hAnsi="Calibri"/>
          <w:i/>
          <w:color w:val="666666"/>
          <w:sz w:val="24"/>
        </w:rPr>
        <w:t>Survivor, Piper Alpha (Occidental Petroleum)</w:t>
      </w:r>
    </w:p>
    <w:tbl>
      <w:tblPr>
        <w:tblW w:type="auto" w:w="0"/>
        <w:jc w:val="center"/>
        <w:tblLook w:firstColumn="1" w:firstRow="1" w:lastColumn="0" w:lastRow="0" w:noHBand="0" w:noVBand="1" w:val="04A0"/>
      </w:tblPr>
      <w:tblGrid>
        <w:gridCol w:w="8208"/>
      </w:tblGrid>
      <w:tr>
        <w:tc>
          <w:tcPr>
            <w:tcW w:type="dxa" w:w="8208"/>
            <w:shd w:fill="EAF2F5"/>
            <w:tcMar>
              <w:top w:w="80" w:type="dxa"/>
              <w:bottom w:w="80" w:type="dxa"/>
              <w:left w:w="150" w:type="dxa"/>
              <w:right w:w="150" w:type="dxa"/>
            </w:tcMar>
          </w:tcPr>
          <w:p>
            <w:pPr>
              <w:spacing w:after="0"/>
            </w:pPr>
            <w:r>
              <w:rPr>
                <w:rFonts w:ascii="Calibri" w:hAnsi="Calibri"/>
                <w:b/>
                <w:color w:val="1F4E5F"/>
                <w:sz w:val="20"/>
              </w:rPr>
              <w:t>CASE 6 OF 6   —   INTERNATIONAL COMPARATOR</w:t>
            </w:r>
          </w:p>
        </w:tc>
      </w:tr>
    </w:tbl>
    <w:p>
      <w:pPr>
        <w:spacing w:after="120"/>
      </w:pPr>
    </w:p>
    <w:p>
      <w:pPr>
        <w:spacing w:after="80" w:line="276" w:lineRule="auto"/>
      </w:pPr>
      <w:r>
        <w:rPr>
          <w:rFonts w:ascii="Calibri" w:hAnsi="Calibri"/>
          <w:b/>
          <w:sz w:val="22"/>
        </w:rPr>
        <w:t xml:space="preserve">Role: </w:t>
      </w:r>
      <w:r>
        <w:rPr>
          <w:rFonts w:ascii="Calibri" w:hAnsi="Calibri"/>
          <w:sz w:val="22"/>
        </w:rPr>
        <w:t>Platform worker</w:t>
      </w:r>
    </w:p>
    <w:p>
      <w:pPr>
        <w:spacing w:after="80" w:line="276" w:lineRule="auto"/>
      </w:pPr>
      <w:r>
        <w:rPr>
          <w:rFonts w:ascii="Calibri" w:hAnsi="Calibri"/>
          <w:b/>
          <w:sz w:val="22"/>
        </w:rPr>
        <w:t xml:space="preserve">Incident: </w:t>
      </w:r>
      <w:r>
        <w:rPr>
          <w:rFonts w:ascii="Calibri" w:hAnsi="Calibri"/>
          <w:sz w:val="22"/>
        </w:rPr>
        <w:t>Piper Alpha Explosion and Fire</w:t>
      </w:r>
    </w:p>
    <w:p>
      <w:pPr>
        <w:spacing w:after="80" w:line="276" w:lineRule="auto"/>
      </w:pPr>
      <w:r>
        <w:rPr>
          <w:rFonts w:ascii="Calibri" w:hAnsi="Calibri"/>
          <w:b/>
          <w:sz w:val="22"/>
        </w:rPr>
        <w:t xml:space="preserve">Date &amp; Location: </w:t>
      </w:r>
      <w:r>
        <w:rPr>
          <w:rFonts w:ascii="Calibri" w:hAnsi="Calibri"/>
          <w:sz w:val="22"/>
        </w:rPr>
        <w:t>6 July 1988 — North Sea, off Aberdeen, Scotland</w:t>
      </w:r>
    </w:p>
    <w:p>
      <w:pPr>
        <w:spacing w:before="240" w:after="120"/>
      </w:pPr>
      <w:r>
        <w:rPr>
          <w:rFonts w:ascii="Calibri" w:hAnsi="Calibri"/>
          <w:b/>
          <w:color w:val="1F4E5F"/>
          <w:sz w:val="26"/>
        </w:rPr>
        <w:t>What Happened</w:t>
      </w:r>
    </w:p>
    <w:p>
      <w:pPr>
        <w:spacing w:after="120" w:line="276" w:lineRule="auto"/>
      </w:pPr>
      <w:r>
        <w:rPr>
          <w:rFonts w:ascii="Calibri" w:hAnsi="Calibri"/>
          <w:sz w:val="22"/>
        </w:rPr>
        <w:t>When fire broke out, standard evacuation protocol directed the crew to gather in the accommodation block to await helicopter rescue — but the automatic firewater deluge system had been shut off for maintenance, and thick, toxic smoke soon began filling the accommodation quarters.</w:t>
      </w:r>
    </w:p>
    <w:p>
      <w:pPr>
        <w:spacing w:after="120" w:line="276" w:lineRule="auto"/>
      </w:pPr>
      <w:r>
        <w:rPr>
          <w:rFonts w:ascii="Calibri" w:hAnsi="Calibri"/>
          <w:sz w:val="22"/>
        </w:rPr>
        <w:t>Ballantyne broke from the order to remain inside, climbed down a structural rope, and jumped roughly 68 feet into the sea. He was one of 61 survivors out of 226 men aboard; 167 of his colleagues died.</w:t>
      </w:r>
    </w:p>
    <w:p>
      <w:pPr>
        <w:spacing w:after="120" w:line="276" w:lineRule="auto"/>
      </w:pPr>
      <w:r>
        <w:rPr>
          <w:rFonts w:ascii="Calibri" w:hAnsi="Calibri"/>
          <w:sz w:val="22"/>
        </w:rPr>
        <w:t>He suffered severe respiratory damage, hypothermia, and lasting PTSD and survivor's guilt. He died 13 years after the disaster; his family and daughter have attributed his early death to the disaster's lifelong toll.</w:t>
      </w:r>
    </w:p>
    <w:p>
      <w:pPr>
        <w:spacing w:before="240" w:after="120"/>
      </w:pPr>
      <w:r>
        <w:rPr>
          <w:rFonts w:ascii="Calibri" w:hAnsi="Calibri"/>
          <w:b/>
          <w:color w:val="1F4E5F"/>
          <w:sz w:val="26"/>
        </w:rPr>
        <w:t>Documented Testimony / Statements</w:t>
      </w:r>
    </w:p>
    <w:p>
      <w:pPr>
        <w:spacing w:after="120"/>
      </w:pPr>
      <w:r>
        <w:rPr>
          <w:rFonts w:ascii="Calibri" w:hAnsi="Calibri"/>
          <w:i/>
          <w:sz w:val="22"/>
        </w:rPr>
        <w:t>Ballantyne's own reflections are documented through his daughter, BBC Scotland journalist Iona Ballantyne, who has spoken and written publicly about her father's experience and his advocacy.</w:t>
      </w:r>
    </w:p>
    <w:p>
      <w:pPr>
        <w:spacing w:before="240" w:after="120"/>
      </w:pPr>
      <w:r>
        <w:rPr>
          <w:rFonts w:ascii="Calibri" w:hAnsi="Calibri"/>
          <w:b/>
          <w:color w:val="1F4E5F"/>
          <w:sz w:val="26"/>
        </w:rPr>
        <w:t>Aftermath</w:t>
      </w:r>
    </w:p>
    <w:p>
      <w:pPr>
        <w:spacing w:after="120" w:line="276" w:lineRule="auto"/>
      </w:pPr>
      <w:r>
        <w:rPr>
          <w:rFonts w:ascii="Calibri" w:hAnsi="Calibri"/>
          <w:sz w:val="22"/>
        </w:rPr>
        <w:t>Ballantyne became a vocal advocate for offshore workers' rights after the disaster. His daughter has said he championed workplaces built on safety, reasonable working hours, and compassionate management — and believed the value of offshore workers' lives was inseparable from the industry's economic gains.</w:t>
      </w:r>
    </w:p>
    <w:p>
      <w:pPr>
        <w:spacing w:after="120" w:line="276" w:lineRule="auto"/>
      </w:pPr>
      <w:r>
        <w:rPr>
          <w:rFonts w:ascii="Calibri" w:hAnsi="Calibri"/>
          <w:sz w:val="22"/>
        </w:rPr>
        <w:t>His testimony contributed to the 13-month public inquiry led by Lord Cullen, whose findings led to major changes in UK offshore safety regulation — including shifting oversight from the commercially-linked Department of Energy to the independent Health and Safety Executive (HSE), specifically to remove that conflict of interest.</w:t>
      </w:r>
    </w:p>
    <w:p>
      <w:pPr>
        <w:spacing w:before="240" w:after="120"/>
      </w:pPr>
      <w:r>
        <w:rPr>
          <w:rFonts w:ascii="Calibri" w:hAnsi="Calibri"/>
          <w:b/>
          <w:color w:val="1F4E5F"/>
          <w:sz w:val="26"/>
        </w:rPr>
        <w:t>Documented Suggestions for Improvement</w:t>
      </w:r>
    </w:p>
    <w:p>
      <w:pPr>
        <w:pStyle w:val="ListBullet"/>
        <w:spacing w:after="80" w:line="276" w:lineRule="auto"/>
      </w:pPr>
      <w:r>
        <w:rPr>
          <w:rFonts w:ascii="Calibri" w:hAnsi="Calibri"/>
          <w:sz w:val="22"/>
        </w:rPr>
        <w:t>The core, most-cited institutional failure in the Cullen Report was a breakdown in shift handover and permit-to-work communication: a safety valve removed for maintenance on the day shift was not adequately logged for the night shift, which restarted a connected pump believing the valve was operational.</w:t>
      </w:r>
    </w:p>
    <w:p>
      <w:pPr>
        <w:pStyle w:val="ListBullet"/>
        <w:spacing w:after="80" w:line="276" w:lineRule="auto"/>
      </w:pPr>
      <w:r>
        <w:rPr>
          <w:rFonts w:ascii="Calibri" w:hAnsi="Calibri"/>
          <w:sz w:val="22"/>
        </w:rPr>
        <w:t>Lord Cullen, reflecting decades later, said he continued to worry that offshore workers might still not feel free to voice safety concerns — underscoring that Piper Alpha's core lesson was cultural as much as procedural.</w:t>
      </w:r>
    </w:p>
    <w:p>
      <w:pPr>
        <w:spacing w:before="240" w:after="120"/>
      </w:pPr>
      <w:r>
        <w:rPr>
          <w:rFonts w:ascii="Calibri" w:hAnsi="Calibri"/>
          <w:b/>
          <w:color w:val="1F4E5F"/>
          <w:sz w:val="26"/>
        </w:rPr>
        <w:t>Relevance to VIGIL-AI</w:t>
      </w:r>
    </w:p>
    <w:p>
      <w:pPr>
        <w:spacing w:after="120" w:line="276" w:lineRule="auto"/>
      </w:pPr>
      <w:r>
        <w:rPr>
          <w:rFonts w:ascii="Calibri" w:hAnsi="Calibri"/>
          <w:sz w:val="22"/>
        </w:rPr>
        <w:t>Piper Alpha is the founding real-world case for VIGIL-AI's Shift Handover Integrity Checker (F22): the disaster is the clearest documented example in the industry's history of a safety-critical equipment status failing to carry across a shift change.</w:t>
      </w:r>
    </w:p>
    <w:p>
      <w:pPr>
        <w:spacing w:after="360"/>
      </w:pPr>
      <w:r>
        <w:rPr>
          <w:rFonts w:ascii="Calibri" w:hAnsi="Calibri"/>
          <w:i/>
          <w:color w:val="666666"/>
          <w:sz w:val="19"/>
        </w:rPr>
        <w:t>Sources: BBC News, “My dad survived the Piper Alpha disaster” (2018); BBC News, “Me, my dad and the unanswered questions of Piper Alpha” (2018); Sunday Post / Scottish Daily Express (2021); STV Productions/BBC, Piper Alpha: Fire in the Night (2013).</w:t>
      </w:r>
    </w:p>
    <w:p>
      <w:pPr>
        <w:spacing w:before="320" w:after="160"/>
      </w:pPr>
      <w:r>
        <w:rPr>
          <w:rFonts w:ascii="Calibri" w:hAnsi="Calibri"/>
          <w:b/>
          <w:color w:val="1F4E5F"/>
          <w:sz w:val="32"/>
        </w:rPr>
        <w:t>Cross-Case Synthesis</w:t>
      </w:r>
    </w:p>
    <w:p>
      <w:pPr>
        <w:spacing w:after="120" w:line="276" w:lineRule="auto"/>
      </w:pPr>
      <w:r>
        <w:rPr>
          <w:rFonts w:ascii="Calibri" w:hAnsi="Calibri"/>
          <w:sz w:val="22"/>
        </w:rPr>
        <w:t>Read together, these six cases point to the same handful of recurring, documentable failure patterns — not six unrelated tragedies:</w:t>
      </w:r>
    </w:p>
    <w:tbl>
      <w:tblPr>
        <w:tblW w:type="auto" w:w="0"/>
        <w:jc w:val="center"/>
        <w:tblLook w:firstColumn="1" w:firstRow="1" w:lastColumn="0" w:lastRow="0" w:noHBand="0" w:noVBand="1" w:val="04A0"/>
      </w:tblPr>
      <w:tblGrid>
        <w:gridCol w:w="2736"/>
        <w:gridCol w:w="2736"/>
        <w:gridCol w:w="2736"/>
      </w:tblGrid>
      <w:tr>
        <w:tc>
          <w:tcPr>
            <w:tcW w:type="dxa" w:w="3168"/>
            <w:tcMar>
              <w:top w:w="100" w:type="dxa"/>
              <w:bottom w:w="100" w:type="dxa"/>
              <w:left w:w="150" w:type="dxa"/>
              <w:right w:w="150" w:type="dxa"/>
            </w:tcMar>
            <w:shd w:fill="1F4E5F"/>
          </w:tcPr>
          <w:p>
            <w:pPr>
              <w:spacing w:after="0"/>
            </w:pPr>
            <w:r>
              <w:rPr>
                <w:rFonts w:ascii="Calibri" w:hAnsi="Calibri"/>
                <w:b/>
                <w:color w:val="FFFFFF"/>
                <w:sz w:val="21"/>
              </w:rPr>
              <w:t>Pattern</w:t>
            </w:r>
          </w:p>
        </w:tc>
        <w:tc>
          <w:tcPr>
            <w:tcW w:type="dxa" w:w="3744"/>
            <w:tcMar>
              <w:top w:w="100" w:type="dxa"/>
              <w:bottom w:w="100" w:type="dxa"/>
              <w:left w:w="150" w:type="dxa"/>
              <w:right w:w="150" w:type="dxa"/>
            </w:tcMar>
            <w:shd w:fill="1F4E5F"/>
          </w:tcPr>
          <w:p>
            <w:pPr>
              <w:spacing w:after="0"/>
            </w:pPr>
            <w:r>
              <w:rPr>
                <w:rFonts w:ascii="Calibri" w:hAnsi="Calibri"/>
                <w:b/>
                <w:color w:val="FFFFFF"/>
                <w:sz w:val="21"/>
              </w:rPr>
              <w:t>Cases Where Documented</w:t>
            </w:r>
          </w:p>
        </w:tc>
        <w:tc>
          <w:tcPr>
            <w:tcW w:type="dxa" w:w="3168"/>
            <w:tcMar>
              <w:top w:w="100" w:type="dxa"/>
              <w:bottom w:w="100" w:type="dxa"/>
              <w:left w:w="150" w:type="dxa"/>
              <w:right w:w="150" w:type="dxa"/>
            </w:tcMar>
            <w:shd w:fill="1F4E5F"/>
          </w:tcPr>
          <w:p>
            <w:pPr>
              <w:spacing w:after="0"/>
            </w:pPr>
            <w:r>
              <w:rPr>
                <w:rFonts w:ascii="Calibri" w:hAnsi="Calibri"/>
                <w:b/>
                <w:color w:val="FFFFFF"/>
                <w:sz w:val="21"/>
              </w:rPr>
              <w:t>VIGIL-AI Feature</w:t>
            </w:r>
          </w:p>
        </w:tc>
      </w:tr>
      <w:tr>
        <w:tc>
          <w:tcPr>
            <w:tcW w:type="dxa" w:w="3168"/>
            <w:tcMar>
              <w:top w:w="100" w:type="dxa"/>
              <w:bottom w:w="100" w:type="dxa"/>
              <w:left w:w="150" w:type="dxa"/>
              <w:right w:w="150" w:type="dxa"/>
            </w:tcMar>
            <w:shd w:fill="EAF2F5"/>
          </w:tcPr>
          <w:p>
            <w:pPr>
              <w:spacing w:after="0"/>
            </w:pPr>
            <w:r>
              <w:rPr>
                <w:rFonts w:ascii="Calibri" w:hAnsi="Calibri"/>
                <w:sz w:val="20"/>
              </w:rPr>
              <w:t>Low-severity precursors logged but never aggregated</w:t>
            </w:r>
          </w:p>
        </w:tc>
        <w:tc>
          <w:tcPr>
            <w:tcW w:type="dxa" w:w="3744"/>
            <w:tcMar>
              <w:top w:w="100" w:type="dxa"/>
              <w:bottom w:w="100" w:type="dxa"/>
              <w:left w:w="150" w:type="dxa"/>
              <w:right w:w="150" w:type="dxa"/>
            </w:tcMar>
            <w:shd w:fill="EAF2F5"/>
          </w:tcPr>
          <w:p>
            <w:pPr>
              <w:spacing w:after="0"/>
            </w:pPr>
            <w:r>
              <w:rPr>
                <w:rFonts w:ascii="Calibri" w:hAnsi="Calibri"/>
                <w:sz w:val="20"/>
              </w:rPr>
              <w:t>Baghjan; Bhopal</w:t>
            </w:r>
          </w:p>
        </w:tc>
        <w:tc>
          <w:tcPr>
            <w:tcW w:type="dxa" w:w="3168"/>
            <w:tcMar>
              <w:top w:w="100" w:type="dxa"/>
              <w:bottom w:w="100" w:type="dxa"/>
              <w:left w:w="150" w:type="dxa"/>
              <w:right w:w="150" w:type="dxa"/>
            </w:tcMar>
            <w:shd w:fill="EAF2F5"/>
          </w:tcPr>
          <w:p>
            <w:pPr>
              <w:spacing w:after="0"/>
            </w:pPr>
            <w:r>
              <w:rPr>
                <w:rFonts w:ascii="Calibri" w:hAnsi="Calibri"/>
                <w:sz w:val="20"/>
              </w:rPr>
              <w:t>Near-Miss Multiplier (F7)</w:t>
            </w:r>
          </w:p>
        </w:tc>
      </w:tr>
      <w:tr>
        <w:tc>
          <w:tcPr>
            <w:tcW w:type="dxa" w:w="3168"/>
            <w:tcMar>
              <w:top w:w="100" w:type="dxa"/>
              <w:bottom w:w="100" w:type="dxa"/>
              <w:left w:w="150" w:type="dxa"/>
              <w:right w:w="150" w:type="dxa"/>
            </w:tcMar>
            <w:shd w:fill="FFFFFF"/>
          </w:tcPr>
          <w:p>
            <w:pPr>
              <w:spacing w:after="0"/>
            </w:pPr>
            <w:r>
              <w:rPr>
                <w:rFonts w:ascii="Calibri" w:hAnsi="Calibri"/>
                <w:sz w:val="20"/>
              </w:rPr>
              <w:t>Independent/outside warning dismissed by management</w:t>
            </w:r>
          </w:p>
        </w:tc>
        <w:tc>
          <w:tcPr>
            <w:tcW w:type="dxa" w:w="3744"/>
            <w:tcMar>
              <w:top w:w="100" w:type="dxa"/>
              <w:bottom w:w="100" w:type="dxa"/>
              <w:left w:w="150" w:type="dxa"/>
              <w:right w:w="150" w:type="dxa"/>
            </w:tcMar>
            <w:shd w:fill="FFFFFF"/>
          </w:tcPr>
          <w:p>
            <w:pPr>
              <w:spacing w:after="0"/>
            </w:pPr>
            <w:r>
              <w:rPr>
                <w:rFonts w:ascii="Calibri" w:hAnsi="Calibri"/>
                <w:sz w:val="20"/>
              </w:rPr>
              <w:t>Bhopal (Keswani)</w:t>
            </w:r>
          </w:p>
        </w:tc>
        <w:tc>
          <w:tcPr>
            <w:tcW w:type="dxa" w:w="3168"/>
            <w:tcMar>
              <w:top w:w="100" w:type="dxa"/>
              <w:bottom w:w="100" w:type="dxa"/>
              <w:left w:w="150" w:type="dxa"/>
              <w:right w:w="150" w:type="dxa"/>
            </w:tcMar>
            <w:shd w:fill="FFFFFF"/>
          </w:tcPr>
          <w:p>
            <w:pPr>
              <w:spacing w:after="0"/>
            </w:pPr>
            <w:r>
              <w:rPr>
                <w:rFonts w:ascii="Calibri" w:hAnsi="Calibri"/>
                <w:sz w:val="20"/>
              </w:rPr>
              <w:t>Normalization-of-Deviance Flag (F21)</w:t>
            </w:r>
          </w:p>
        </w:tc>
      </w:tr>
      <w:tr>
        <w:tc>
          <w:tcPr>
            <w:tcW w:type="dxa" w:w="3168"/>
            <w:tcMar>
              <w:top w:w="100" w:type="dxa"/>
              <w:bottom w:w="100" w:type="dxa"/>
              <w:left w:w="150" w:type="dxa"/>
              <w:right w:w="150" w:type="dxa"/>
            </w:tcMar>
            <w:shd w:fill="EAF2F5"/>
          </w:tcPr>
          <w:p>
            <w:pPr>
              <w:spacing w:after="0"/>
            </w:pPr>
            <w:r>
              <w:rPr>
                <w:rFonts w:ascii="Calibri" w:hAnsi="Calibri"/>
                <w:sz w:val="20"/>
              </w:rPr>
              <w:t>Safety system deliberately disabled, not malfunctioning</w:t>
            </w:r>
          </w:p>
        </w:tc>
        <w:tc>
          <w:tcPr>
            <w:tcW w:type="dxa" w:w="3744"/>
            <w:tcMar>
              <w:top w:w="100" w:type="dxa"/>
              <w:bottom w:w="100" w:type="dxa"/>
              <w:left w:w="150" w:type="dxa"/>
              <w:right w:w="150" w:type="dxa"/>
            </w:tcMar>
            <w:shd w:fill="EAF2F5"/>
          </w:tcPr>
          <w:p>
            <w:pPr>
              <w:spacing w:after="0"/>
            </w:pPr>
            <w:r>
              <w:rPr>
                <w:rFonts w:ascii="Calibri" w:hAnsi="Calibri"/>
                <w:sz w:val="20"/>
              </w:rPr>
              <w:t>Piper Alpha; Deepwater Horizon</w:t>
            </w:r>
          </w:p>
        </w:tc>
        <w:tc>
          <w:tcPr>
            <w:tcW w:type="dxa" w:w="3168"/>
            <w:tcMar>
              <w:top w:w="100" w:type="dxa"/>
              <w:bottom w:w="100" w:type="dxa"/>
              <w:left w:w="150" w:type="dxa"/>
              <w:right w:w="150" w:type="dxa"/>
            </w:tcMar>
            <w:shd w:fill="EAF2F5"/>
          </w:tcPr>
          <w:p>
            <w:pPr>
              <w:spacing w:after="0"/>
            </w:pPr>
            <w:r>
              <w:rPr>
                <w:rFonts w:ascii="Calibri" w:hAnsi="Calibri"/>
                <w:sz w:val="20"/>
              </w:rPr>
              <w:t>Bypassed Safety-System Detector (F20)</w:t>
            </w:r>
          </w:p>
        </w:tc>
      </w:tr>
      <w:tr>
        <w:tc>
          <w:tcPr>
            <w:tcW w:type="dxa" w:w="3168"/>
            <w:tcMar>
              <w:top w:w="100" w:type="dxa"/>
              <w:bottom w:w="100" w:type="dxa"/>
              <w:left w:w="150" w:type="dxa"/>
              <w:right w:w="150" w:type="dxa"/>
            </w:tcMar>
            <w:shd w:fill="FFFFFF"/>
          </w:tcPr>
          <w:p>
            <w:pPr>
              <w:spacing w:after="0"/>
            </w:pPr>
            <w:r>
              <w:rPr>
                <w:rFonts w:ascii="Calibri" w:hAnsi="Calibri"/>
                <w:sz w:val="20"/>
              </w:rPr>
              <w:t>Equipment status lost across a shift or crew change</w:t>
            </w:r>
          </w:p>
        </w:tc>
        <w:tc>
          <w:tcPr>
            <w:tcW w:type="dxa" w:w="3744"/>
            <w:tcMar>
              <w:top w:w="100" w:type="dxa"/>
              <w:bottom w:w="100" w:type="dxa"/>
              <w:left w:w="150" w:type="dxa"/>
              <w:right w:w="150" w:type="dxa"/>
            </w:tcMar>
            <w:shd w:fill="FFFFFF"/>
          </w:tcPr>
          <w:p>
            <w:pPr>
              <w:spacing w:after="0"/>
            </w:pPr>
            <w:r>
              <w:rPr>
                <w:rFonts w:ascii="Calibri" w:hAnsi="Calibri"/>
                <w:sz w:val="20"/>
              </w:rPr>
              <w:t>Piper Alpha</w:t>
            </w:r>
          </w:p>
        </w:tc>
        <w:tc>
          <w:tcPr>
            <w:tcW w:type="dxa" w:w="3168"/>
            <w:tcMar>
              <w:top w:w="100" w:type="dxa"/>
              <w:bottom w:w="100" w:type="dxa"/>
              <w:left w:w="150" w:type="dxa"/>
              <w:right w:w="150" w:type="dxa"/>
            </w:tcMar>
            <w:shd w:fill="FFFFFF"/>
          </w:tcPr>
          <w:p>
            <w:pPr>
              <w:spacing w:after="0"/>
            </w:pPr>
            <w:r>
              <w:rPr>
                <w:rFonts w:ascii="Calibri" w:hAnsi="Calibri"/>
                <w:sz w:val="20"/>
              </w:rPr>
              <w:t>Shift Handover Integrity Checker (F22)</w:t>
            </w:r>
          </w:p>
        </w:tc>
      </w:tr>
      <w:tr>
        <w:tc>
          <w:tcPr>
            <w:tcW w:type="dxa" w:w="3168"/>
            <w:tcMar>
              <w:top w:w="100" w:type="dxa"/>
              <w:bottom w:w="100" w:type="dxa"/>
              <w:left w:w="150" w:type="dxa"/>
              <w:right w:w="150" w:type="dxa"/>
            </w:tcMar>
            <w:shd w:fill="EAF2F5"/>
          </w:tcPr>
          <w:p>
            <w:pPr>
              <w:spacing w:after="0"/>
            </w:pPr>
            <w:r>
              <w:rPr>
                <w:rFonts w:ascii="Calibri" w:hAnsi="Calibri"/>
                <w:sz w:val="20"/>
              </w:rPr>
              <w:t>Multiple different risk factors converging at once</w:t>
            </w:r>
          </w:p>
        </w:tc>
        <w:tc>
          <w:tcPr>
            <w:tcW w:type="dxa" w:w="3744"/>
            <w:tcMar>
              <w:top w:w="100" w:type="dxa"/>
              <w:bottom w:w="100" w:type="dxa"/>
              <w:left w:w="150" w:type="dxa"/>
              <w:right w:w="150" w:type="dxa"/>
            </w:tcMar>
            <w:shd w:fill="EAF2F5"/>
          </w:tcPr>
          <w:p>
            <w:pPr>
              <w:spacing w:after="0"/>
            </w:pPr>
            <w:r>
              <w:rPr>
                <w:rFonts w:ascii="Calibri" w:hAnsi="Calibri"/>
                <w:sz w:val="20"/>
              </w:rPr>
              <w:t>Mumbai High North</w:t>
            </w:r>
          </w:p>
        </w:tc>
        <w:tc>
          <w:tcPr>
            <w:tcW w:type="dxa" w:w="3168"/>
            <w:tcMar>
              <w:top w:w="100" w:type="dxa"/>
              <w:bottom w:w="100" w:type="dxa"/>
              <w:left w:w="150" w:type="dxa"/>
              <w:right w:w="150" w:type="dxa"/>
            </w:tcMar>
            <w:shd w:fill="EAF2F5"/>
          </w:tcPr>
          <w:p>
            <w:pPr>
              <w:spacing w:after="0"/>
            </w:pPr>
            <w:r>
              <w:rPr>
                <w:rFonts w:ascii="Calibri" w:hAnsi="Calibri"/>
                <w:sz w:val="20"/>
              </w:rPr>
              <w:t>Compounding Cluster Detection (F23)</w:t>
            </w:r>
          </w:p>
        </w:tc>
      </w:tr>
      <w:tr>
        <w:tc>
          <w:tcPr>
            <w:tcW w:type="dxa" w:w="3168"/>
            <w:tcMar>
              <w:top w:w="100" w:type="dxa"/>
              <w:bottom w:w="100" w:type="dxa"/>
              <w:left w:w="150" w:type="dxa"/>
              <w:right w:w="150" w:type="dxa"/>
            </w:tcMar>
            <w:shd w:fill="FFFFFF"/>
          </w:tcPr>
          <w:p>
            <w:pPr>
              <w:spacing w:after="0"/>
            </w:pPr>
            <w:r>
              <w:rPr>
                <w:rFonts w:ascii="Calibri" w:hAnsi="Calibri"/>
                <w:sz w:val="20"/>
              </w:rPr>
              <w:t>No scaled disaster/emergency plan for the actual risk</w:t>
            </w:r>
          </w:p>
        </w:tc>
        <w:tc>
          <w:tcPr>
            <w:tcW w:type="dxa" w:w="3744"/>
            <w:tcMar>
              <w:top w:w="100" w:type="dxa"/>
              <w:bottom w:w="100" w:type="dxa"/>
              <w:left w:w="150" w:type="dxa"/>
              <w:right w:w="150" w:type="dxa"/>
            </w:tcMar>
            <w:shd w:fill="FFFFFF"/>
          </w:tcPr>
          <w:p>
            <w:pPr>
              <w:spacing w:after="0"/>
            </w:pPr>
            <w:r>
              <w:rPr>
                <w:rFonts w:ascii="Calibri" w:hAnsi="Calibri"/>
                <w:sz w:val="20"/>
              </w:rPr>
              <w:t>Jaipur</w:t>
            </w:r>
          </w:p>
        </w:tc>
        <w:tc>
          <w:tcPr>
            <w:tcW w:type="dxa" w:w="3168"/>
            <w:tcMar>
              <w:top w:w="100" w:type="dxa"/>
              <w:bottom w:w="100" w:type="dxa"/>
              <w:left w:w="150" w:type="dxa"/>
              <w:right w:w="150" w:type="dxa"/>
            </w:tcMar>
            <w:shd w:fill="FFFFFF"/>
          </w:tcPr>
          <w:p>
            <w:pPr>
              <w:spacing w:after="0"/>
            </w:pPr>
            <w:r>
              <w:rPr>
                <w:rFonts w:ascii="Calibri" w:hAnsi="Calibri"/>
                <w:sz w:val="20"/>
              </w:rPr>
              <w:t>OISD/DGMS Clause Citation (F24)</w:t>
            </w:r>
          </w:p>
        </w:tc>
      </w:tr>
    </w:tbl>
    <w:p>
      <w:pPr>
        <w:spacing w:after="240"/>
      </w:pPr>
    </w:p>
    <w:p>
      <w:pPr>
        <w:spacing w:after="120" w:line="276" w:lineRule="auto"/>
      </w:pPr>
      <w:r>
        <w:rPr>
          <w:rFonts w:ascii="Calibri" w:hAnsi="Calibri"/>
          <w:sz w:val="22"/>
        </w:rPr>
        <w:t>This is the intended use of this document: each profile above is not just a human-interest narrative for the pitch, but a traceable source for a specific, buildable feature — the same grounding relationship used for F19–F27 in the Recommended Feature Additions document.</w:t>
      </w:r>
    </w:p>
    <w:sectPr w:rsidR="00FC693F" w:rsidRPr="0006063C" w:rsidSect="00034616">
      <w:pgSz w:w="12240" w:h="15840"/>
      <w:pgMar w:top="1440" w:right="2016" w:bottom="1440"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