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6B63"/>
          <w:sz w:val="48"/>
        </w:rPr>
        <w:t>संकेत · SANKET AI</w:t>
      </w:r>
    </w:p>
    <w:p>
      <w:pPr>
        <w:jc w:val="center"/>
      </w:pPr>
      <w:r>
        <w:rPr>
          <w:rFonts w:ascii="Arial" w:hAnsi="Arial"/>
          <w:i/>
          <w:color w:val="5E7072"/>
          <w:sz w:val="24"/>
        </w:rPr>
        <w:t>Smart India Hackathon 2026 — Presentation Flows &amp; Word-for-Word Pitch Scripts</w:t>
        <w:br/>
        <w:t>Team NextGenZ | Oil &amp; Gas Safety AI</w:t>
      </w:r>
    </w:p>
    <w:p>
      <w:pPr>
        <w:jc w:val="center"/>
      </w:pPr>
      <w:r>
        <w:t>――――――――――――――――――――――――――――――――――――――――――――――――</w:t>
      </w:r>
    </w:p>
    <w:p>
      <w:pPr>
        <w:pStyle w:val="Heading1"/>
      </w:pPr>
      <w:r>
        <w:rPr>
          <w:rFonts w:ascii="Arial" w:hAnsi="Arial"/>
          <w:b/>
          <w:color w:val="0A6B63"/>
        </w:rPr>
        <w:t>PART 1: SLIDE 1 — TECHNICAL APPROACH</w:t>
      </w:r>
    </w:p>
    <w:p>
      <w:r>
        <w:rPr>
          <w:b/>
        </w:rPr>
        <w:t xml:space="preserve">Target Slide Title: </w:t>
      </w:r>
      <w:r>
        <w:t>संकेत · SANKET AI — Technical Approach</w:t>
        <w:br/>
      </w:r>
      <w:r>
        <w:rPr>
          <w:b/>
        </w:rPr>
        <w:t xml:space="preserve">Target Delivery Duration: </w:t>
      </w:r>
      <w:r>
        <w:t>2.5 to 3.0 Minutes</w:t>
        <w:br/>
      </w:r>
      <w:r>
        <w:rPr>
          <w:b/>
        </w:rPr>
        <w:t xml:space="preserve">Primary Objective: </w:t>
      </w:r>
      <w:r>
        <w:t>Demonstrate an end-to-end industrial pipeline from frontline worker voice to edge DB, 0 KB/s air-gap AI, supervisor command center, and statutory DGMS compliance.</w:t>
      </w:r>
    </w:p>
    <w:tbl>
      <w:tblPr>
        <w:tblW w:type="auto" w:w="0"/>
        <w:jc w:val="center"/>
        <w:tblLook w:firstColumn="1" w:firstRow="1" w:lastColumn="0" w:lastRow="0" w:noHBand="0" w:noVBand="1" w:val="04A0"/>
      </w:tblPr>
      <w:tblGrid>
        <w:gridCol w:w="3264"/>
        <w:gridCol w:w="3264"/>
        <w:gridCol w:w="3264"/>
      </w:tblGrid>
      <w:tr>
        <w:tc>
          <w:tcPr>
            <w:tcW w:type="dxa" w:w="3264"/>
            <w:shd w:fill="0A6B63"/>
            <w:tcMar>
              <w:top w:w="140" w:type="dxa"/>
              <w:bottom w:w="140" w:type="dxa"/>
              <w:left w:w="160" w:type="dxa"/>
              <w:right w:w="160" w:type="dxa"/>
            </w:tcMar>
          </w:tcPr>
          <w:p>
            <w:r>
              <w:rPr>
                <w:b/>
                <w:color w:val="FFFFFF"/>
                <w:sz w:val="20"/>
              </w:rPr>
              <w:t>Sequence / Stage</w:t>
            </w:r>
          </w:p>
        </w:tc>
        <w:tc>
          <w:tcPr>
            <w:tcW w:type="dxa" w:w="3264"/>
            <w:shd w:fill="0A6B63"/>
            <w:tcMar>
              <w:top w:w="140" w:type="dxa"/>
              <w:bottom w:w="140" w:type="dxa"/>
              <w:left w:w="160" w:type="dxa"/>
              <w:right w:w="160" w:type="dxa"/>
            </w:tcMar>
          </w:tcPr>
          <w:p>
            <w:r>
              <w:rPr>
                <w:b/>
                <w:color w:val="FFFFFF"/>
                <w:sz w:val="20"/>
              </w:rPr>
              <w:t>Slide Section &amp; Visual Anchor</w:t>
            </w:r>
          </w:p>
        </w:tc>
        <w:tc>
          <w:tcPr>
            <w:tcW w:type="dxa" w:w="3264"/>
            <w:shd w:fill="0A6B63"/>
            <w:tcMar>
              <w:top w:w="140" w:type="dxa"/>
              <w:bottom w:w="140" w:type="dxa"/>
              <w:left w:w="160" w:type="dxa"/>
              <w:right w:w="160" w:type="dxa"/>
            </w:tcMar>
          </w:tcPr>
          <w:p>
            <w:r>
              <w:rPr>
                <w:b/>
                <w:color w:val="FFFFFF"/>
                <w:sz w:val="20"/>
              </w:rPr>
              <w:t>Duration &amp; Tone</w:t>
            </w:r>
          </w:p>
        </w:tc>
      </w:tr>
      <w:tr>
        <w:tc>
          <w:tcPr>
            <w:tcW w:type="dxa" w:w="3264"/>
            <w:shd w:fill="F7F8F5"/>
            <w:tcMar>
              <w:top w:w="100" w:type="dxa"/>
              <w:bottom w:w="100" w:type="dxa"/>
              <w:left w:w="140" w:type="dxa"/>
              <w:right w:w="140" w:type="dxa"/>
            </w:tcMar>
          </w:tcPr>
          <w:p>
            <w:r>
              <w:rPr>
                <w:b/>
                <w:sz w:val="19"/>
              </w:rPr>
              <w:t>Hook &amp; Context</w:t>
            </w:r>
          </w:p>
        </w:tc>
        <w:tc>
          <w:tcPr>
            <w:tcW w:type="dxa" w:w="3264"/>
            <w:shd w:fill="F7F8F5"/>
            <w:tcMar>
              <w:top w:w="100" w:type="dxa"/>
              <w:bottom w:w="100" w:type="dxa"/>
              <w:left w:w="140" w:type="dxa"/>
              <w:right w:w="140" w:type="dxa"/>
            </w:tcMar>
          </w:tcPr>
          <w:p>
            <w:r>
              <w:rPr>
                <w:sz w:val="19"/>
              </w:rPr>
              <w:t>Center Isometric Rig (Well Pad 7, 1800 PSI Manifold, BOP)</w:t>
            </w:r>
          </w:p>
        </w:tc>
        <w:tc>
          <w:tcPr>
            <w:tcW w:type="dxa" w:w="3264"/>
            <w:shd w:fill="F7F8F5"/>
            <w:tcMar>
              <w:top w:w="100" w:type="dxa"/>
              <w:bottom w:w="100" w:type="dxa"/>
              <w:left w:w="140" w:type="dxa"/>
              <w:right w:w="140" w:type="dxa"/>
            </w:tcMar>
          </w:tcPr>
          <w:p>
            <w:r>
              <w:rPr>
                <w:sz w:val="19"/>
              </w:rPr>
              <w:t>20 sec · Energetic &amp; Urgent</w:t>
            </w:r>
          </w:p>
        </w:tc>
      </w:tr>
      <w:tr>
        <w:tc>
          <w:tcPr>
            <w:tcW w:type="dxa" w:w="3264"/>
            <w:shd w:fill="FFFFFF"/>
            <w:tcMar>
              <w:top w:w="100" w:type="dxa"/>
              <w:bottom w:w="100" w:type="dxa"/>
              <w:left w:w="140" w:type="dxa"/>
              <w:right w:w="140" w:type="dxa"/>
            </w:tcMar>
          </w:tcPr>
          <w:p>
            <w:r>
              <w:rPr>
                <w:b/>
                <w:sz w:val="19"/>
              </w:rPr>
              <w:t>Act 1: Field Ingestion</w:t>
            </w:r>
          </w:p>
        </w:tc>
        <w:tc>
          <w:tcPr>
            <w:tcW w:type="dxa" w:w="3264"/>
            <w:shd w:fill="FFFFFF"/>
            <w:tcMar>
              <w:top w:w="100" w:type="dxa"/>
              <w:bottom w:w="100" w:type="dxa"/>
              <w:left w:w="140" w:type="dxa"/>
              <w:right w:w="140" w:type="dxa"/>
            </w:tcMar>
          </w:tcPr>
          <w:p>
            <w:r>
              <w:rPr>
                <w:sz w:val="19"/>
              </w:rPr>
              <w:t>Box [5] &amp; [6] (ATEX Walkie-Talkies, RoIP, Next.js PWA, Fallback)</w:t>
            </w:r>
          </w:p>
        </w:tc>
        <w:tc>
          <w:tcPr>
            <w:tcW w:type="dxa" w:w="3264"/>
            <w:shd w:fill="FFFFFF"/>
            <w:tcMar>
              <w:top w:w="100" w:type="dxa"/>
              <w:bottom w:w="100" w:type="dxa"/>
              <w:left w:w="140" w:type="dxa"/>
              <w:right w:w="140" w:type="dxa"/>
            </w:tcMar>
          </w:tcPr>
          <w:p>
            <w:r>
              <w:rPr>
                <w:sz w:val="19"/>
              </w:rPr>
              <w:t>40 sec · Clear &amp; Confident</w:t>
            </w:r>
          </w:p>
        </w:tc>
      </w:tr>
      <w:tr>
        <w:tc>
          <w:tcPr>
            <w:tcW w:type="dxa" w:w="3264"/>
            <w:shd w:fill="F7F8F5"/>
            <w:tcMar>
              <w:top w:w="100" w:type="dxa"/>
              <w:bottom w:w="100" w:type="dxa"/>
              <w:left w:w="140" w:type="dxa"/>
              <w:right w:w="140" w:type="dxa"/>
            </w:tcMar>
          </w:tcPr>
          <w:p>
            <w:r>
              <w:rPr>
                <w:b/>
                <w:sz w:val="19"/>
              </w:rPr>
              <w:t>Act 2: Architecture &amp; Air-Gap</w:t>
            </w:r>
          </w:p>
        </w:tc>
        <w:tc>
          <w:tcPr>
            <w:tcW w:type="dxa" w:w="3264"/>
            <w:shd w:fill="F7F8F5"/>
            <w:tcMar>
              <w:top w:w="100" w:type="dxa"/>
              <w:bottom w:w="100" w:type="dxa"/>
              <w:left w:w="140" w:type="dxa"/>
              <w:right w:w="140" w:type="dxa"/>
            </w:tcMar>
          </w:tcPr>
          <w:p>
            <w:r>
              <w:rPr>
                <w:sz w:val="19"/>
              </w:rPr>
              <w:t>Box [1] (FastAPI, Dual-Mode DB Proxy, 0 KB/s Network Egress)</w:t>
            </w:r>
          </w:p>
        </w:tc>
        <w:tc>
          <w:tcPr>
            <w:tcW w:type="dxa" w:w="3264"/>
            <w:shd w:fill="F7F8F5"/>
            <w:tcMar>
              <w:top w:w="100" w:type="dxa"/>
              <w:bottom w:w="100" w:type="dxa"/>
              <w:left w:w="140" w:type="dxa"/>
              <w:right w:w="140" w:type="dxa"/>
            </w:tcMar>
          </w:tcPr>
          <w:p>
            <w:r>
              <w:rPr>
                <w:sz w:val="19"/>
              </w:rPr>
              <w:t>30 sec · Technical &amp; Firm</w:t>
            </w:r>
          </w:p>
        </w:tc>
      </w:tr>
      <w:tr>
        <w:tc>
          <w:tcPr>
            <w:tcW w:type="dxa" w:w="3264"/>
            <w:shd w:fill="FFFFFF"/>
            <w:tcMar>
              <w:top w:w="100" w:type="dxa"/>
              <w:bottom w:w="100" w:type="dxa"/>
              <w:left w:w="140" w:type="dxa"/>
              <w:right w:w="140" w:type="dxa"/>
            </w:tcMar>
          </w:tcPr>
          <w:p>
            <w:r>
              <w:rPr>
                <w:b/>
                <w:sz w:val="19"/>
              </w:rPr>
              <w:t>Act 3: AI &amp; NLP Engine</w:t>
            </w:r>
          </w:p>
        </w:tc>
        <w:tc>
          <w:tcPr>
            <w:tcW w:type="dxa" w:w="3264"/>
            <w:shd w:fill="FFFFFF"/>
            <w:tcMar>
              <w:top w:w="100" w:type="dxa"/>
              <w:bottom w:w="100" w:type="dxa"/>
              <w:left w:w="140" w:type="dxa"/>
              <w:right w:w="140" w:type="dxa"/>
            </w:tcMar>
          </w:tcPr>
          <w:p>
            <w:r>
              <w:rPr>
                <w:sz w:val="19"/>
              </w:rPr>
              <w:t>Box [2] (8-Agent Swarm, DEKRA-50 Anchors, Local Ollama Llama 3.2)</w:t>
            </w:r>
          </w:p>
        </w:tc>
        <w:tc>
          <w:tcPr>
            <w:tcW w:type="dxa" w:w="3264"/>
            <w:shd w:fill="FFFFFF"/>
            <w:tcMar>
              <w:top w:w="100" w:type="dxa"/>
              <w:bottom w:w="100" w:type="dxa"/>
              <w:left w:w="140" w:type="dxa"/>
              <w:right w:w="140" w:type="dxa"/>
            </w:tcMar>
          </w:tcPr>
          <w:p>
            <w:r>
              <w:rPr>
                <w:sz w:val="19"/>
              </w:rPr>
              <w:t>45 sec · Authoritative</w:t>
            </w:r>
          </w:p>
        </w:tc>
      </w:tr>
      <w:tr>
        <w:tc>
          <w:tcPr>
            <w:tcW w:type="dxa" w:w="3264"/>
            <w:shd w:fill="F7F8F5"/>
            <w:tcMar>
              <w:top w:w="100" w:type="dxa"/>
              <w:bottom w:w="100" w:type="dxa"/>
              <w:left w:w="140" w:type="dxa"/>
              <w:right w:w="140" w:type="dxa"/>
            </w:tcMar>
          </w:tcPr>
          <w:p>
            <w:r>
              <w:rPr>
                <w:b/>
                <w:sz w:val="19"/>
              </w:rPr>
              <w:t>Act 4: Supervisor &amp; Compliance</w:t>
            </w:r>
          </w:p>
        </w:tc>
        <w:tc>
          <w:tcPr>
            <w:tcW w:type="dxa" w:w="3264"/>
            <w:shd w:fill="F7F8F5"/>
            <w:tcMar>
              <w:top w:w="100" w:type="dxa"/>
              <w:bottom w:w="100" w:type="dxa"/>
              <w:left w:w="140" w:type="dxa"/>
              <w:right w:w="140" w:type="dxa"/>
            </w:tcMar>
          </w:tcPr>
          <w:p>
            <w:r>
              <w:rPr>
                <w:sz w:val="19"/>
              </w:rPr>
              <w:t>Box [3] &amp; [4] (Command Center, 1-Page Handover PDF, 500m SWA)</w:t>
            </w:r>
          </w:p>
        </w:tc>
        <w:tc>
          <w:tcPr>
            <w:tcW w:type="dxa" w:w="3264"/>
            <w:shd w:fill="F7F8F5"/>
            <w:tcMar>
              <w:top w:w="100" w:type="dxa"/>
              <w:bottom w:w="100" w:type="dxa"/>
              <w:left w:w="140" w:type="dxa"/>
              <w:right w:w="140" w:type="dxa"/>
            </w:tcMar>
          </w:tcPr>
          <w:p>
            <w:r>
              <w:rPr>
                <w:sz w:val="19"/>
              </w:rPr>
              <w:t>35 sec · Punchy &amp; Conclusive</w:t>
            </w:r>
          </w:p>
        </w:tc>
      </w:tr>
    </w:tbl>
    <w:p/>
    <w:p>
      <w:pPr>
        <w:pStyle w:val="Heading2"/>
      </w:pPr>
      <w:r>
        <w:t>Word-for-Word Pitch Script (With Stage Directions)</w:t>
      </w:r>
    </w:p>
    <w:p>
      <w:r>
        <w:rPr>
          <w:b/>
          <w:i/>
          <w:color w:val="B4730A"/>
          <w:sz w:val="19"/>
        </w:rPr>
        <w:t>[Stage Direction: Stand tall, gesture toward the Center Rig illustration]</w:t>
      </w:r>
    </w:p>
    <w:p>
      <w:r>
        <w:rPr>
          <w:b/>
          <w:color w:val="0A6B63"/>
          <w:sz w:val="22"/>
        </w:rPr>
        <w:t>1. Hook &amp; The Operational Problem</w:t>
      </w:r>
    </w:p>
    <w:p>
      <w:pPr>
        <w:spacing w:line="276" w:lineRule="auto"/>
      </w:pPr>
      <w:r>
        <w:rPr>
          <w:sz w:val="20"/>
        </w:rPr>
        <w:t>"Respected jury members, please look at the center of our slide. This is an active onshore drilling rig in Oil India’s Upper Assam basin. On this rig floor, roughnecks are operating under 1,800 PSI wellhead pressures, surrounded by heavy vibrating mud pumps and high-pressure manifolds. In an environment like this, safety cannot wait for an operator to walk to an office and fill out an ERP form after their 12-hour shift. An incident takes seconds to escalate. SANKET AI was built from the ground up to solve this with a zero-friction, sovereign, end-to-end edge architecture."</w:t>
      </w:r>
    </w:p>
    <w:p>
      <w:r>
        <w:rPr>
          <w:b/>
          <w:i/>
          <w:color w:val="B4730A"/>
          <w:sz w:val="19"/>
        </w:rPr>
        <w:t>[Stage Direction: Point downward to Box [5] and Box [6]]</w:t>
      </w:r>
    </w:p>
    <w:p>
      <w:r>
        <w:rPr>
          <w:b/>
          <w:color w:val="0A6B63"/>
          <w:sz w:val="22"/>
        </w:rPr>
        <w:t>2. Frontline Ingestion &amp; Dual-Mode Fallback</w:t>
      </w:r>
    </w:p>
    <w:p>
      <w:pPr>
        <w:spacing w:line="276" w:lineRule="auto"/>
      </w:pPr>
      <w:r>
        <w:rPr>
          <w:sz w:val="20"/>
        </w:rPr>
        <w:t>"It all begins at the frontline with Shift Operators. We provide two zero-friction capture modes. First, Box 5: existing ATEX Zone-1 Walkie-Talkies connected via Radio-over-IP (RoIP) and doghouse intercom phones—so a worker can speak into their regular radio channel. Second, Box 6: our Next.js Progressive Web App with vernacular speech-to-text supporting Hindi, Assamese, and Hinglish. Crucially, Assam drilling wells frequently lose cellular network. Our Dual-Mode Fallback ensures zero data loss: reports are queued locally in an encrypted SQLite database on the edge, automatically syncing with cloud Supabase the instant connection returns."</w:t>
      </w:r>
    </w:p>
    <w:p>
      <w:r>
        <w:rPr>
          <w:b/>
          <w:i/>
          <w:color w:val="B4730A"/>
          <w:sz w:val="19"/>
        </w:rPr>
        <w:t>[Stage Direction: Move hand to Box [1] on the upper left]</w:t>
      </w:r>
    </w:p>
    <w:p>
      <w:r>
        <w:rPr>
          <w:b/>
          <w:color w:val="0A6B63"/>
          <w:sz w:val="22"/>
        </w:rPr>
        <w:t>3. Backend Architecture &amp; 0 KB/s Sovereign Air-Gap</w:t>
      </w:r>
    </w:p>
    <w:p>
      <w:pPr>
        <w:spacing w:line="276" w:lineRule="auto"/>
      </w:pPr>
      <w:r>
        <w:rPr>
          <w:sz w:val="20"/>
        </w:rPr>
        <w:t>"Now, where does this data go? Look at Box 1: Backend Architecture. It is fully containerized using FastAPI and an intelligent Dual-Mode Dynamic Database Proxy. It effortlessly bridges between Cloud Supabase for regional headquarters and Local SQLite deployed right inside the rig doghouse. Notice the blue vertical strip: 0 KB/s Outbound Network Egress. Under Indian critical infrastructure guidelines, no proprietary oilfield telemetry is forced to leave the rig. It operates in 100% Sovereign Air-Gap mode."</w:t>
      </w:r>
    </w:p>
    <w:p>
      <w:r>
        <w:rPr>
          <w:b/>
          <w:i/>
          <w:color w:val="B4730A"/>
          <w:sz w:val="19"/>
        </w:rPr>
        <w:t>[Stage Direction: Point to Box [2] on the lower left]</w:t>
      </w:r>
    </w:p>
    <w:p>
      <w:r>
        <w:rPr>
          <w:b/>
          <w:color w:val="0A6B63"/>
          <w:sz w:val="22"/>
        </w:rPr>
        <w:t>4. The AI &amp; NLP Brain (No Generic LLM Hallucinations)</w:t>
      </w:r>
    </w:p>
    <w:p>
      <w:pPr>
        <w:spacing w:line="276" w:lineRule="auto"/>
      </w:pPr>
      <w:r>
        <w:rPr>
          <w:sz w:val="20"/>
        </w:rPr>
        <w:t>"Next, Box 2: our AI Engine. We do not rely on generic cloud LLMs that hallucinate in critical situations. Instead, we pair an 8-Agent LangGraph Swarm with an Adversarial Critic that audits predictions. We ground classification in 50 Deterministic DEKRA Physics Anchors, mathematically mapping each observation to the 9 IOGP Life-Saving Rules. And for total air-gap independence, we run Local Ollama with Llama 3.2:3b right on edge hardware with zero external API calls."</w:t>
      </w:r>
    </w:p>
    <w:p>
      <w:r>
        <w:rPr>
          <w:b/>
          <w:i/>
          <w:color w:val="B4730A"/>
          <w:sz w:val="19"/>
        </w:rPr>
        <w:t>[Stage Direction: Point to Box [3] and Box [4] on the right]</w:t>
      </w:r>
    </w:p>
    <w:p>
      <w:r>
        <w:rPr>
          <w:b/>
          <w:color w:val="0A6B63"/>
          <w:sz w:val="22"/>
        </w:rPr>
        <w:t>5. Command Center &amp; Statutory DGMS Compliance</w:t>
      </w:r>
    </w:p>
    <w:p>
      <w:pPr>
        <w:spacing w:line="276" w:lineRule="auto"/>
      </w:pPr>
      <w:r>
        <w:rPr>
          <w:sz w:val="20"/>
        </w:rPr>
        <w:t>"All of this converges on the Shift Supervisor’s Command Center in Box 3, featuring real-time SIF Triage Queues and interactive Bow-Tie Signal Graphs. Finally, Box 4: we enforce Statutory DGMS and OISD-189 Compliance. With a single click, SANKET AI synthesizes 12 hours of IoT logs and voice reports into an official 1-Page Shift Handover PDF. And if a critical well-control hazard is detected, the supervisor can immediately trigger a 500-meter Stop Work Authority (SWA) digital permit freeze. SANKET AI connects the roughneck on the rig floor directly to the Directorate of Mines Safety, turning silent precursors into life-saving action. Thank you!"</w:t>
      </w:r>
    </w:p>
    <w:p>
      <w:pPr>
        <w:pStyle w:val="Heading2"/>
      </w:pPr>
      <w:r>
        <w:t>Judge Defense Q&amp;A for Slide 1</w:t>
      </w:r>
    </w:p>
    <w:p>
      <w:r>
        <w:rPr>
          <w:b/>
          <w:color w:val="B92525"/>
        </w:rPr>
        <w:t>Q1: What happens if internet is completely cut off at a remote well?</w:t>
      </w:r>
    </w:p>
    <w:p>
      <w:r>
        <w:rPr>
          <w:sz w:val="19"/>
        </w:rPr>
        <w:t>A1: Our Dual-Mode Dynamic DB Proxy seamlessly switches from Cloud Supabase to local SQLite on the doghouse edge server. Local Ollama (Llama 3.2) handles inference, and the worker PWA queues reports in offline storage. Zero packets leave the rig, and zero data is lost.</w:t>
      </w:r>
    </w:p>
    <w:p>
      <w:r>
        <w:rPr>
          <w:b/>
          <w:color w:val="B92525"/>
        </w:rPr>
        <w:t>Q2: Why not just use WhatsApp voice notes or paper logbooks?</w:t>
      </w:r>
    </w:p>
    <w:p>
      <w:r>
        <w:rPr>
          <w:sz w:val="19"/>
        </w:rPr>
        <w:t>A2: Paper logs are post-incident and unsearchable. WhatsApp voice notes remain unstructured audio that cannot trigger automated alarms. SANKET AI ingests voice, filters noise, transcribes domain vocabulary in Hinglish/Assamese, maps to IOGP Life-Saving Rules, and calculates a SIF score in under 2 seconds.</w:t>
      </w:r>
    </w:p>
    <w:p>
      <w:r>
        <w:rPr>
          <w:b/>
          <w:color w:val="B92525"/>
        </w:rPr>
        <w:t>Q3: How do you handle loud drilling background noise on the rig floor?</w:t>
      </w:r>
    </w:p>
    <w:p>
      <w:r>
        <w:rPr>
          <w:sz w:val="19"/>
        </w:rPr>
        <w:t>A3: Our pipeline applies audio bandpass filtering tuned to speech frequencies (300Hz-3400Hz), paired with Whisper audio prompts conditioned on oilfield vocabulary like 'annular BOP', '1800 PSI', and 'standpipe kick'.</w:t>
      </w:r>
    </w:p>
    <w:p>
      <w:r>
        <w:br w:type="page"/>
      </w:r>
    </w:p>
    <w:p>
      <w:pPr>
        <w:pStyle w:val="Heading1"/>
      </w:pPr>
      <w:r>
        <w:rPr>
          <w:rFonts w:ascii="Arial" w:hAnsi="Arial"/>
          <w:b/>
          <w:color w:val="0A6B63"/>
        </w:rPr>
        <w:t>PART 2: SLIDE 2 — RESEARCH &amp; REFERENCES</w:t>
      </w:r>
    </w:p>
    <w:p>
      <w:r>
        <w:rPr>
          <w:b/>
        </w:rPr>
        <w:t xml:space="preserve">Target Slide Title: </w:t>
      </w:r>
      <w:r>
        <w:t>संकेत · SANKET AI — Research &amp; References</w:t>
        <w:br/>
      </w:r>
      <w:r>
        <w:rPr>
          <w:b/>
        </w:rPr>
        <w:t xml:space="preserve">Target Delivery Duration: </w:t>
      </w:r>
      <w:r>
        <w:t>2.0 to 2.5 Minutes</w:t>
        <w:br/>
      </w:r>
      <w:r>
        <w:rPr>
          <w:b/>
        </w:rPr>
        <w:t xml:space="preserve">Primary Objective: </w:t>
      </w:r>
      <w:r>
        <w:t>Establish bulletproof academic, statutory, and competitive credibility. Prove SANKET AI is superior to conventional ERPs (SAP/Enablon) and demonstrates how it prevents historic disasters (Baghjan, Deepwater Horizon, Piper Alpha, Texas City).</w:t>
      </w:r>
    </w:p>
    <w:tbl>
      <w:tblPr>
        <w:tblW w:type="auto" w:w="0"/>
        <w:jc w:val="center"/>
        <w:tblLook w:firstColumn="1" w:firstRow="1" w:lastColumn="0" w:lastRow="0" w:noHBand="0" w:noVBand="1" w:val="04A0"/>
      </w:tblPr>
      <w:tblGrid>
        <w:gridCol w:w="3264"/>
        <w:gridCol w:w="3264"/>
        <w:gridCol w:w="3264"/>
      </w:tblGrid>
      <w:tr>
        <w:tc>
          <w:tcPr>
            <w:tcW w:type="dxa" w:w="3264"/>
            <w:shd w:fill="0A6B63"/>
            <w:tcMar>
              <w:top w:w="140" w:type="dxa"/>
              <w:bottom w:w="140" w:type="dxa"/>
              <w:left w:w="160" w:type="dxa"/>
              <w:right w:w="160" w:type="dxa"/>
            </w:tcMar>
          </w:tcPr>
          <w:p>
            <w:r>
              <w:rPr>
                <w:b/>
                <w:color w:val="FFFFFF"/>
                <w:sz w:val="20"/>
              </w:rPr>
              <w:t>Segment</w:t>
            </w:r>
          </w:p>
        </w:tc>
        <w:tc>
          <w:tcPr>
            <w:tcW w:type="dxa" w:w="3264"/>
            <w:shd w:fill="0A6B63"/>
            <w:tcMar>
              <w:top w:w="140" w:type="dxa"/>
              <w:bottom w:w="140" w:type="dxa"/>
              <w:left w:w="160" w:type="dxa"/>
              <w:right w:w="160" w:type="dxa"/>
            </w:tcMar>
          </w:tcPr>
          <w:p>
            <w:r>
              <w:rPr>
                <w:b/>
                <w:color w:val="FFFFFF"/>
                <w:sz w:val="20"/>
              </w:rPr>
              <w:t>Slide Visual Zone</w:t>
            </w:r>
          </w:p>
        </w:tc>
        <w:tc>
          <w:tcPr>
            <w:tcW w:type="dxa" w:w="3264"/>
            <w:shd w:fill="0A6B63"/>
            <w:tcMar>
              <w:top w:w="140" w:type="dxa"/>
              <w:bottom w:w="140" w:type="dxa"/>
              <w:left w:w="160" w:type="dxa"/>
              <w:right w:w="160" w:type="dxa"/>
            </w:tcMar>
          </w:tcPr>
          <w:p>
            <w:r>
              <w:rPr>
                <w:b/>
                <w:color w:val="FFFFFF"/>
                <w:sz w:val="20"/>
              </w:rPr>
              <w:t>Duration &amp; Tone</w:t>
            </w:r>
          </w:p>
        </w:tc>
      </w:tr>
      <w:tr>
        <w:tc>
          <w:tcPr>
            <w:tcW w:type="dxa" w:w="3264"/>
            <w:shd w:fill="F7F8F5"/>
            <w:tcMar>
              <w:top w:w="100" w:type="dxa"/>
              <w:bottom w:w="100" w:type="dxa"/>
              <w:left w:w="140" w:type="dxa"/>
              <w:right w:w="140" w:type="dxa"/>
            </w:tcMar>
          </w:tcPr>
          <w:p>
            <w:r>
              <w:rPr>
                <w:b/>
                <w:sz w:val="19"/>
              </w:rPr>
              <w:t>Phase 1: Regulatory Foundation</w:t>
            </w:r>
          </w:p>
        </w:tc>
        <w:tc>
          <w:tcPr>
            <w:tcW w:type="dxa" w:w="3264"/>
            <w:shd w:fill="F7F8F5"/>
            <w:tcMar>
              <w:top w:w="100" w:type="dxa"/>
              <w:bottom w:w="100" w:type="dxa"/>
              <w:left w:w="140" w:type="dxa"/>
              <w:right w:w="140" w:type="dxa"/>
            </w:tcMar>
          </w:tcPr>
          <w:p>
            <w:r>
              <w:rPr>
                <w:sz w:val="19"/>
              </w:rPr>
              <w:t>Right Column (OSHA, CSB, DEKRA, API RP 754, IOGP, OISD-189, ALOHA)</w:t>
            </w:r>
          </w:p>
        </w:tc>
        <w:tc>
          <w:tcPr>
            <w:tcW w:type="dxa" w:w="3264"/>
            <w:shd w:fill="F7F8F5"/>
            <w:tcMar>
              <w:top w:w="100" w:type="dxa"/>
              <w:bottom w:w="100" w:type="dxa"/>
              <w:left w:w="140" w:type="dxa"/>
              <w:right w:w="140" w:type="dxa"/>
            </w:tcMar>
          </w:tcPr>
          <w:p>
            <w:r>
              <w:rPr>
                <w:sz w:val="19"/>
              </w:rPr>
              <w:t>35 sec · Authoritative &amp; Scientific</w:t>
            </w:r>
          </w:p>
        </w:tc>
      </w:tr>
      <w:tr>
        <w:tc>
          <w:tcPr>
            <w:tcW w:type="dxa" w:w="3264"/>
            <w:shd w:fill="FFFFFF"/>
            <w:tcMar>
              <w:top w:w="100" w:type="dxa"/>
              <w:bottom w:w="100" w:type="dxa"/>
              <w:left w:w="140" w:type="dxa"/>
              <w:right w:w="140" w:type="dxa"/>
            </w:tcMar>
          </w:tcPr>
          <w:p>
            <w:r>
              <w:rPr>
                <w:b/>
                <w:sz w:val="19"/>
              </w:rPr>
              <w:t>Phase 2: SANKET vs Conventional ERPs</w:t>
            </w:r>
          </w:p>
        </w:tc>
        <w:tc>
          <w:tcPr>
            <w:tcW w:type="dxa" w:w="3264"/>
            <w:shd w:fill="FFFFFF"/>
            <w:tcMar>
              <w:top w:w="100" w:type="dxa"/>
              <w:bottom w:w="100" w:type="dxa"/>
              <w:left w:w="140" w:type="dxa"/>
              <w:right w:w="140" w:type="dxa"/>
            </w:tcMar>
          </w:tcPr>
          <w:p>
            <w:r>
              <w:rPr>
                <w:sz w:val="19"/>
              </w:rPr>
              <w:t>Left Table (7 Comparative Dimensions vs SAP EHS / Enablon / Generic LLMs)</w:t>
            </w:r>
          </w:p>
        </w:tc>
        <w:tc>
          <w:tcPr>
            <w:tcW w:type="dxa" w:w="3264"/>
            <w:shd w:fill="FFFFFF"/>
            <w:tcMar>
              <w:top w:w="100" w:type="dxa"/>
              <w:bottom w:w="100" w:type="dxa"/>
              <w:left w:w="140" w:type="dxa"/>
              <w:right w:w="140" w:type="dxa"/>
            </w:tcMar>
          </w:tcPr>
          <w:p>
            <w:r>
              <w:rPr>
                <w:sz w:val="19"/>
              </w:rPr>
              <w:t>50 sec · Analytical &amp; Sharp</w:t>
            </w:r>
          </w:p>
        </w:tc>
      </w:tr>
      <w:tr>
        <w:tc>
          <w:tcPr>
            <w:tcW w:type="dxa" w:w="3264"/>
            <w:shd w:fill="F7F8F5"/>
            <w:tcMar>
              <w:top w:w="100" w:type="dxa"/>
              <w:bottom w:w="100" w:type="dxa"/>
              <w:left w:w="140" w:type="dxa"/>
              <w:right w:w="140" w:type="dxa"/>
            </w:tcMar>
          </w:tcPr>
          <w:p>
            <w:r>
              <w:rPr>
                <w:b/>
                <w:sz w:val="19"/>
              </w:rPr>
              <w:t>Phase 3: The Climax (Historical Proof)</w:t>
            </w:r>
          </w:p>
        </w:tc>
        <w:tc>
          <w:tcPr>
            <w:tcW w:type="dxa" w:w="3264"/>
            <w:shd w:fill="F7F8F5"/>
            <w:tcMar>
              <w:top w:w="100" w:type="dxa"/>
              <w:bottom w:w="100" w:type="dxa"/>
              <w:left w:w="140" w:type="dxa"/>
              <w:right w:w="140" w:type="dxa"/>
            </w:tcMar>
          </w:tcPr>
          <w:p>
            <w:r>
              <w:rPr>
                <w:sz w:val="19"/>
              </w:rPr>
              <w:t>Bottom Banner (Baghjan 2020, Deepwater 2010, Piper Alpha 1988, Texas City 2005)</w:t>
            </w:r>
          </w:p>
        </w:tc>
        <w:tc>
          <w:tcPr>
            <w:tcW w:type="dxa" w:w="3264"/>
            <w:shd w:fill="F7F8F5"/>
            <w:tcMar>
              <w:top w:w="100" w:type="dxa"/>
              <w:bottom w:w="100" w:type="dxa"/>
              <w:left w:w="140" w:type="dxa"/>
              <w:right w:w="140" w:type="dxa"/>
            </w:tcMar>
          </w:tcPr>
          <w:p>
            <w:r>
              <w:rPr>
                <w:sz w:val="19"/>
              </w:rPr>
              <w:t>55 sec · Dramatic &amp; Impactful</w:t>
            </w:r>
          </w:p>
        </w:tc>
      </w:tr>
    </w:tbl>
    <w:p/>
    <w:p>
      <w:pPr>
        <w:pStyle w:val="Heading2"/>
      </w:pPr>
      <w:r>
        <w:t>Word-for-Word Pitch Script (With Stage Directions)</w:t>
      </w:r>
    </w:p>
    <w:p>
      <w:r>
        <w:rPr>
          <w:b/>
          <w:i/>
          <w:color w:val="B4730A"/>
          <w:sz w:val="19"/>
        </w:rPr>
        <w:t>[Stage Direction: Open with high credibility, sweeping hand across the Right Column logos]</w:t>
      </w:r>
    </w:p>
    <w:p>
      <w:r>
        <w:rPr>
          <w:b/>
          <w:color w:val="0A6B63"/>
          <w:sz w:val="22"/>
        </w:rPr>
        <w:t>1. Grounding in Global Safety Science &amp; Indian Law</w:t>
      </w:r>
    </w:p>
    <w:p>
      <w:pPr>
        <w:spacing w:line="276" w:lineRule="auto"/>
      </w:pPr>
      <w:r>
        <w:rPr>
          <w:sz w:val="20"/>
        </w:rPr>
        <w:t>"Respected jury members, in high-hazard oil and gas operations, AI cannot be built on guesswork, black-box prompts, or toy datasets. Please look at the authoritative standards on the right. Everything inside SANKET AI is strictly anchored in global safety science and Indian statutory frameworks: We adopt the DEKRA SIF Precursor Model and API Recommended Practice 754 for Tier 1 to 4 process safety metrics. Every hazard is categorized under the 9 IOGP Life-Saving Rules and India’s statutory OISD Standard 189 under the Ministry of Petroleum and Natural Gas. On the NLP side, we utilize Sentence-BERT, Microsoft’s multilingual-e5-small for edge embeddings, and EPA’s ALOHA model for toxic gas plume dispersion. Our entire codebase is open-source, deterministic, and fully auditable."</w:t>
      </w:r>
    </w:p>
    <w:p>
      <w:r>
        <w:rPr>
          <w:b/>
          <w:i/>
          <w:color w:val="B4730A"/>
          <w:sz w:val="19"/>
        </w:rPr>
        <w:t>[Stage Direction: Point directly to the Left Comparative Table]</w:t>
      </w:r>
    </w:p>
    <w:p>
      <w:r>
        <w:rPr>
          <w:b/>
          <w:color w:val="0A6B63"/>
          <w:sz w:val="22"/>
        </w:rPr>
        <w:t>2. Why SANKET AI Beats SAP EHS, Enablon &amp; Generic LLMs</w:t>
      </w:r>
    </w:p>
    <w:p>
      <w:pPr>
        <w:spacing w:line="276" w:lineRule="auto"/>
      </w:pPr>
      <w:r>
        <w:rPr>
          <w:sz w:val="20"/>
        </w:rPr>
        <w:t>"Now, the critical question: Why can't an enterprise like Oil India simply use SAP EHS, Enablon, or a standard ChatGPT wrapper? Look at the 7 comparative dimensions on the left: First, Neuro-Symbolic Swarm vs Generic LLMs: Monolithic LLMs hallucinate; our 8-Agent LangGraph Swarm with an Adversarial Critic guarantees reproducible DAG outputs. Second, Deterministic Physics Gates: Instead of subjective 5-by-5 matrices, if wellhead pressure exceeds 500 PSI, the SIF score has a mathematically enforced hard floor of 0.85—physics overrides prompt ambiguity. Third, Cross-Shift Memory: Conventional ERPs evaluate each shift in isolation. Our In-Memory Causal Knowledge Graph uses a 7-Day Near-Miss Multiplier to connect subtle hints across shifts into compound failure cascades. And fourth, Data Sovereignty: Unlike public SaaS clouds that export national energy telemetry abroad, SANKET AI runs 100% sovereign air-gapped at 0 KB/s egress."</w:t>
      </w:r>
    </w:p>
    <w:p>
      <w:r>
        <w:rPr>
          <w:b/>
          <w:i/>
          <w:color w:val="B4730A"/>
          <w:sz w:val="19"/>
        </w:rPr>
        <w:t>[Stage Direction: Point firmly to the Bottom Banner with gravitas and conviction]</w:t>
      </w:r>
    </w:p>
    <w:p>
      <w:r>
        <w:rPr>
          <w:b/>
          <w:color w:val="0A6B63"/>
          <w:sz w:val="22"/>
        </w:rPr>
        <w:t>3. The Historical Proof: Preventing Catastrophes Before They Happen</w:t>
      </w:r>
    </w:p>
    <w:p>
      <w:pPr>
        <w:spacing w:line="276" w:lineRule="auto"/>
      </w:pPr>
      <w:r>
        <w:rPr>
          <w:sz w:val="20"/>
        </w:rPr>
        <w:t>"Finally, the ultimate benchmark of any safety technology is: Could it have prevented history's worst disasters? Look at the historical precursor mappings at the bottom: 1. Baghjan Well #5 in 2020: For 14 days, mud losses and BOP pressure flutter were recorded on separate paper logs and ignored. With SANKET AI, our Near-Miss Multiplier triggers an autonomous 500-meter Stop Work permit freeze at Day -3, well before the blowout. 2. Deepwater Horizon in 2010: A negative pressure anomaly was misinterpreted under schedule pressure. SANKET AI’s Hard Physics Gate enforces an unbypassable high-risk lock. 3. Piper Alpha in 1988: A removed condensate valve went uncommunicated across shifts. Our Automated 1-Click Handover PDF maintains unbroken chain-of-custody with live LOTO tracking. 4. Texas City in 2005: Operators ignored high-level alarms due to false-alarm fatigue. Our 4-Layer Guardrail caps routine drills at 0.12, eliminating nuisance alarms so operators trust the system. We are not just cataloging disasters—we are engineering the mathematical safeguards that prevent them tomorrow. Thank you!"</w:t>
      </w:r>
    </w:p>
    <w:p>
      <w:pPr>
        <w:pStyle w:val="Heading2"/>
      </w:pPr>
      <w:r>
        <w:t>Judge Defense Q&amp;A for Slide 2</w:t>
      </w:r>
    </w:p>
    <w:p>
      <w:r>
        <w:rPr>
          <w:b/>
          <w:color w:val="B92525"/>
        </w:rPr>
        <w:t>Q1: Why do you enforce a 'Hard Physics Gate' (&gt;=500 PSI -&gt; SIF &gt;= 0.85) instead of letting the AI decide?</w:t>
      </w:r>
    </w:p>
    <w:p>
      <w:r>
        <w:rPr>
          <w:sz w:val="19"/>
        </w:rPr>
        <w:t>A1: Because in life-critical process safety, physical laws take precedence over statistical probabilities. If wellhead pressure crosses 500 PSI abnormally, that is an objective high-energy threat under DEKRA standards. No LLM or NLP token variation should ever be allowed to downgrade that into a 'medium' or 'low' score.</w:t>
      </w:r>
    </w:p>
    <w:p>
      <w:r>
        <w:rPr>
          <w:b/>
          <w:color w:val="B92525"/>
        </w:rPr>
        <w:t>Q2: How does the '7-Day Near-Miss Multiplier' work mathematically?</w:t>
      </w:r>
    </w:p>
    <w:p>
      <w:r>
        <w:rPr>
          <w:sz w:val="19"/>
        </w:rPr>
        <w:t>A2: If a single minor observation like mud pump flutter happens once, it remains a routine log. But if the same equipment or well accumulates 3 or more near-misses (M &gt;= 3) within a 7-day rolling window, our NetworkX causal graph applies an exponential multiplier that escalates the warning from Medium to High before the barrier fails completely.</w:t>
      </w:r>
    </w:p>
    <w:p>
      <w:r>
        <w:rPr>
          <w:b/>
          <w:color w:val="B92525"/>
        </w:rPr>
        <w:t>Q3: How does the 4-Layer Guardrail prevent false-alarm fatigue like Texas City?</w:t>
      </w:r>
    </w:p>
    <w:p>
      <w:r>
        <w:rPr>
          <w:sz w:val="19"/>
        </w:rPr>
        <w:t>A3: When crews perform scheduled pre-shift checks and say 'routine inspection ok, all safe', naive AI often sees the word 'inspection' or 'wellhead' and outputs 0.45. Our guardrail checks explicit negation patterns and routine keywords, capping the score at 0.12 (LOW). This prevents control room siren fatigue and guarantees operators take high alerts seriously.</w:t>
      </w:r>
    </w:p>
    <w:p>
      <w:pPr>
        <w:jc w:val="center"/>
      </w:pPr>
      <w:r>
        <w:br/>
        <w:t>――――――――――――――――――――――――――――――――――――――――――――――――</w:t>
      </w:r>
    </w:p>
    <w:p>
      <w:pPr>
        <w:jc w:val="center"/>
      </w:pPr>
      <w:r>
        <w:rPr>
          <w:i/>
          <w:color w:val="5E7072"/>
          <w:sz w:val="17"/>
        </w:rPr>
        <w:t>Generated for Team NextGenZ · Smart India Hackathon 2026 · Oil India Problem Statement</w:t>
        <w:br/>
        <w:t>Confidential &amp; Proprietary Hackathon Submission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