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AirDraw – IMU-Based Air‑Written Digit Recognition System</w:t>
      </w:r>
    </w:p>
    <w:p>
      <w:r>
        <w:t>Final Project Submission Report</w:t>
      </w:r>
    </w:p>
    <w:p>
      <w:r>
        <w:t>Date: 2026‑01‑05</w:t>
      </w:r>
    </w:p>
    <w:p>
      <w:pPr>
        <w:pStyle w:val="Heading1"/>
      </w:pPr>
      <w:r>
        <w:t>Abstract</w:t>
      </w:r>
    </w:p>
    <w:p>
      <w:r>
        <w:t>This project presents an end‑to‑end system for recognizing digits written in the air using smartphone inertial measurement unit (IMU) sensors. The solution covers data collection, preprocessing, model training, evaluation, and a live demonstration interface implemented using Streamlit. Multiple models were designed and tested, including 1D CNN and GRU‑based architectures. A complete training pipeline, data preparation workflow, and real‑time inference demo are provided, demonstrating reproducible and practical machine learning deployment from research stage to live application.</w:t>
      </w:r>
    </w:p>
    <w:p>
      <w:pPr>
        <w:pStyle w:val="Heading1"/>
      </w:pPr>
      <w:r>
        <w:t>1. Introduction</w:t>
      </w:r>
    </w:p>
    <w:p>
      <w:r>
        <w:t>Air‑writing allows users to interact with systems without screens or keyboards by writing gestures in free space. With smartphones containing high‑quality IMU sensors, it becomes possible to capture motion patterns and recognize drawn shapes through machine learning. This project implements a full pipeline from raw motion signals to real‑time digit recognition, emphasizing explainability, reproducibility, and modular design so every stage can be refined or replaced independently.</w:t>
      </w:r>
    </w:p>
    <w:p>
      <w:pPr>
        <w:pStyle w:val="Heading1"/>
      </w:pPr>
      <w:r>
        <w:t>2. Objectives</w:t>
      </w:r>
    </w:p>
    <w:p>
      <w:r>
        <w:t>- Build a reproducible IMU dataset collection and cleaning pipeline.</w:t>
      </w:r>
    </w:p>
    <w:p>
      <w:r>
        <w:t>- Develop preprocessing steps to convert recordings into uniform sequences.</w:t>
      </w:r>
    </w:p>
    <w:p>
      <w:r>
        <w:t>- Train deep learning models for digit recognition (0–9).</w:t>
      </w:r>
    </w:p>
    <w:p>
      <w:r>
        <w:t>- Evaluate models using standard metrics and avoid data leakage.</w:t>
      </w:r>
    </w:p>
    <w:p>
      <w:r>
        <w:t>- Deploy an interactive live demo using Streamlit, UDP, and Phyphox.</w:t>
      </w:r>
    </w:p>
    <w:p>
      <w:r>
        <w:t>- Provide full documentation and automation for training and inference.</w:t>
      </w:r>
    </w:p>
    <w:p>
      <w:pPr>
        <w:pStyle w:val="Heading1"/>
      </w:pPr>
      <w:r>
        <w:t>3. Dataset Acquisition and Structuring</w:t>
      </w:r>
    </w:p>
    <w:p>
      <w:r>
        <w:t>Raw IMU recordings were collected where users wrote digits 0–9 while holding a phone. Each trial contained accelerometer, gyroscope, and in some datasets magnetometer signals. Files arrived with inconsistent naming conventions, duplicate attempts inside single files, and occasional typos. A dataset preparation pipeline standardized folder names, consolidated files, split multi‑attempt recordings, and generated manifest logs to ensure traceability.</w:t>
      </w:r>
    </w:p>
    <w:p>
      <w:pPr>
        <w:pStyle w:val="Heading1"/>
      </w:pPr>
      <w:r>
        <w:t>4. Preprocessing Pipeline</w:t>
      </w:r>
    </w:p>
    <w:p>
      <w:r>
        <w:t>All samples underwent structured preprocessing to ensure consistent input representation. Steps included cleaning corrupted rows, aligning timestamps across sensors, resampling to a fixed time grid (200 steps), and optional smoothing. Labels were encoded, and stratified splits ensured balanced representation across training, validation, and testing sets. Feature scaling was fitted only on training data to prevent leakage and stored for reuse during inference.</w:t>
      </w:r>
    </w:p>
    <w:p>
      <w:pPr>
        <w:pStyle w:val="Heading1"/>
      </w:pPr>
      <w:r>
        <w:t>5. Windowing Approach (Attempt‑Level)</w:t>
      </w:r>
    </w:p>
    <w:p>
      <w:r>
        <w:t>Where datasets contained long continuous recordings, signals were split into individual attempts. Each attempt was resampled, merged into a unified feature vector, and converted into fixed windows. Metadata captured window origins, padding, and coverage checks to ensure completeness.</w:t>
      </w:r>
    </w:p>
    <w:p>
      <w:pPr>
        <w:pStyle w:val="Heading1"/>
      </w:pPr>
      <w:r>
        <w:t>6. Model Architectures</w:t>
      </w:r>
    </w:p>
    <w:p>
      <w:r>
        <w:t>Two principal neural architectures were implemented. The first was a stack of 1D convolutional layers to extract local temporal features. The second combined convolution layers with a GRU to model longer‑range temporal dependencies. Both networks used softmax classification over ten classes and were optimized using Adam.</w:t>
      </w:r>
    </w:p>
    <w:p>
      <w:pPr>
        <w:pStyle w:val="Heading1"/>
      </w:pPr>
      <w:r>
        <w:t>7. Training Methodology</w:t>
      </w:r>
    </w:p>
    <w:p>
      <w:r>
        <w:t>The project followed an iterative training approach. During Week 1, a small subset of data was used to validate correctness of the code path and metrics, producing intentionally low accuracy. In subsequent phases, the full dataset was used with augmentation (noise injection and minor temporal scaling), early stopping, fixed seeds, and proper stratification. All artifacts, including models, metrics reports, confusion matrices, and training curves, were automatically saved.</w:t>
      </w:r>
    </w:p>
    <w:p>
      <w:pPr>
        <w:pStyle w:val="Heading1"/>
      </w:pPr>
      <w:r>
        <w:t>8. Results and Analysis</w:t>
      </w:r>
    </w:p>
    <w:p>
      <w:r>
        <w:t>Baseline experiments showed limited performance due to extremely small training samples. With complete preprocessing, augmentation, and full data usage, both CNN and GRU models achieved excellent validation and test accuracy (up to approximately 99–100%). Despite strong performance, the report recognizes the importance of cross‑subject testing and broader validation to ensure real‑world generalization.</w:t>
      </w:r>
    </w:p>
    <w:p>
      <w:pPr>
        <w:pStyle w:val="Heading1"/>
      </w:pPr>
      <w:r>
        <w:t>9. Real‑Time Demo Application (AirDraw)</w:t>
      </w:r>
    </w:p>
    <w:p>
      <w:r>
        <w:t>A Streamlit‑based web application demonstrates real‑time inference. Data can be streamed from a phone using UDP or Phyphox, or uploaded via CSV. The system performs live window capture, resampling, scaling, and prediction, while showing sensor plots. Users can start/stop listeners, choose models, and view predictions instantly. The app supports Docker deployment and local Python execution.</w:t>
      </w:r>
    </w:p>
    <w:p>
      <w:pPr>
        <w:pStyle w:val="Heading1"/>
      </w:pPr>
      <w:r>
        <w:t>10. System Flow Summary</w:t>
      </w:r>
    </w:p>
    <w:p>
      <w:r>
        <w:t>Phone sensors → Data ingestion → Buffering → Preprocessing → Scaling → Model inference → Prediction visualization. This modular design allows independent improvement of each layer.</w:t>
      </w:r>
    </w:p>
    <w:p>
      <w:pPr>
        <w:pStyle w:val="Heading1"/>
      </w:pPr>
      <w:r>
        <w:t>11. Testing and Validation</w:t>
      </w:r>
    </w:p>
    <w:p>
      <w:r>
        <w:t>Testing covered both offline CSV evaluation and live device interaction. Functionality checks confirmed correct buffering, alignment, and prediction. CSV uploads validated column mapping, while Phyphox and UDP tests confirmed reliable streaming when network conditions were stable.</w:t>
      </w:r>
    </w:p>
    <w:p>
      <w:pPr>
        <w:pStyle w:val="Heading1"/>
      </w:pPr>
      <w:r>
        <w:t>12. Limitations</w:t>
      </w:r>
    </w:p>
    <w:p>
      <w:r>
        <w:t>- Accuracy depends on user motion style and sensor placement.</w:t>
        <w:br/>
        <w:t>- Network connectivity may affect streaming.</w:t>
        <w:br/>
        <w:t>- Dataset size and diversity limit universal generalization.</w:t>
        <w:br/>
        <w:t>- Models expect fixed sequence length, requiring resampling.</w:t>
      </w:r>
    </w:p>
    <w:p>
      <w:pPr>
        <w:pStyle w:val="Heading1"/>
      </w:pPr>
      <w:r>
        <w:t>13. Future Enhancements</w:t>
      </w:r>
    </w:p>
    <w:p>
      <w:r>
        <w:t>- Gesture auto‑segmentation without manual capture windows.</w:t>
        <w:br/>
        <w:t>- Expansion to alphabets or symbol gestures.</w:t>
        <w:br/>
        <w:t>- Personalized model fine‑tuning per user.</w:t>
        <w:br/>
        <w:t>- Mobile‑native interface and improved latency monitoring.</w:t>
        <w:br/>
        <w:t>- Larger multi‑user dataset collection.</w:t>
      </w:r>
    </w:p>
    <w:p>
      <w:pPr>
        <w:pStyle w:val="Heading1"/>
      </w:pPr>
      <w:r>
        <w:t>14. Conclusion</w:t>
      </w:r>
    </w:p>
    <w:p>
      <w:r>
        <w:t>This project successfully demonstrates the complete lifecycle of a machine‑learning application: from raw data to real‑time deployment. Through structured preprocessing, careful training, and a user‑friendly demo, the system validates that IMU‑based air‑writing recognition is both feasible and practical. The modular pipeline and thorough documentation ensure that the project can be extended, reproduced, and adapted for broader gesture‑recognition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