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BLINKIT GROCERY SALES ANALYSIS</w:t>
      </w:r>
    </w:p>
    <w:p>
      <w:pPr>
        <w:jc w:val="center"/>
      </w:pPr>
      <w:r>
        <w:rPr>
          <w:i/>
          <w:sz w:val="24"/>
        </w:rPr>
        <w:t>Excel Dashboard &amp; Business Insights Report</w:t>
      </w:r>
    </w:p>
    <w:p>
      <w:pPr>
        <w:pStyle w:val="Heading1"/>
      </w:pPr>
      <w:r>
        <w:t>1. Introduction</w:t>
      </w:r>
    </w:p>
    <w:p>
      <w:r>
        <w:t>This project analyses the provided BlinkIT grocery dataset to understand sales performance across item categories and outlet characteristics. The Excel workbook includes a dashboard, KPI summary, category analysis, outlet analysis, and statistical analysis.</w:t>
      </w:r>
    </w:p>
    <w:p>
      <w:pPr>
        <w:pStyle w:val="Heading1"/>
      </w:pPr>
      <w:r>
        <w:t>2. Dataset Overview</w:t>
      </w:r>
    </w:p>
    <w:p>
      <w:r>
        <w:t>The source workbook contains 8,523 data records and 12 fields: item fat content, item identifier, item type, outlet establishment year, outlet identifier, outlet location type, outlet size, outlet type, item visibility, item weight, sales, and rating.</w:t>
      </w:r>
    </w:p>
    <w:p>
      <w:pPr>
        <w:pStyle w:val="Heading1"/>
      </w:pPr>
      <w:r>
        <w:t>3. Overall Sales Performance</w:t>
      </w:r>
    </w:p>
    <w:p>
      <w:pPr>
        <w:pStyle w:val="ListBullet"/>
      </w:pPr>
      <w:r>
        <w:t>Total sales revenue: 1,201,681.49.</w:t>
      </w:r>
    </w:p>
    <w:p>
      <w:pPr>
        <w:pStyle w:val="ListBullet"/>
      </w:pPr>
      <w:r>
        <w:t>Average sales per record: 140.99.</w:t>
      </w:r>
    </w:p>
    <w:p>
      <w:pPr>
        <w:pStyle w:val="ListBullet"/>
      </w:pPr>
      <w:r>
        <w:t>Average item visibility: 0.0661.</w:t>
      </w:r>
    </w:p>
    <w:p>
      <w:pPr>
        <w:pStyle w:val="ListBullet"/>
      </w:pPr>
      <w:r>
        <w:t>Median sales: 143.01; minimum sales: 31.29; maximum sales: 266.89.</w:t>
      </w:r>
    </w:p>
    <w:p>
      <w:pPr>
        <w:pStyle w:val="Heading1"/>
      </w:pPr>
      <w:r>
        <w:t>4. Product Category Analysis</w:t>
      </w:r>
    </w:p>
    <w:p>
      <w:r>
        <w:t>The four highest-sales item categories together contribute 50.60% of total sales.</w:t>
      </w:r>
    </w:p>
    <w:p>
      <w:r>
        <w:t>Highest total-sales category: Fruits and Vegetables (178,124.08).</w:t>
      </w:r>
    </w:p>
    <w:p>
      <w:r>
        <w:t>Lowest total-sales category: Seafood (9,077.87).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 Type</w:t>
            </w:r>
          </w:p>
        </w:tc>
        <w:tc>
          <w:tcPr>
            <w:tcW w:type="dxa" w:w="2880"/>
          </w:tcPr>
          <w:p>
            <w:r>
              <w:t>Total Sales</w:t>
            </w:r>
          </w:p>
        </w:tc>
        <w:tc>
          <w:tcPr>
            <w:tcW w:type="dxa" w:w="2880"/>
          </w:tcPr>
          <w:p>
            <w:r>
              <w:t>Share of Total</w:t>
            </w:r>
          </w:p>
        </w:tc>
      </w:tr>
      <w:tr>
        <w:tc>
          <w:tcPr>
            <w:tcW w:type="dxa" w:w="2880"/>
          </w:tcPr>
          <w:p>
            <w:r>
              <w:t>Fruits and Vegetables</w:t>
            </w:r>
          </w:p>
        </w:tc>
        <w:tc>
          <w:tcPr>
            <w:tcW w:type="dxa" w:w="2880"/>
          </w:tcPr>
          <w:p>
            <w:r>
              <w:t>178,124.08</w:t>
            </w:r>
          </w:p>
        </w:tc>
        <w:tc>
          <w:tcPr>
            <w:tcW w:type="dxa" w:w="2880"/>
          </w:tcPr>
          <w:p>
            <w:r>
              <w:t>14.82%</w:t>
            </w:r>
          </w:p>
        </w:tc>
      </w:tr>
      <w:tr>
        <w:tc>
          <w:tcPr>
            <w:tcW w:type="dxa" w:w="2880"/>
          </w:tcPr>
          <w:p>
            <w:r>
              <w:t>Snack Foods</w:t>
            </w:r>
          </w:p>
        </w:tc>
        <w:tc>
          <w:tcPr>
            <w:tcW w:type="dxa" w:w="2880"/>
          </w:tcPr>
          <w:p>
            <w:r>
              <w:t>175,433.92</w:t>
            </w:r>
          </w:p>
        </w:tc>
        <w:tc>
          <w:tcPr>
            <w:tcW w:type="dxa" w:w="2880"/>
          </w:tcPr>
          <w:p>
            <w:r>
              <w:t>14.60%</w:t>
            </w:r>
          </w:p>
        </w:tc>
      </w:tr>
      <w:tr>
        <w:tc>
          <w:tcPr>
            <w:tcW w:type="dxa" w:w="2880"/>
          </w:tcPr>
          <w:p>
            <w:r>
              <w:t>Household</w:t>
            </w:r>
          </w:p>
        </w:tc>
        <w:tc>
          <w:tcPr>
            <w:tcW w:type="dxa" w:w="2880"/>
          </w:tcPr>
          <w:p>
            <w:r>
              <w:t>135,976.53</w:t>
            </w:r>
          </w:p>
        </w:tc>
        <w:tc>
          <w:tcPr>
            <w:tcW w:type="dxa" w:w="2880"/>
          </w:tcPr>
          <w:p>
            <w:r>
              <w:t>11.32%</w:t>
            </w:r>
          </w:p>
        </w:tc>
      </w:tr>
      <w:tr>
        <w:tc>
          <w:tcPr>
            <w:tcW w:type="dxa" w:w="2880"/>
          </w:tcPr>
          <w:p>
            <w:r>
              <w:t>Frozen Foods</w:t>
            </w:r>
          </w:p>
        </w:tc>
        <w:tc>
          <w:tcPr>
            <w:tcW w:type="dxa" w:w="2880"/>
          </w:tcPr>
          <w:p>
            <w:r>
              <w:t>118,558.88</w:t>
            </w:r>
          </w:p>
        </w:tc>
        <w:tc>
          <w:tcPr>
            <w:tcW w:type="dxa" w:w="2880"/>
          </w:tcPr>
          <w:p>
            <w:r>
              <w:t>9.87%</w:t>
            </w:r>
          </w:p>
        </w:tc>
      </w:tr>
      <w:tr>
        <w:tc>
          <w:tcPr>
            <w:tcW w:type="dxa" w:w="2880"/>
          </w:tcPr>
          <w:p>
            <w:r>
              <w:t>Dairy</w:t>
            </w:r>
          </w:p>
        </w:tc>
        <w:tc>
          <w:tcPr>
            <w:tcW w:type="dxa" w:w="2880"/>
          </w:tcPr>
          <w:p>
            <w:r>
              <w:t>101,276.46</w:t>
            </w:r>
          </w:p>
        </w:tc>
        <w:tc>
          <w:tcPr>
            <w:tcW w:type="dxa" w:w="2880"/>
          </w:tcPr>
          <w:p>
            <w:r>
              <w:t>8.43%</w:t>
            </w:r>
          </w:p>
        </w:tc>
      </w:tr>
      <w:tr>
        <w:tc>
          <w:tcPr>
            <w:tcW w:type="dxa" w:w="2880"/>
          </w:tcPr>
          <w:p>
            <w:r>
              <w:t>Canned</w:t>
            </w:r>
          </w:p>
        </w:tc>
        <w:tc>
          <w:tcPr>
            <w:tcW w:type="dxa" w:w="2880"/>
          </w:tcPr>
          <w:p>
            <w:r>
              <w:t>90,706.73</w:t>
            </w:r>
          </w:p>
        </w:tc>
        <w:tc>
          <w:tcPr>
            <w:tcW w:type="dxa" w:w="2880"/>
          </w:tcPr>
          <w:p>
            <w:r>
              <w:t>7.55%</w:t>
            </w:r>
          </w:p>
        </w:tc>
      </w:tr>
      <w:tr>
        <w:tc>
          <w:tcPr>
            <w:tcW w:type="dxa" w:w="2880"/>
          </w:tcPr>
          <w:p>
            <w:r>
              <w:t>Baking Goods</w:t>
            </w:r>
          </w:p>
        </w:tc>
        <w:tc>
          <w:tcPr>
            <w:tcW w:type="dxa" w:w="2880"/>
          </w:tcPr>
          <w:p>
            <w:r>
              <w:t>81,894.74</w:t>
            </w:r>
          </w:p>
        </w:tc>
        <w:tc>
          <w:tcPr>
            <w:tcW w:type="dxa" w:w="2880"/>
          </w:tcPr>
          <w:p>
            <w:r>
              <w:t>6.82%</w:t>
            </w:r>
          </w:p>
        </w:tc>
      </w:tr>
      <w:tr>
        <w:tc>
          <w:tcPr>
            <w:tcW w:type="dxa" w:w="2880"/>
          </w:tcPr>
          <w:p>
            <w:r>
              <w:t>Health and Hygiene</w:t>
            </w:r>
          </w:p>
        </w:tc>
        <w:tc>
          <w:tcPr>
            <w:tcW w:type="dxa" w:w="2880"/>
          </w:tcPr>
          <w:p>
            <w:r>
              <w:t>68,025.84</w:t>
            </w:r>
          </w:p>
        </w:tc>
        <w:tc>
          <w:tcPr>
            <w:tcW w:type="dxa" w:w="2880"/>
          </w:tcPr>
          <w:p>
            <w:r>
              <w:t>5.66%</w:t>
            </w:r>
          </w:p>
        </w:tc>
      </w:tr>
      <w:tr>
        <w:tc>
          <w:tcPr>
            <w:tcW w:type="dxa" w:w="2880"/>
          </w:tcPr>
          <w:p>
            <w:r>
              <w:t>Meat</w:t>
            </w:r>
          </w:p>
        </w:tc>
        <w:tc>
          <w:tcPr>
            <w:tcW w:type="dxa" w:w="2880"/>
          </w:tcPr>
          <w:p>
            <w:r>
              <w:t>59,449.86</w:t>
            </w:r>
          </w:p>
        </w:tc>
        <w:tc>
          <w:tcPr>
            <w:tcW w:type="dxa" w:w="2880"/>
          </w:tcPr>
          <w:p>
            <w:r>
              <w:t>4.95%</w:t>
            </w:r>
          </w:p>
        </w:tc>
      </w:tr>
      <w:tr>
        <w:tc>
          <w:tcPr>
            <w:tcW w:type="dxa" w:w="2880"/>
          </w:tcPr>
          <w:p>
            <w:r>
              <w:t>Soft Drinks</w:t>
            </w:r>
          </w:p>
        </w:tc>
        <w:tc>
          <w:tcPr>
            <w:tcW w:type="dxa" w:w="2880"/>
          </w:tcPr>
          <w:p>
            <w:r>
              <w:t>58,514.17</w:t>
            </w:r>
          </w:p>
        </w:tc>
        <w:tc>
          <w:tcPr>
            <w:tcW w:type="dxa" w:w="2880"/>
          </w:tcPr>
          <w:p>
            <w:r>
              <w:t>4.87%</w:t>
            </w:r>
          </w:p>
        </w:tc>
      </w:tr>
      <w:tr>
        <w:tc>
          <w:tcPr>
            <w:tcW w:type="dxa" w:w="2880"/>
          </w:tcPr>
          <w:p>
            <w:r>
              <w:t>Breads</w:t>
            </w:r>
          </w:p>
        </w:tc>
        <w:tc>
          <w:tcPr>
            <w:tcW w:type="dxa" w:w="2880"/>
          </w:tcPr>
          <w:p>
            <w:r>
              <w:t>35,379.12</w:t>
            </w:r>
          </w:p>
        </w:tc>
        <w:tc>
          <w:tcPr>
            <w:tcW w:type="dxa" w:w="2880"/>
          </w:tcPr>
          <w:p>
            <w:r>
              <w:t>2.94%</w:t>
            </w:r>
          </w:p>
        </w:tc>
      </w:tr>
      <w:tr>
        <w:tc>
          <w:tcPr>
            <w:tcW w:type="dxa" w:w="2880"/>
          </w:tcPr>
          <w:p>
            <w:r>
              <w:t>Hard Drinks</w:t>
            </w:r>
          </w:p>
        </w:tc>
        <w:tc>
          <w:tcPr>
            <w:tcW w:type="dxa" w:w="2880"/>
          </w:tcPr>
          <w:p>
            <w:r>
              <w:t>29,334.68</w:t>
            </w:r>
          </w:p>
        </w:tc>
        <w:tc>
          <w:tcPr>
            <w:tcW w:type="dxa" w:w="2880"/>
          </w:tcPr>
          <w:p>
            <w:r>
              <w:t>2.44%</w:t>
            </w:r>
          </w:p>
        </w:tc>
      </w:tr>
      <w:tr>
        <w:tc>
          <w:tcPr>
            <w:tcW w:type="dxa" w:w="2880"/>
          </w:tcPr>
          <w:p>
            <w:r>
              <w:t>Others</w:t>
            </w:r>
          </w:p>
        </w:tc>
        <w:tc>
          <w:tcPr>
            <w:tcW w:type="dxa" w:w="2880"/>
          </w:tcPr>
          <w:p>
            <w:r>
              <w:t>22,451.89</w:t>
            </w:r>
          </w:p>
        </w:tc>
        <w:tc>
          <w:tcPr>
            <w:tcW w:type="dxa" w:w="2880"/>
          </w:tcPr>
          <w:p>
            <w:r>
              <w:t>1.87%</w:t>
            </w:r>
          </w:p>
        </w:tc>
      </w:tr>
      <w:tr>
        <w:tc>
          <w:tcPr>
            <w:tcW w:type="dxa" w:w="2880"/>
          </w:tcPr>
          <w:p>
            <w:r>
              <w:t>Starchy Foods</w:t>
            </w:r>
          </w:p>
        </w:tc>
        <w:tc>
          <w:tcPr>
            <w:tcW w:type="dxa" w:w="2880"/>
          </w:tcPr>
          <w:p>
            <w:r>
              <w:t>21,880.03</w:t>
            </w:r>
          </w:p>
        </w:tc>
        <w:tc>
          <w:tcPr>
            <w:tcW w:type="dxa" w:w="2880"/>
          </w:tcPr>
          <w:p>
            <w:r>
              <w:t>1.82%</w:t>
            </w:r>
          </w:p>
        </w:tc>
      </w:tr>
      <w:tr>
        <w:tc>
          <w:tcPr>
            <w:tcW w:type="dxa" w:w="2880"/>
          </w:tcPr>
          <w:p>
            <w:r>
              <w:t>Breakfast</w:t>
            </w:r>
          </w:p>
        </w:tc>
        <w:tc>
          <w:tcPr>
            <w:tcW w:type="dxa" w:w="2880"/>
          </w:tcPr>
          <w:p>
            <w:r>
              <w:t>15,596.70</w:t>
            </w:r>
          </w:p>
        </w:tc>
        <w:tc>
          <w:tcPr>
            <w:tcW w:type="dxa" w:w="2880"/>
          </w:tcPr>
          <w:p>
            <w:r>
              <w:t>1.30%</w:t>
            </w:r>
          </w:p>
        </w:tc>
      </w:tr>
      <w:tr>
        <w:tc>
          <w:tcPr>
            <w:tcW w:type="dxa" w:w="2880"/>
          </w:tcPr>
          <w:p>
            <w:r>
              <w:t>Seafood</w:t>
            </w:r>
          </w:p>
        </w:tc>
        <w:tc>
          <w:tcPr>
            <w:tcW w:type="dxa" w:w="2880"/>
          </w:tcPr>
          <w:p>
            <w:r>
              <w:t>9,077.87</w:t>
            </w:r>
          </w:p>
        </w:tc>
        <w:tc>
          <w:tcPr>
            <w:tcW w:type="dxa" w:w="2880"/>
          </w:tcPr>
          <w:p>
            <w:r>
              <w:t>0.76%</w:t>
            </w:r>
          </w:p>
        </w:tc>
      </w:tr>
    </w:tbl>
    <w:p>
      <w:pPr>
        <w:pStyle w:val="Heading1"/>
      </w:pPr>
      <w:r>
        <w:t>5. Outlet Performance</w:t>
      </w:r>
    </w:p>
    <w:p>
      <w:r>
        <w:t>Sales were grouped by outlet type, outlet location type, outlet size, and item fat content. The following summaries show the highest-sales groups within each dimension.</w:t>
      </w:r>
    </w:p>
    <w:p>
      <w:pPr>
        <w:pStyle w:val="ListBullet"/>
      </w:pPr>
      <w:r>
        <w:t>Outlet type: Supermarket Type1 has the highest total sales (787,549.89); Supermarket Type3 has the lowest (130,714.67).</w:t>
      </w:r>
    </w:p>
    <w:p>
      <w:pPr>
        <w:pStyle w:val="ListBullet"/>
      </w:pPr>
      <w:r>
        <w:t>Outlet location type: Tier 3 has the highest total sales (472,133.03); Tier 1 has the lowest (336,397.81).</w:t>
      </w:r>
    </w:p>
    <w:p>
      <w:pPr>
        <w:pStyle w:val="ListBullet"/>
      </w:pPr>
      <w:r>
        <w:t>Outlet size: Medium has the highest total sales (507,895.74); High has the lowest (248,991.59).</w:t>
      </w:r>
    </w:p>
    <w:p>
      <w:pPr>
        <w:pStyle w:val="ListBullet"/>
      </w:pPr>
      <w:r>
        <w:t>Item fat content: Low Fat has the highest total sales (717,390.85); low fat has the lowest (15,071.73).</w:t>
      </w:r>
    </w:p>
    <w:p>
      <w:r>
        <w:t>The workbook's Outlet Analysis sheet contains the full group totals, shares, and average sales for comparison.</w:t>
      </w:r>
    </w:p>
    <w:p>
      <w:pPr>
        <w:pStyle w:val="Heading1"/>
      </w:pPr>
      <w:r>
        <w:t>6. Visibility and Sales Relationship</w:t>
      </w:r>
    </w:p>
    <w:p>
      <w:r>
        <w:t>The Pearson correlation between item visibility and sales is -0.001. This value describes the strength and direction of a linear association in this dataset; it does not establish that visibility causes sales to increase.</w:t>
      </w:r>
    </w:p>
    <w:p>
      <w:pPr>
        <w:pStyle w:val="Heading1"/>
      </w:pPr>
      <w:r>
        <w:t>7. Statistical Analysis</w:t>
      </w:r>
    </w:p>
    <w:p>
      <w:pPr>
        <w:pStyle w:val="ListBullet"/>
      </w:pPr>
      <w:r>
        <w:t>Sales standard deviation (population): 62.27.</w:t>
      </w:r>
    </w:p>
    <w:p>
      <w:pPr>
        <w:pStyle w:val="ListBullet"/>
      </w:pPr>
      <w:r>
        <w:t>Sales range: 235.60.</w:t>
      </w:r>
    </w:p>
    <w:p>
      <w:pPr>
        <w:pStyle w:val="ListBullet"/>
      </w:pPr>
      <w:r>
        <w:t>Interquartile range (IQR): 91.85.</w:t>
      </w:r>
    </w:p>
    <w:p>
      <w:pPr>
        <w:pStyle w:val="ListBullet"/>
      </w:pPr>
      <w:r>
        <w:t>Using the 1.5 × IQR rule, 0 records are potential low outliers and 0 are potential high outliers.</w:t>
      </w:r>
    </w:p>
    <w:p>
      <w:r>
        <w:t>Outlier flags indicate unusually low or high values relative to the distribution; they should be reviewed in context and are not automatically data errors.</w:t>
      </w:r>
    </w:p>
    <w:p>
      <w:pPr>
        <w:pStyle w:val="Heading1"/>
      </w:pPr>
      <w:r>
        <w:t>8. Recommendations</w:t>
      </w:r>
    </w:p>
    <w:p>
      <w:pPr>
        <w:pStyle w:val="ListBullet"/>
      </w:pPr>
      <w:r>
        <w:t>Review high-performing categories and maintain suitable stock levels for products with sustained sales.</w:t>
      </w:r>
    </w:p>
    <w:p>
      <w:pPr>
        <w:pStyle w:val="ListBullet"/>
      </w:pPr>
      <w:r>
        <w:t>Compare outlet type and location performance before deciding where to focus promotions or operational improvements.</w:t>
      </w:r>
    </w:p>
    <w:p>
      <w:pPr>
        <w:pStyle w:val="ListBullet"/>
      </w:pPr>
      <w:r>
        <w:t>Use category-level and outlet-level averages alongside total sales so that groups of different sizes are compared fairly.</w:t>
      </w:r>
    </w:p>
    <w:p>
      <w:pPr>
        <w:pStyle w:val="ListBullet"/>
      </w:pPr>
      <w:r>
        <w:t>Treat visibility–sales correlation as descriptive evidence; consider price, promotions, availability, and product characteristics before making causal claims.</w:t>
      </w:r>
    </w:p>
    <w:p>
      <w:pPr>
        <w:pStyle w:val="ListBullet"/>
      </w:pPr>
      <w:r>
        <w:t>Review potential outliers and validate unusual records before using them for operational decisions.</w:t>
      </w:r>
    </w:p>
    <w:p>
      <w:pPr>
        <w:pStyle w:val="Heading1"/>
      </w:pPr>
      <w:r>
        <w:t>9. Conclusion</w:t>
      </w:r>
    </w:p>
    <w:p>
      <w:r>
        <w:t>The Excel dashboard consolidates key sales KPIs, category contributions, outlet comparisons, and statistical measures. It provides a starting point for data-driven review of the BlinkIT grocery dataset. All findings in this report are calculated from the supplied workbook.</w:t>
      </w:r>
    </w:p>
    <w:p>
      <w:pPr>
        <w:pStyle w:val="Heading1"/>
      </w:pPr>
      <w:r>
        <w:t>10. Files Included</w:t>
      </w:r>
    </w:p>
    <w:p>
      <w:r>
        <w:t>1. BlinkIT_Grocery_Sales_Analysis_Dashboard.xlsx — interactive-style dashboard, summary sheets, charts, and source data.</w:t>
      </w:r>
    </w:p>
    <w:p>
      <w:r>
        <w:t>2. BlinkIT_Grocery_Sales_Analysis_Report.docx — written summary of methods and findings.</w:t>
      </w:r>
    </w:p>
    <w:sectPr w:rsidR="00FC693F" w:rsidRPr="0006063C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