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0F8FF1">
      <w:pPr>
        <w:spacing w:after="0"/>
        <w:jc w:val="center"/>
        <w:rPr>
          <w:b/>
          <w:sz w:val="24"/>
          <w:szCs w:val="24"/>
        </w:rPr>
      </w:pPr>
      <w:r>
        <w:rPr>
          <w:b/>
          <w:sz w:val="24"/>
          <w:szCs w:val="24"/>
        </w:rPr>
        <w:t>Project Design Phase</w:t>
      </w:r>
    </w:p>
    <w:p w14:paraId="0D9723FA">
      <w:pPr>
        <w:spacing w:after="0"/>
        <w:jc w:val="center"/>
        <w:rPr>
          <w:b/>
          <w:sz w:val="24"/>
          <w:szCs w:val="24"/>
        </w:rPr>
      </w:pPr>
      <w:r>
        <w:rPr>
          <w:b/>
          <w:sz w:val="24"/>
          <w:szCs w:val="24"/>
        </w:rPr>
        <w:t>Proposed Solution Template</w:t>
      </w:r>
    </w:p>
    <w:p w14:paraId="4079B276">
      <w:pPr>
        <w:spacing w:after="0"/>
        <w:jc w:val="center"/>
        <w:rPr>
          <w:b/>
        </w:rPr>
      </w:pPr>
    </w:p>
    <w:tbl>
      <w:tblPr>
        <w:tblStyle w:val="17"/>
        <w:tblW w:w="90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95"/>
        <w:gridCol w:w="4335"/>
      </w:tblGrid>
      <w:tr w14:paraId="01BD0C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31912448">
            <w:pPr>
              <w:spacing w:after="0" w:line="240" w:lineRule="auto"/>
            </w:pPr>
            <w:r>
              <w:t>Date</w:t>
            </w:r>
          </w:p>
        </w:tc>
        <w:tc>
          <w:tcPr>
            <w:tcW w:w="4335" w:type="dxa"/>
          </w:tcPr>
          <w:p w14:paraId="38EB997F">
            <w:pPr>
              <w:spacing w:after="0" w:line="240" w:lineRule="auto"/>
            </w:pPr>
            <w:r>
              <w:t>03 October 2026</w:t>
            </w:r>
          </w:p>
        </w:tc>
      </w:tr>
      <w:tr w14:paraId="0D75BA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1E55CDFF">
            <w:pPr>
              <w:spacing w:after="0" w:line="240" w:lineRule="auto"/>
            </w:pPr>
            <w:r>
              <w:t>Team ID</w:t>
            </w:r>
          </w:p>
        </w:tc>
        <w:tc>
          <w:tcPr>
            <w:tcW w:w="4335" w:type="dxa"/>
          </w:tcPr>
          <w:p w14:paraId="51239849">
            <w:pPr>
              <w:spacing w:after="0" w:line="240" w:lineRule="auto"/>
            </w:pPr>
            <w:r>
              <w:rPr>
                <w:rFonts w:hint="default"/>
                <w:lang w:val="en-IN"/>
              </w:rPr>
              <w:t>SWTID-2026-8414</w:t>
            </w:r>
            <w:bookmarkStart w:id="0" w:name="_GoBack"/>
            <w:bookmarkEnd w:id="0"/>
          </w:p>
        </w:tc>
      </w:tr>
      <w:tr w14:paraId="63B589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6363A363">
            <w:pPr>
              <w:spacing w:after="0" w:line="240" w:lineRule="auto"/>
            </w:pPr>
            <w:r>
              <w:t>Project Name</w:t>
            </w:r>
          </w:p>
        </w:tc>
        <w:tc>
          <w:tcPr>
            <w:tcW w:w="4335" w:type="dxa"/>
          </w:tcPr>
          <w:p w14:paraId="53F87ED6">
            <w:pPr>
              <w:spacing w:after="0" w:line="240" w:lineRule="auto"/>
            </w:pPr>
            <w:r>
              <w:t>Auto Ticket Classification using FLOW DESIGNER</w:t>
            </w:r>
          </w:p>
        </w:tc>
      </w:tr>
      <w:tr w14:paraId="7CB9A7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4D5E254E">
            <w:pPr>
              <w:spacing w:after="0" w:line="240" w:lineRule="auto"/>
            </w:pPr>
            <w:r>
              <w:t>Maximum Marks</w:t>
            </w:r>
          </w:p>
        </w:tc>
        <w:tc>
          <w:tcPr>
            <w:tcW w:w="4335" w:type="dxa"/>
          </w:tcPr>
          <w:p w14:paraId="739531C4">
            <w:pPr>
              <w:spacing w:after="0" w:line="240" w:lineRule="auto"/>
            </w:pPr>
            <w:r>
              <w:t>2 Marks</w:t>
            </w:r>
          </w:p>
        </w:tc>
      </w:tr>
    </w:tbl>
    <w:p w14:paraId="25BBD34E">
      <w:pPr>
        <w:rPr>
          <w:b/>
        </w:rPr>
      </w:pPr>
    </w:p>
    <w:p w14:paraId="5DD1C4E6">
      <w:pPr>
        <w:rPr>
          <w:b/>
        </w:rPr>
      </w:pPr>
      <w:r>
        <w:rPr>
          <w:b/>
        </w:rPr>
        <w:t>Proposed Solution Template:</w:t>
      </w:r>
    </w:p>
    <w:p w14:paraId="6C34623B"/>
    <w:tbl>
      <w:tblPr>
        <w:tblStyle w:val="18"/>
        <w:tblW w:w="90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01"/>
        <w:gridCol w:w="3658"/>
        <w:gridCol w:w="4508"/>
      </w:tblGrid>
      <w:tr w14:paraId="546DF4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901" w:type="dxa"/>
            <w:vAlign w:val="center"/>
          </w:tcPr>
          <w:p w14:paraId="15663B4E">
            <w:pPr>
              <w:spacing w:after="0" w:line="240" w:lineRule="auto"/>
              <w:rPr>
                <w:b/>
              </w:rPr>
            </w:pPr>
            <w:r>
              <w:rPr>
                <w:rStyle w:val="11"/>
              </w:rPr>
              <w:t>S.No.</w:t>
            </w:r>
          </w:p>
        </w:tc>
        <w:tc>
          <w:tcPr>
            <w:tcW w:w="3658" w:type="dxa"/>
            <w:vAlign w:val="center"/>
          </w:tcPr>
          <w:p w14:paraId="6E1952A5">
            <w:pPr>
              <w:spacing w:after="0" w:line="240" w:lineRule="auto"/>
              <w:rPr>
                <w:b/>
              </w:rPr>
            </w:pPr>
            <w:r>
              <w:rPr>
                <w:rStyle w:val="11"/>
              </w:rPr>
              <w:t>Parameter</w:t>
            </w:r>
          </w:p>
        </w:tc>
        <w:tc>
          <w:tcPr>
            <w:tcW w:w="4508" w:type="dxa"/>
            <w:vAlign w:val="center"/>
          </w:tcPr>
          <w:p w14:paraId="2B048189">
            <w:pPr>
              <w:spacing w:after="0" w:line="240" w:lineRule="auto"/>
              <w:rPr>
                <w:b/>
              </w:rPr>
            </w:pPr>
            <w:r>
              <w:rPr>
                <w:rStyle w:val="11"/>
              </w:rPr>
              <w:t>Description</w:t>
            </w:r>
          </w:p>
        </w:tc>
      </w:tr>
      <w:tr w14:paraId="746923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vAlign w:val="center"/>
          </w:tcPr>
          <w:p w14:paraId="5C1EBAC3">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r>
              <w:rPr>
                <w:rStyle w:val="11"/>
              </w:rPr>
              <w:t>1</w:t>
            </w:r>
          </w:p>
        </w:tc>
        <w:tc>
          <w:tcPr>
            <w:tcW w:w="3658" w:type="dxa"/>
            <w:vAlign w:val="center"/>
          </w:tcPr>
          <w:p w14:paraId="04235105">
            <w:pPr>
              <w:spacing w:after="0" w:line="240" w:lineRule="auto"/>
            </w:pPr>
            <w:r>
              <w:rPr>
                <w:rStyle w:val="11"/>
              </w:rPr>
              <w:t>Problem Statement (Problem to be solved)</w:t>
            </w:r>
          </w:p>
        </w:tc>
        <w:tc>
          <w:tcPr>
            <w:tcW w:w="4508" w:type="dxa"/>
            <w:vAlign w:val="center"/>
          </w:tcPr>
          <w:p w14:paraId="09CD0892">
            <w:pPr>
              <w:spacing w:after="0" w:line="240" w:lineRule="auto"/>
            </w:pPr>
            <w:r>
              <w:t>Manual ticket classification and routing can cause delays, incorrect assignment, inconsistent priority handling and increased workload for service desk teams. Incoming tickets need to be classified, prioritized and routed to the appropriate support group efficiently.</w:t>
            </w:r>
          </w:p>
        </w:tc>
      </w:tr>
      <w:tr w14:paraId="311E6F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vAlign w:val="center"/>
          </w:tcPr>
          <w:p w14:paraId="7FD120C0">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r>
              <w:rPr>
                <w:rStyle w:val="11"/>
              </w:rPr>
              <w:t>2</w:t>
            </w:r>
          </w:p>
        </w:tc>
        <w:tc>
          <w:tcPr>
            <w:tcW w:w="3658" w:type="dxa"/>
            <w:vAlign w:val="center"/>
          </w:tcPr>
          <w:p w14:paraId="2C8EB320">
            <w:pPr>
              <w:spacing w:after="0" w:line="240" w:lineRule="auto"/>
            </w:pPr>
            <w:r>
              <w:rPr>
                <w:rStyle w:val="11"/>
              </w:rPr>
              <w:t>Idea / Solution Description</w:t>
            </w:r>
          </w:p>
        </w:tc>
        <w:tc>
          <w:tcPr>
            <w:tcW w:w="4508" w:type="dxa"/>
            <w:vAlign w:val="center"/>
          </w:tcPr>
          <w:p w14:paraId="3B99628C">
            <w:pPr>
              <w:spacing w:after="0" w:line="240" w:lineRule="auto"/>
            </w:pPr>
            <w:r>
              <w:t xml:space="preserve">Develop an automated </w:t>
            </w:r>
            <w:r>
              <w:rPr>
                <w:rStyle w:val="11"/>
              </w:rPr>
              <w:t>ServiceNow Flow Designer</w:t>
            </w:r>
            <w:r>
              <w:t xml:space="preserve"> workflow that triggers when a new ticket is created, evaluates the ticket description, keywords, requester information and channel source, determines the appropriate category and priority, and automatically routes the ticket to the correct assignment group. Unmatched tickets are sent to a General Support Triage Queue for manual review.</w:t>
            </w:r>
          </w:p>
        </w:tc>
      </w:tr>
      <w:tr w14:paraId="570C06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7" w:hRule="atLeast"/>
        </w:trPr>
        <w:tc>
          <w:tcPr>
            <w:tcW w:w="901" w:type="dxa"/>
            <w:vAlign w:val="center"/>
          </w:tcPr>
          <w:p w14:paraId="39C750DA">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r>
              <w:rPr>
                <w:rStyle w:val="11"/>
              </w:rPr>
              <w:t>3</w:t>
            </w:r>
          </w:p>
        </w:tc>
        <w:tc>
          <w:tcPr>
            <w:tcW w:w="3658" w:type="dxa"/>
            <w:vAlign w:val="center"/>
          </w:tcPr>
          <w:p w14:paraId="778B3D94">
            <w:pPr>
              <w:spacing w:after="0" w:line="240" w:lineRule="auto"/>
            </w:pPr>
            <w:r>
              <w:rPr>
                <w:rStyle w:val="11"/>
              </w:rPr>
              <w:t>Novelty / Uniqueness</w:t>
            </w:r>
          </w:p>
        </w:tc>
        <w:tc>
          <w:tcPr>
            <w:tcW w:w="4508" w:type="dxa"/>
            <w:vAlign w:val="center"/>
          </w:tcPr>
          <w:p w14:paraId="1CA0989E">
            <w:pPr>
              <w:spacing w:after="0" w:line="240" w:lineRule="auto"/>
            </w:pPr>
            <w:r>
              <w:t xml:space="preserve">The solution combines </w:t>
            </w:r>
            <w:r>
              <w:rPr>
                <w:rStyle w:val="11"/>
              </w:rPr>
              <w:t>keyword-based classification, conditional branching, automatic priority assignment, assignment-group routing and fallback handling</w:t>
            </w:r>
            <w:r>
              <w:t xml:space="preserve"> within a visual Flow Designer workflow. It reduces dependency on repetitive manual triage while maintaining configurable and auditable classification logic.</w:t>
            </w:r>
          </w:p>
        </w:tc>
      </w:tr>
      <w:tr w14:paraId="66B712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vAlign w:val="center"/>
          </w:tcPr>
          <w:p w14:paraId="0AF3DEAD">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r>
              <w:rPr>
                <w:rStyle w:val="11"/>
              </w:rPr>
              <w:t>4</w:t>
            </w:r>
          </w:p>
        </w:tc>
        <w:tc>
          <w:tcPr>
            <w:tcW w:w="3658" w:type="dxa"/>
            <w:vAlign w:val="center"/>
          </w:tcPr>
          <w:p w14:paraId="6BD1A082">
            <w:pPr>
              <w:spacing w:after="0" w:line="240" w:lineRule="auto"/>
            </w:pPr>
            <w:r>
              <w:rPr>
                <w:rStyle w:val="11"/>
              </w:rPr>
              <w:t>Social Impact / Customer Satisfaction</w:t>
            </w:r>
          </w:p>
        </w:tc>
        <w:tc>
          <w:tcPr>
            <w:tcW w:w="4508" w:type="dxa"/>
            <w:vAlign w:val="center"/>
          </w:tcPr>
          <w:p w14:paraId="796C5155">
            <w:pPr>
              <w:spacing w:after="0" w:line="240" w:lineRule="auto"/>
            </w:pPr>
            <w:r>
              <w:t>The solution can reduce ticket-processing delays and unnecessary reassignment, helping users reach the appropriate support team faster. It also reduces repetitive workload for service desk agents and supports more consistent ticket prioritization and SLA handling.</w:t>
            </w:r>
          </w:p>
        </w:tc>
      </w:tr>
      <w:tr w14:paraId="1244C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vAlign w:val="center"/>
          </w:tcPr>
          <w:p w14:paraId="12C00861">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r>
              <w:rPr>
                <w:rStyle w:val="11"/>
              </w:rPr>
              <w:t>5</w:t>
            </w:r>
          </w:p>
        </w:tc>
        <w:tc>
          <w:tcPr>
            <w:tcW w:w="3658" w:type="dxa"/>
            <w:vAlign w:val="center"/>
          </w:tcPr>
          <w:p w14:paraId="36735D6B">
            <w:pPr>
              <w:spacing w:after="0" w:line="240" w:lineRule="auto"/>
            </w:pPr>
            <w:r>
              <w:rPr>
                <w:rStyle w:val="11"/>
              </w:rPr>
              <w:t>Business Model (Revenue Model)</w:t>
            </w:r>
          </w:p>
        </w:tc>
        <w:tc>
          <w:tcPr>
            <w:tcW w:w="4508" w:type="dxa"/>
            <w:vAlign w:val="center"/>
          </w:tcPr>
          <w:p w14:paraId="3076A9C3">
            <w:pPr>
              <w:spacing w:after="0" w:line="240" w:lineRule="auto"/>
            </w:pPr>
            <w:r>
              <w:t xml:space="preserve">The solution can be offered as an </w:t>
            </w:r>
            <w:r>
              <w:rPr>
                <w:rStyle w:val="11"/>
              </w:rPr>
              <w:t>enterprise IT service-management automation solution</w:t>
            </w:r>
            <w:r>
              <w:t>. Organizations can adopt it as part of their ServiceNow implementation, with revenue generated through workflow configuration, customization, integration, maintenance and support services.</w:t>
            </w:r>
          </w:p>
        </w:tc>
      </w:tr>
      <w:tr w14:paraId="4B60AB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vAlign w:val="center"/>
          </w:tcPr>
          <w:p w14:paraId="0A6E6C58">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r>
              <w:rPr>
                <w:rStyle w:val="11"/>
              </w:rPr>
              <w:t>6</w:t>
            </w:r>
          </w:p>
        </w:tc>
        <w:tc>
          <w:tcPr>
            <w:tcW w:w="3658" w:type="dxa"/>
            <w:vAlign w:val="center"/>
          </w:tcPr>
          <w:p w14:paraId="0F8AAAD6">
            <w:pPr>
              <w:spacing w:after="0" w:line="240" w:lineRule="auto"/>
              <w:rPr>
                <w:color w:val="222222"/>
              </w:rPr>
            </w:pPr>
            <w:r>
              <w:rPr>
                <w:rStyle w:val="11"/>
              </w:rPr>
              <w:t>Scalability of the Solution</w:t>
            </w:r>
          </w:p>
        </w:tc>
        <w:tc>
          <w:tcPr>
            <w:tcW w:w="4508" w:type="dxa"/>
            <w:vAlign w:val="center"/>
          </w:tcPr>
          <w:p w14:paraId="06C5A685">
            <w:pPr>
              <w:spacing w:after="0" w:line="240" w:lineRule="auto"/>
            </w:pPr>
            <w:r>
              <w:t xml:space="preserve">The Flow Designer-based solution can be extended to support additional ticket categories, keywords, assignment groups and business rules. Future enhancements can include </w:t>
            </w:r>
            <w:r>
              <w:rPr>
                <w:rStyle w:val="11"/>
              </w:rPr>
              <w:t>Machine Learning-based classification, sentiment analysis, multi-language support and dynamic load balancing</w:t>
            </w:r>
            <w:r>
              <w:t>, allowing the solution to handle larger ticket volumes and more complex service-desk environments.</w:t>
            </w:r>
          </w:p>
        </w:tc>
      </w:tr>
    </w:tbl>
    <w:p w14:paraId="0BFB60F1"/>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A62ACD"/>
    <w:multiLevelType w:val="multilevel"/>
    <w:tmpl w:val="2FA62ACD"/>
    <w:lvl w:ilvl="0" w:tentative="0">
      <w:start w:val="1"/>
      <w:numFmt w:val="decimal"/>
      <w:lvlText w:val="%1."/>
      <w:lvlJc w:val="left"/>
      <w:pPr>
        <w:ind w:left="644" w:hanging="359"/>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4E29"/>
    <w:rsid w:val="001F717E"/>
    <w:rsid w:val="0028532C"/>
    <w:rsid w:val="00350B1D"/>
    <w:rsid w:val="0042586A"/>
    <w:rsid w:val="00604E29"/>
    <w:rsid w:val="00C1438C"/>
    <w:rsid w:val="00C27B72"/>
    <w:rsid w:val="00D90E76"/>
    <w:rsid w:val="502C65BA"/>
    <w:rsid w:val="591F1D4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rPr>
  </w:style>
  <w:style w:type="character" w:styleId="11">
    <w:name w:val="Strong"/>
    <w:basedOn w:val="8"/>
    <w:qFormat/>
    <w:uiPriority w:val="22"/>
    <w:rPr>
      <w:b/>
      <w:bCs/>
    </w:rPr>
  </w:style>
  <w:style w:type="paragraph" w:styleId="12">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3">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4">
    <w:name w:val="Title"/>
    <w:basedOn w:val="1"/>
    <w:next w:val="1"/>
    <w:qFormat/>
    <w:uiPriority w:val="10"/>
    <w:pPr>
      <w:keepNext/>
      <w:keepLines/>
      <w:spacing w:before="480" w:after="120"/>
    </w:pPr>
    <w:rPr>
      <w:b/>
      <w:sz w:val="72"/>
      <w:szCs w:val="72"/>
    </w:rPr>
  </w:style>
  <w:style w:type="character" w:customStyle="1" w:styleId="15">
    <w:name w:val="Unresolved Mention"/>
    <w:basedOn w:val="8"/>
    <w:semiHidden/>
    <w:unhideWhenUsed/>
    <w:qFormat/>
    <w:uiPriority w:val="99"/>
    <w:rPr>
      <w:color w:val="605E5C"/>
      <w:shd w:val="clear" w:color="auto" w:fill="E1DFDD"/>
    </w:rPr>
  </w:style>
  <w:style w:type="paragraph" w:styleId="16">
    <w:name w:val="List Paragraph"/>
    <w:basedOn w:val="1"/>
    <w:qFormat/>
    <w:uiPriority w:val="34"/>
    <w:pPr>
      <w:ind w:left="720"/>
      <w:contextualSpacing/>
    </w:pPr>
  </w:style>
  <w:style w:type="table" w:customStyle="1" w:styleId="17">
    <w:name w:val="_Style 15"/>
    <w:basedOn w:val="9"/>
    <w:qFormat/>
    <w:uiPriority w:val="0"/>
    <w:pPr>
      <w:spacing w:after="0" w:line="240" w:lineRule="auto"/>
    </w:pPr>
    <w:tblPr>
      <w:tblCellMar>
        <w:top w:w="0" w:type="dxa"/>
        <w:left w:w="108" w:type="dxa"/>
        <w:bottom w:w="0" w:type="dxa"/>
        <w:right w:w="108" w:type="dxa"/>
      </w:tblCellMar>
    </w:tblPr>
  </w:style>
  <w:style w:type="table" w:customStyle="1" w:styleId="18">
    <w:name w:val="_Style 16"/>
    <w:basedOn w:val="9"/>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302</Words>
  <Characters>2009</Characters>
  <Lines>16</Lines>
  <Paragraphs>4</Paragraphs>
  <TotalTime>0</TotalTime>
  <ScaleCrop>false</ScaleCrop>
  <LinksUpToDate>false</LinksUpToDate>
  <CharactersWithSpaces>2279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2026-10-03T16:43:00Z</dcterms:created>
  <dc:creator>Amarender Katkam</dc:creator>
  <cp:lastModifiedBy>Priya dharshini</cp:lastModifiedBy>
  <dcterms:modified xsi:type="dcterms:W3CDTF">2026-10-03T18:23:32Z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eyJoZGlkIjoiODkzYjA3MzJiYTRhZWY0YjljYTkzNzY0YjhmM2MyMjkiLCJ1c2VySWQiOiI1Njc2Njc3OTgxMDAifQ==</vt:lpwstr>
  </property>
  <property fmtid="{D5CDD505-2E9C-101B-9397-08002B2CF9AE}" pid="3" name="KSOProductBuildVer">
    <vt:lpwstr>1033-12.1.0.28485</vt:lpwstr>
  </property>
  <property fmtid="{D5CDD505-2E9C-101B-9397-08002B2CF9AE}" pid="4" name="ICV">
    <vt:lpwstr>D41D415DD58E4BE28BB4C182FDA4D50A_13</vt:lpwstr>
  </property>
</Properties>
</file>