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HOSPITAL SAFETY CHECKER</w:t>
      </w:r>
    </w:p>
    <w:p>
      <w:pPr>
        <w:jc w:val="center"/>
      </w:pPr>
      <w:r>
        <w:rPr>
          <w:b/>
          <w:sz w:val="28"/>
        </w:rPr>
        <w:t>Patient Medical Report</w:t>
      </w:r>
    </w:p>
    <w:p/>
    <w:p>
      <w:pPr>
        <w:pStyle w:val="Heading1"/>
      </w:pPr>
      <w:r>
        <w:t>Patient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Patient Name:</w:t>
            </w:r>
          </w:p>
        </w:tc>
        <w:tc>
          <w:tcPr>
            <w:tcW w:type="dxa" w:w="4320"/>
          </w:tcPr>
          <w:p>
            <w:r>
              <w:t>umar</w:t>
            </w:r>
          </w:p>
        </w:tc>
      </w:tr>
      <w:tr>
        <w:tc>
          <w:tcPr>
            <w:tcW w:type="dxa" w:w="4320"/>
          </w:tcPr>
          <w:p>
            <w:r>
              <w:rPr>
                <w:b/>
              </w:rPr>
              <w:t>Age:</w:t>
            </w:r>
          </w:p>
        </w:tc>
        <w:tc>
          <w:tcPr>
            <w:tcW w:type="dxa" w:w="4320"/>
          </w:tcPr>
          <w:p>
            <w:r/>
          </w:p>
        </w:tc>
      </w:tr>
      <w:tr>
        <w:tc>
          <w:tcPr>
            <w:tcW w:type="dxa" w:w="4320"/>
          </w:tcPr>
          <w:p>
            <w:r>
              <w:rPr>
                <w:b/>
              </w:rPr>
              <w:t>Gender:</w:t>
            </w:r>
          </w:p>
        </w:tc>
        <w:tc>
          <w:tcPr>
            <w:tcW w:type="dxa" w:w="4320"/>
          </w:tcPr>
          <w:p>
            <w:r/>
          </w:p>
        </w:tc>
      </w:tr>
      <w:tr>
        <w:tc>
          <w:tcPr>
            <w:tcW w:type="dxa" w:w="4320"/>
          </w:tcPr>
          <w:p>
            <w:r>
              <w:rPr>
                <w:b/>
              </w:rPr>
              <w:t>Registration Date:</w:t>
            </w:r>
          </w:p>
        </w:tc>
        <w:tc>
          <w:tcPr>
            <w:tcW w:type="dxa" w:w="4320"/>
          </w:tcPr>
          <w:p>
            <w:r>
              <w:t>February 07, 2026 at 05:21 AM</w:t>
            </w:r>
          </w:p>
        </w:tc>
      </w:tr>
      <w:tr>
        <w:tc>
          <w:tcPr>
            <w:tcW w:type="dxa" w:w="4320"/>
          </w:tcPr>
          <w:p>
            <w:r>
              <w:rPr>
                <w:b/>
              </w:rPr>
              <w:t>Report Completion Date:</w:t>
            </w:r>
          </w:p>
        </w:tc>
        <w:tc>
          <w:tcPr>
            <w:tcW w:type="dxa" w:w="4320"/>
          </w:tcPr>
          <w:p>
            <w:r>
              <w:t>February 07, 2026 at 05:21 AM</w:t>
            </w:r>
          </w:p>
        </w:tc>
      </w:tr>
    </w:tbl>
    <w:p/>
    <w:p>
      <w:pPr>
        <w:pStyle w:val="Heading1"/>
      </w:pPr>
      <w:r>
        <w:t>Medical Information</w:t>
      </w:r>
    </w:p>
    <w:p>
      <w:pPr>
        <w:pStyle w:val="Heading2"/>
      </w:pPr>
      <w:r>
        <w:t>Symptoms:</w:t>
      </w:r>
    </w:p>
    <w:p>
      <w:pPr/>
      <w:r>
        <w:t>Patient reports recurrent headaches for the past 3 months, associated with dizziness and occasional nausea. Complaints include intermittent numbness and tingling in the right arm, episodes of blurred vision, and difficulty concentrating. No history of recent trauma. Sleep disturbances and fatigue are also noted.</w:t>
      </w:r>
    </w:p>
    <w:p>
      <w:pPr>
        <w:pStyle w:val="Heading2"/>
      </w:pPr>
      <w:r>
        <w:t>Diagnosis:</w:t>
      </w:r>
    </w:p>
    <w:p>
      <w:pPr/>
      <w:r>
        <w:t>Based on clinical evaluation and neurological examination, the findings are suggestive of Migraine with Aura. Differential diagnosis includes early peripheral neuropathy. Further investigations recommended to rule out secondary causes.</w:t>
      </w:r>
    </w:p>
    <w:p>
      <w:pPr>
        <w:pStyle w:val="Heading2"/>
      </w:pPr>
      <w:r>
        <w:t>Treatment Plan:</w:t>
      </w:r>
    </w:p>
    <w:p>
      <w:pPr/>
      <w:r>
        <w:t>1. Initiate prophylactic migraine therapy.</w:t>
        <w:br/>
        <w:br/>
        <w:t>2. Prescribe acute pain relief medication for severe headache episodes.</w:t>
        <w:br/>
        <w:br/>
        <w:t>3. Recommend lifestyle modifications including regular sleep cycle, stress management, and reduced screen exposure.</w:t>
        <w:br/>
        <w:br/>
        <w:t>4. Advise neurological investigations including MRI Brain and Nerve Conduction Study if symptoms persist.</w:t>
        <w:br/>
        <w:br/>
        <w:t>5. Schedule follow-up after 4 weeks.</w:t>
      </w:r>
    </w:p>
    <w:p>
      <w:pPr>
        <w:pStyle w:val="Heading2"/>
      </w:pPr>
      <w:r>
        <w:t>Medications:</w:t>
      </w:r>
    </w:p>
    <w:p>
      <w:pPr/>
      <w:r>
        <w:t>Tablet Propranolol 40 mg – once daily</w:t>
        <w:br/>
        <w:br/>
        <w:t>Tablet Sumatriptan 50 mg – as needed during migraine attack</w:t>
        <w:br/>
        <w:br/>
        <w:t>Tablet Vitamin B-Complex – once daily</w:t>
        <w:br/>
        <w:br/>
        <w:t>Tablet Paracetamol – as required for pain</w:t>
      </w:r>
    </w:p>
    <w:p>
      <w:pPr>
        <w:pStyle w:val="Heading2"/>
      </w:pPr>
      <w:r>
        <w:t>Additional Notes:</w:t>
      </w:r>
    </w:p>
    <w:p>
      <w:pPr/>
      <w:r>
        <w:t>Patient advised to maintain a headache diary and avoid known triggers such as lack of sleep, dehydration, and excessive caffeine. Immediate medical attention advised if symptoms worsen or new neurological deficits appear.</w:t>
      </w:r>
    </w:p>
    <w:p/>
    <w:p/>
    <w:p>
      <w:pPr>
        <w:pStyle w:val="Heading1"/>
      </w:pPr>
      <w:r>
        <w:t>Attending Physician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Doctor Name:</w:t>
            </w:r>
          </w:p>
        </w:tc>
        <w:tc>
          <w:tcPr>
            <w:tcW w:type="dxa" w:w="4320"/>
          </w:tcPr>
          <w:p>
            <w:r>
              <w:t>Dr. test</w:t>
            </w:r>
          </w:p>
        </w:tc>
      </w:tr>
      <w:tr>
        <w:tc>
          <w:tcPr>
            <w:tcW w:type="dxa" w:w="4320"/>
          </w:tcPr>
          <w:p>
            <w:r>
              <w:rPr>
                <w:b/>
              </w:rPr>
              <w:t>Date:</w:t>
            </w:r>
          </w:p>
        </w:tc>
        <w:tc>
          <w:tcPr>
            <w:tcW w:type="dxa" w:w="4320"/>
          </w:tcPr>
          <w:p>
            <w:r>
              <w:t>February 07, 2026</w:t>
            </w:r>
          </w:p>
        </w:tc>
      </w:tr>
    </w:tbl>
    <w:p/>
    <w:p>
      <w:pPr>
        <w:jc w:val="center"/>
      </w:pPr>
      <w:r>
        <w:t>________________________________________________________________________________</w:t>
      </w:r>
    </w:p>
    <w:p>
      <w:pPr>
        <w:jc w:val="center"/>
      </w:pPr>
      <w:r>
        <w:rPr>
          <w:i/>
          <w:sz w:val="16"/>
        </w:rPr>
        <w:t>This is an official medical report from Hospital Safety Checker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