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EA6396" w14:textId="77777777" w:rsidR="00F4260C" w:rsidRDefault="00F4260C" w:rsidP="00F4260C">
      <w:pPr>
        <w:jc w:val="center"/>
        <w:rPr>
          <w:rFonts w:ascii="Calibri" w:hAnsi="Calibri"/>
          <w:b/>
          <w:color w:val="1D3557"/>
          <w:sz w:val="48"/>
        </w:rPr>
      </w:pPr>
    </w:p>
    <w:p w14:paraId="17675F8C" w14:textId="77777777" w:rsidR="00F4260C" w:rsidRDefault="00F4260C" w:rsidP="00F4260C">
      <w:pPr>
        <w:jc w:val="center"/>
        <w:rPr>
          <w:rFonts w:ascii="Calibri" w:hAnsi="Calibri"/>
          <w:b/>
          <w:color w:val="1D3557"/>
          <w:sz w:val="48"/>
        </w:rPr>
      </w:pPr>
    </w:p>
    <w:p w14:paraId="0C72F402" w14:textId="77777777" w:rsidR="00F4260C" w:rsidRDefault="00F4260C" w:rsidP="00F4260C">
      <w:pPr>
        <w:jc w:val="center"/>
        <w:rPr>
          <w:rFonts w:ascii="Calibri" w:hAnsi="Calibri"/>
          <w:b/>
          <w:color w:val="1D3557"/>
          <w:sz w:val="48"/>
        </w:rPr>
      </w:pPr>
    </w:p>
    <w:p w14:paraId="06150655" w14:textId="73C94BEF" w:rsidR="00F4260C" w:rsidRDefault="00F4260C" w:rsidP="00F4260C">
      <w:pPr>
        <w:jc w:val="center"/>
      </w:pPr>
      <w:r>
        <w:rPr>
          <w:rFonts w:ascii="Calibri" w:hAnsi="Calibri"/>
          <w:b/>
          <w:color w:val="1D3557"/>
          <w:sz w:val="48"/>
        </w:rPr>
        <w:t>LUNG CANCER CLINICAL ANALYTICS &amp;</w:t>
      </w:r>
      <w:r>
        <w:rPr>
          <w:rFonts w:ascii="Calibri" w:hAnsi="Calibri"/>
          <w:b/>
          <w:color w:val="1D3557"/>
          <w:sz w:val="48"/>
        </w:rPr>
        <w:br/>
        <w:t>PREDICTIVE MACHINE LEARNING</w:t>
      </w:r>
    </w:p>
    <w:p w14:paraId="7DDD1926" w14:textId="6EF0F727" w:rsidR="00F4260C" w:rsidRPr="00F4260C" w:rsidRDefault="00F4260C" w:rsidP="00F4260C">
      <w:pPr>
        <w:jc w:val="center"/>
        <w:rPr>
          <w:rFonts w:ascii="Calibri" w:hAnsi="Calibri"/>
          <w:b/>
          <w:color w:val="1D3557"/>
          <w:sz w:val="48"/>
        </w:rPr>
      </w:pPr>
      <w:r w:rsidRPr="00F4260C">
        <w:rPr>
          <w:rFonts w:ascii="Calibri" w:hAnsi="Calibri"/>
          <w:b/>
          <w:color w:val="1D3557"/>
          <w:sz w:val="48"/>
        </w:rPr>
        <w:t xml:space="preserve">IBM </w:t>
      </w:r>
      <w:proofErr w:type="spellStart"/>
      <w:r w:rsidRPr="00F4260C">
        <w:rPr>
          <w:rFonts w:ascii="Calibri" w:hAnsi="Calibri"/>
          <w:b/>
          <w:color w:val="1D3557"/>
          <w:sz w:val="48"/>
        </w:rPr>
        <w:t>SkillsBuild</w:t>
      </w:r>
      <w:proofErr w:type="spellEnd"/>
      <w:r w:rsidRPr="00F4260C">
        <w:rPr>
          <w:rFonts w:ascii="Calibri" w:hAnsi="Calibri"/>
          <w:b/>
          <w:color w:val="1D3557"/>
          <w:sz w:val="48"/>
        </w:rPr>
        <w:t xml:space="preserve"> Data Analytics with AI Academic Internship Program</w:t>
      </w:r>
    </w:p>
    <w:p w14:paraId="261AC642" w14:textId="77777777" w:rsidR="00F4260C" w:rsidRPr="00F4260C" w:rsidRDefault="00F4260C" w:rsidP="00F4260C">
      <w:pPr>
        <w:jc w:val="center"/>
        <w:rPr>
          <w:rFonts w:ascii="Calibri" w:hAnsi="Calibri"/>
          <w:b/>
          <w:color w:val="1D3557"/>
          <w:sz w:val="48"/>
        </w:rPr>
      </w:pPr>
      <w:proofErr w:type="spellStart"/>
      <w:r w:rsidRPr="00F4260C">
        <w:rPr>
          <w:rFonts w:ascii="Calibri" w:hAnsi="Calibri"/>
          <w:b/>
          <w:color w:val="1D3557"/>
          <w:sz w:val="48"/>
        </w:rPr>
        <w:t>BharatCares</w:t>
      </w:r>
      <w:proofErr w:type="spellEnd"/>
      <w:r w:rsidRPr="00F4260C">
        <w:rPr>
          <w:rFonts w:ascii="Calibri" w:hAnsi="Calibri"/>
          <w:b/>
          <w:color w:val="1D3557"/>
          <w:sz w:val="48"/>
        </w:rPr>
        <w:t xml:space="preserve"> in association with AICTE</w:t>
      </w:r>
    </w:p>
    <w:p w14:paraId="6C34AAC4" w14:textId="77777777" w:rsidR="00F4260C" w:rsidRPr="00F4260C" w:rsidRDefault="00F4260C" w:rsidP="00F4260C">
      <w:pPr>
        <w:jc w:val="center"/>
        <w:rPr>
          <w:rFonts w:ascii="Calibri" w:hAnsi="Calibri"/>
          <w:b/>
          <w:color w:val="1D3557"/>
          <w:sz w:val="48"/>
        </w:rPr>
      </w:pPr>
    </w:p>
    <w:p w14:paraId="3B880469" w14:textId="77777777" w:rsidR="00F4260C" w:rsidRPr="00F4260C" w:rsidRDefault="00F4260C" w:rsidP="00F4260C">
      <w:pPr>
        <w:jc w:val="center"/>
        <w:rPr>
          <w:rFonts w:ascii="Calibri" w:hAnsi="Calibri"/>
          <w:b/>
          <w:color w:val="1D3557"/>
          <w:sz w:val="48"/>
        </w:rPr>
      </w:pPr>
      <w:r w:rsidRPr="00F4260C">
        <w:rPr>
          <w:rFonts w:ascii="Calibri" w:hAnsi="Calibri"/>
          <w:b/>
          <w:color w:val="1D3557"/>
          <w:sz w:val="48"/>
        </w:rPr>
        <w:t>Project Report</w:t>
      </w:r>
    </w:p>
    <w:p w14:paraId="6C1DF680" w14:textId="77777777" w:rsidR="00F4260C" w:rsidRPr="00F4260C" w:rsidRDefault="00F4260C" w:rsidP="00F4260C">
      <w:pPr>
        <w:jc w:val="center"/>
        <w:rPr>
          <w:rFonts w:ascii="Calibri" w:hAnsi="Calibri"/>
          <w:b/>
          <w:color w:val="1D3557"/>
          <w:sz w:val="48"/>
        </w:rPr>
      </w:pPr>
    </w:p>
    <w:p w14:paraId="54867BD8" w14:textId="6C46C430" w:rsidR="00F4260C" w:rsidRPr="00F4260C" w:rsidRDefault="00F4260C" w:rsidP="00F4260C">
      <w:pPr>
        <w:jc w:val="center"/>
        <w:rPr>
          <w:rFonts w:ascii="Calibri" w:hAnsi="Calibri"/>
          <w:b/>
          <w:color w:val="1D3557"/>
          <w:sz w:val="48"/>
        </w:rPr>
      </w:pPr>
      <w:r w:rsidRPr="00F4260C">
        <w:rPr>
          <w:rFonts w:ascii="Calibri" w:hAnsi="Calibri"/>
          <w:b/>
          <w:color w:val="1D3557"/>
          <w:sz w:val="48"/>
        </w:rPr>
        <w:t xml:space="preserve">Prepared </w:t>
      </w:r>
      <w:proofErr w:type="gramStart"/>
      <w:r w:rsidRPr="00F4260C">
        <w:rPr>
          <w:rFonts w:ascii="Calibri" w:hAnsi="Calibri"/>
          <w:b/>
          <w:color w:val="1D3557"/>
          <w:sz w:val="48"/>
        </w:rPr>
        <w:t>by</w:t>
      </w:r>
      <w:r>
        <w:rPr>
          <w:rFonts w:ascii="Calibri" w:hAnsi="Calibri"/>
          <w:b/>
          <w:color w:val="1D3557"/>
          <w:sz w:val="48"/>
        </w:rPr>
        <w:t xml:space="preserve"> :</w:t>
      </w:r>
      <w:proofErr w:type="gramEnd"/>
      <w:r>
        <w:rPr>
          <w:rFonts w:ascii="Calibri" w:hAnsi="Calibri"/>
          <w:b/>
          <w:color w:val="1D3557"/>
          <w:sz w:val="48"/>
        </w:rPr>
        <w:t xml:space="preserve">- Priya Yadav </w:t>
      </w:r>
      <w:r w:rsidRPr="00F4260C">
        <w:rPr>
          <w:rFonts w:ascii="Calibri" w:hAnsi="Calibri"/>
          <w:b/>
          <w:color w:val="1D3557"/>
          <w:sz w:val="48"/>
        </w:rPr>
        <w:br/>
        <w:t>MBA – Business Analytics</w:t>
      </w:r>
    </w:p>
    <w:p w14:paraId="4649E450" w14:textId="77777777" w:rsidR="00F4260C" w:rsidRPr="00F4260C" w:rsidRDefault="00F4260C" w:rsidP="00F4260C">
      <w:pPr>
        <w:jc w:val="center"/>
        <w:rPr>
          <w:rFonts w:ascii="Calibri" w:hAnsi="Calibri"/>
          <w:b/>
          <w:color w:val="1D3557"/>
          <w:sz w:val="48"/>
        </w:rPr>
      </w:pPr>
      <w:r w:rsidRPr="00F4260C">
        <w:rPr>
          <w:rFonts w:ascii="Calibri" w:hAnsi="Calibri"/>
          <w:b/>
          <w:color w:val="1D3557"/>
          <w:sz w:val="48"/>
        </w:rPr>
        <w:br w:type="page"/>
      </w:r>
    </w:p>
    <w:p w14:paraId="3532A3F9" w14:textId="77777777" w:rsidR="00F13390" w:rsidRDefault="00000000">
      <w:pPr>
        <w:jc w:val="center"/>
      </w:pPr>
      <w:r>
        <w:rPr>
          <w:rFonts w:ascii="Calibri" w:hAnsi="Calibri"/>
          <w:b/>
          <w:color w:val="1D3557"/>
          <w:sz w:val="48"/>
        </w:rPr>
        <w:lastRenderedPageBreak/>
        <w:t>LUNG CANCER CLINICAL ANALYTICS &amp;</w:t>
      </w:r>
      <w:r>
        <w:rPr>
          <w:rFonts w:ascii="Calibri" w:hAnsi="Calibri"/>
          <w:b/>
          <w:color w:val="1D3557"/>
          <w:sz w:val="48"/>
        </w:rPr>
        <w:br/>
        <w:t>PREDICTIVE MACHINE LEARNING</w:t>
      </w:r>
    </w:p>
    <w:p w14:paraId="72C96A96" w14:textId="77777777" w:rsidR="00F13390" w:rsidRDefault="00000000">
      <w:pPr>
        <w:spacing w:after="400"/>
        <w:jc w:val="center"/>
      </w:pPr>
      <w:r>
        <w:rPr>
          <w:rFonts w:ascii="Calibri" w:hAnsi="Calibri"/>
          <w:color w:val="457B9D"/>
          <w:sz w:val="26"/>
        </w:rPr>
        <w:t>A Comprehensive Production-Grade Implementation of the 4-Tier Analytics Ladder</w:t>
      </w:r>
      <w:r>
        <w:rPr>
          <w:rFonts w:ascii="Calibri" w:hAnsi="Calibri"/>
          <w:color w:val="457B9D"/>
          <w:sz w:val="26"/>
        </w:rPr>
        <w:br/>
        <w:t>(Descriptive • Diagnostic • Predictive • Prescriptive)</w:t>
      </w:r>
    </w:p>
    <w:tbl>
      <w:tblPr>
        <w:tblW w:w="0" w:type="auto"/>
        <w:jc w:val="center"/>
        <w:tblLook w:val="04A0" w:firstRow="1" w:lastRow="0" w:firstColumn="1" w:lastColumn="0" w:noHBand="0" w:noVBand="1"/>
      </w:tblPr>
      <w:tblGrid>
        <w:gridCol w:w="3168"/>
        <w:gridCol w:w="6480"/>
      </w:tblGrid>
      <w:tr w:rsidR="00F13390" w14:paraId="42C01AF8" w14:textId="77777777">
        <w:trPr>
          <w:jc w:val="center"/>
        </w:trPr>
        <w:tc>
          <w:tcPr>
            <w:tcW w:w="3168" w:type="dxa"/>
            <w:shd w:val="clear" w:color="auto" w:fill="EBF2F7"/>
            <w:tcMar>
              <w:top w:w="100" w:type="dxa"/>
              <w:left w:w="140" w:type="dxa"/>
              <w:bottom w:w="100" w:type="dxa"/>
              <w:right w:w="140" w:type="dxa"/>
            </w:tcMar>
          </w:tcPr>
          <w:p w14:paraId="340AE23F" w14:textId="77777777" w:rsidR="00F13390" w:rsidRDefault="00000000">
            <w:r>
              <w:rPr>
                <w:b/>
                <w:color w:val="1D3557"/>
                <w:sz w:val="20"/>
              </w:rPr>
              <w:t>Domain Specialization:</w:t>
            </w:r>
          </w:p>
        </w:tc>
        <w:tc>
          <w:tcPr>
            <w:tcW w:w="6480" w:type="dxa"/>
            <w:shd w:val="clear" w:color="auto" w:fill="F8F9FA"/>
            <w:tcMar>
              <w:top w:w="100" w:type="dxa"/>
              <w:left w:w="140" w:type="dxa"/>
              <w:bottom w:w="100" w:type="dxa"/>
              <w:right w:w="140" w:type="dxa"/>
            </w:tcMar>
          </w:tcPr>
          <w:p w14:paraId="20965824" w14:textId="77777777" w:rsidR="00F13390" w:rsidRDefault="00000000">
            <w:r>
              <w:rPr>
                <w:color w:val="2B2D42"/>
                <w:sz w:val="20"/>
              </w:rPr>
              <w:t>Healthcare &amp; Clinical Oncology Analytics</w:t>
            </w:r>
          </w:p>
        </w:tc>
      </w:tr>
      <w:tr w:rsidR="00F13390" w14:paraId="48560A8F" w14:textId="77777777">
        <w:trPr>
          <w:jc w:val="center"/>
        </w:trPr>
        <w:tc>
          <w:tcPr>
            <w:tcW w:w="3168" w:type="dxa"/>
            <w:shd w:val="clear" w:color="auto" w:fill="EBF2F7"/>
            <w:tcMar>
              <w:top w:w="100" w:type="dxa"/>
              <w:left w:w="140" w:type="dxa"/>
              <w:bottom w:w="100" w:type="dxa"/>
              <w:right w:w="140" w:type="dxa"/>
            </w:tcMar>
          </w:tcPr>
          <w:p w14:paraId="5ED77748" w14:textId="77777777" w:rsidR="00F13390" w:rsidRDefault="00000000">
            <w:r>
              <w:rPr>
                <w:b/>
                <w:color w:val="1D3557"/>
                <w:sz w:val="20"/>
              </w:rPr>
              <w:t>Project Author / Role:</w:t>
            </w:r>
          </w:p>
        </w:tc>
        <w:tc>
          <w:tcPr>
            <w:tcW w:w="6480" w:type="dxa"/>
            <w:shd w:val="clear" w:color="auto" w:fill="F8F9FA"/>
            <w:tcMar>
              <w:top w:w="100" w:type="dxa"/>
              <w:left w:w="140" w:type="dxa"/>
              <w:bottom w:w="100" w:type="dxa"/>
              <w:right w:w="140" w:type="dxa"/>
            </w:tcMar>
          </w:tcPr>
          <w:p w14:paraId="0B07E12C" w14:textId="77777777" w:rsidR="00F13390" w:rsidRDefault="00000000">
            <w:r>
              <w:rPr>
                <w:color w:val="2B2D42"/>
                <w:sz w:val="20"/>
              </w:rPr>
              <w:t>Principal Data Analyst &amp; Machine Learning Engineer</w:t>
            </w:r>
          </w:p>
        </w:tc>
      </w:tr>
      <w:tr w:rsidR="00F13390" w14:paraId="54125B95" w14:textId="77777777">
        <w:trPr>
          <w:jc w:val="center"/>
        </w:trPr>
        <w:tc>
          <w:tcPr>
            <w:tcW w:w="3168" w:type="dxa"/>
            <w:shd w:val="clear" w:color="auto" w:fill="EBF2F7"/>
            <w:tcMar>
              <w:top w:w="100" w:type="dxa"/>
              <w:left w:w="140" w:type="dxa"/>
              <w:bottom w:w="100" w:type="dxa"/>
              <w:right w:w="140" w:type="dxa"/>
            </w:tcMar>
          </w:tcPr>
          <w:p w14:paraId="27DFE4EB" w14:textId="77777777" w:rsidR="00F13390" w:rsidRDefault="00000000">
            <w:r>
              <w:rPr>
                <w:b/>
                <w:color w:val="1D3557"/>
                <w:sz w:val="20"/>
              </w:rPr>
              <w:t>Methodological Architecture:</w:t>
            </w:r>
          </w:p>
        </w:tc>
        <w:tc>
          <w:tcPr>
            <w:tcW w:w="6480" w:type="dxa"/>
            <w:shd w:val="clear" w:color="auto" w:fill="F8F9FA"/>
            <w:tcMar>
              <w:top w:w="100" w:type="dxa"/>
              <w:left w:w="140" w:type="dxa"/>
              <w:bottom w:w="100" w:type="dxa"/>
              <w:right w:w="140" w:type="dxa"/>
            </w:tcMar>
          </w:tcPr>
          <w:p w14:paraId="535DE476" w14:textId="77777777" w:rsidR="00F13390" w:rsidRDefault="00000000">
            <w:r>
              <w:rPr>
                <w:color w:val="2B2D42"/>
                <w:sz w:val="20"/>
              </w:rPr>
              <w:t>4-Tier Analytics Ladder (Descriptive, Diagnostic, Predictive, Prescriptive)</w:t>
            </w:r>
          </w:p>
        </w:tc>
      </w:tr>
      <w:tr w:rsidR="00F13390" w14:paraId="06ACC019" w14:textId="77777777">
        <w:trPr>
          <w:jc w:val="center"/>
        </w:trPr>
        <w:tc>
          <w:tcPr>
            <w:tcW w:w="3168" w:type="dxa"/>
            <w:shd w:val="clear" w:color="auto" w:fill="EBF2F7"/>
            <w:tcMar>
              <w:top w:w="100" w:type="dxa"/>
              <w:left w:w="140" w:type="dxa"/>
              <w:bottom w:w="100" w:type="dxa"/>
              <w:right w:w="140" w:type="dxa"/>
            </w:tcMar>
          </w:tcPr>
          <w:p w14:paraId="5F503F5D" w14:textId="77777777" w:rsidR="00F13390" w:rsidRDefault="00000000">
            <w:r>
              <w:rPr>
                <w:b/>
                <w:color w:val="1D3557"/>
                <w:sz w:val="20"/>
              </w:rPr>
              <w:t>Analyzed Dataset:</w:t>
            </w:r>
          </w:p>
        </w:tc>
        <w:tc>
          <w:tcPr>
            <w:tcW w:w="6480" w:type="dxa"/>
            <w:shd w:val="clear" w:color="auto" w:fill="F8F9FA"/>
            <w:tcMar>
              <w:top w:w="100" w:type="dxa"/>
              <w:left w:w="140" w:type="dxa"/>
              <w:bottom w:w="100" w:type="dxa"/>
              <w:right w:w="140" w:type="dxa"/>
            </w:tcMar>
          </w:tcPr>
          <w:p w14:paraId="249BC3A1" w14:textId="77777777" w:rsidR="00F13390" w:rsidRDefault="00000000">
            <w:r>
              <w:rPr>
                <w:color w:val="2B2D42"/>
                <w:sz w:val="20"/>
              </w:rPr>
              <w:t>Global Clinical &amp; Risk Factor Dataset (2,000 records, 41 features, 2015–2026)</w:t>
            </w:r>
          </w:p>
        </w:tc>
      </w:tr>
      <w:tr w:rsidR="00F13390" w14:paraId="7CC2E39A" w14:textId="77777777">
        <w:trPr>
          <w:jc w:val="center"/>
        </w:trPr>
        <w:tc>
          <w:tcPr>
            <w:tcW w:w="3168" w:type="dxa"/>
            <w:shd w:val="clear" w:color="auto" w:fill="EBF2F7"/>
            <w:tcMar>
              <w:top w:w="100" w:type="dxa"/>
              <w:left w:w="140" w:type="dxa"/>
              <w:bottom w:w="100" w:type="dxa"/>
              <w:right w:w="140" w:type="dxa"/>
            </w:tcMar>
          </w:tcPr>
          <w:p w14:paraId="2C5232EF" w14:textId="77777777" w:rsidR="00F13390" w:rsidRDefault="00000000">
            <w:r>
              <w:rPr>
                <w:b/>
                <w:color w:val="1D3557"/>
                <w:sz w:val="20"/>
              </w:rPr>
              <w:t>Target Variable:</w:t>
            </w:r>
          </w:p>
        </w:tc>
        <w:tc>
          <w:tcPr>
            <w:tcW w:w="6480" w:type="dxa"/>
            <w:shd w:val="clear" w:color="auto" w:fill="F8F9FA"/>
            <w:tcMar>
              <w:top w:w="100" w:type="dxa"/>
              <w:left w:w="140" w:type="dxa"/>
              <w:bottom w:w="100" w:type="dxa"/>
              <w:right w:w="140" w:type="dxa"/>
            </w:tcMar>
          </w:tcPr>
          <w:p w14:paraId="6878C8F9" w14:textId="77777777" w:rsidR="00F13390" w:rsidRDefault="00000000">
            <w:r>
              <w:rPr>
                <w:color w:val="2B2D42"/>
                <w:sz w:val="20"/>
              </w:rPr>
              <w:t>Patient Survival Status (Survived: Yes = 1, No = 0)</w:t>
            </w:r>
          </w:p>
        </w:tc>
      </w:tr>
      <w:tr w:rsidR="00F13390" w14:paraId="58C9F5CB" w14:textId="77777777">
        <w:trPr>
          <w:jc w:val="center"/>
        </w:trPr>
        <w:tc>
          <w:tcPr>
            <w:tcW w:w="3168" w:type="dxa"/>
            <w:shd w:val="clear" w:color="auto" w:fill="EBF2F7"/>
            <w:tcMar>
              <w:top w:w="100" w:type="dxa"/>
              <w:left w:w="140" w:type="dxa"/>
              <w:bottom w:w="100" w:type="dxa"/>
              <w:right w:w="140" w:type="dxa"/>
            </w:tcMar>
          </w:tcPr>
          <w:p w14:paraId="5BA28168" w14:textId="77777777" w:rsidR="00F13390" w:rsidRDefault="00000000">
            <w:r>
              <w:rPr>
                <w:b/>
                <w:color w:val="1D3557"/>
                <w:sz w:val="20"/>
              </w:rPr>
              <w:t>Target Leakage Protocol:</w:t>
            </w:r>
          </w:p>
        </w:tc>
        <w:tc>
          <w:tcPr>
            <w:tcW w:w="6480" w:type="dxa"/>
            <w:shd w:val="clear" w:color="auto" w:fill="F8F9FA"/>
            <w:tcMar>
              <w:top w:w="100" w:type="dxa"/>
              <w:left w:w="140" w:type="dxa"/>
              <w:bottom w:w="100" w:type="dxa"/>
              <w:right w:w="140" w:type="dxa"/>
            </w:tcMar>
          </w:tcPr>
          <w:p w14:paraId="044B535E" w14:textId="77777777" w:rsidR="00F13390" w:rsidRDefault="00000000">
            <w:r>
              <w:rPr>
                <w:color w:val="2B2D42"/>
                <w:sz w:val="20"/>
              </w:rPr>
              <w:t>Strict Exclusion of Survival_Months, Patient_ID, and Temporal Tags</w:t>
            </w:r>
          </w:p>
        </w:tc>
      </w:tr>
      <w:tr w:rsidR="00F13390" w14:paraId="0D8D8CB8" w14:textId="77777777">
        <w:trPr>
          <w:jc w:val="center"/>
        </w:trPr>
        <w:tc>
          <w:tcPr>
            <w:tcW w:w="3168" w:type="dxa"/>
            <w:shd w:val="clear" w:color="auto" w:fill="EBF2F7"/>
            <w:tcMar>
              <w:top w:w="100" w:type="dxa"/>
              <w:left w:w="140" w:type="dxa"/>
              <w:bottom w:w="100" w:type="dxa"/>
              <w:right w:w="140" w:type="dxa"/>
            </w:tcMar>
          </w:tcPr>
          <w:p w14:paraId="56E752DF" w14:textId="77777777" w:rsidR="00F13390" w:rsidRDefault="00000000">
            <w:r>
              <w:rPr>
                <w:b/>
                <w:color w:val="1D3557"/>
                <w:sz w:val="20"/>
              </w:rPr>
              <w:t>Clinical Validation Status:</w:t>
            </w:r>
          </w:p>
        </w:tc>
        <w:tc>
          <w:tcPr>
            <w:tcW w:w="6480" w:type="dxa"/>
            <w:shd w:val="clear" w:color="auto" w:fill="F8F9FA"/>
            <w:tcMar>
              <w:top w:w="100" w:type="dxa"/>
              <w:left w:w="140" w:type="dxa"/>
              <w:bottom w:w="100" w:type="dxa"/>
              <w:right w:w="140" w:type="dxa"/>
            </w:tcMar>
          </w:tcPr>
          <w:p w14:paraId="036324F5" w14:textId="77777777" w:rsidR="00F13390" w:rsidRDefault="00000000">
            <w:r>
              <w:rPr>
                <w:b/>
                <w:color w:val="E76F51"/>
                <w:sz w:val="20"/>
              </w:rPr>
              <w:t>Synthetic Research Cohort (For educational &amp; analytical demonstration)</w:t>
            </w:r>
          </w:p>
        </w:tc>
      </w:tr>
    </w:tbl>
    <w:p w14:paraId="0A5C2DCA" w14:textId="77777777" w:rsidR="00F13390" w:rsidRDefault="00F13390">
      <w:pPr>
        <w:spacing w:after="320"/>
      </w:pPr>
    </w:p>
    <w:tbl>
      <w:tblPr>
        <w:tblW w:w="0" w:type="auto"/>
        <w:tblLook w:val="04A0" w:firstRow="1" w:lastRow="0" w:firstColumn="1" w:lastColumn="0" w:noHBand="0" w:noVBand="1"/>
      </w:tblPr>
      <w:tblGrid>
        <w:gridCol w:w="9648"/>
      </w:tblGrid>
      <w:tr w:rsidR="00F13390" w14:paraId="1AC55288" w14:textId="77777777">
        <w:tc>
          <w:tcPr>
            <w:tcW w:w="9648" w:type="dxa"/>
            <w:shd w:val="clear" w:color="auto" w:fill="FFF5F2"/>
            <w:tcMar>
              <w:top w:w="140" w:type="dxa"/>
              <w:left w:w="180" w:type="dxa"/>
              <w:bottom w:w="140" w:type="dxa"/>
              <w:right w:w="180" w:type="dxa"/>
            </w:tcMar>
          </w:tcPr>
          <w:p w14:paraId="0D5541AD" w14:textId="77777777" w:rsidR="00F13390" w:rsidRDefault="00000000">
            <w:r>
              <w:rPr>
                <w:b/>
                <w:color w:val="E76F51"/>
                <w:sz w:val="19"/>
              </w:rPr>
              <w:t xml:space="preserve">ETHICAL &amp; REGULATORY NOTICE: </w:t>
            </w:r>
            <w:r>
              <w:rPr>
                <w:color w:val="555555"/>
                <w:sz w:val="19"/>
              </w:rPr>
              <w:t>This project utilizes a multi-regional synthetic healthcare dataset inspired by WHO GLOBOCAN 2022 oncology statistics for educational, methodology demonstration, and research purposes. The predictive models and operational frameworks developed herein are not clinically validated medical devices and must never be used for real-world patient diagnosis, prognosis, or therapeutic decisions.</w:t>
            </w:r>
          </w:p>
        </w:tc>
      </w:tr>
    </w:tbl>
    <w:p w14:paraId="1EFBE63A" w14:textId="77777777" w:rsidR="00F13390" w:rsidRDefault="00000000">
      <w:r>
        <w:br w:type="page"/>
      </w:r>
    </w:p>
    <w:p w14:paraId="40BC091A" w14:textId="77777777" w:rsidR="00F13390" w:rsidRDefault="00000000">
      <w:pPr>
        <w:keepNext/>
        <w:spacing w:before="280" w:after="80"/>
      </w:pPr>
      <w:r>
        <w:rPr>
          <w:rFonts w:ascii="Calibri" w:hAnsi="Calibri"/>
          <w:b/>
          <w:color w:val="1D3557"/>
          <w:sz w:val="30"/>
        </w:rPr>
        <w:lastRenderedPageBreak/>
        <w:t>1. Executive Summary</w:t>
      </w:r>
    </w:p>
    <w:p w14:paraId="08B5EF9C" w14:textId="77777777" w:rsidR="00F13390" w:rsidRDefault="00000000">
      <w:pPr>
        <w:spacing w:after="120"/>
      </w:pPr>
      <w:r>
        <w:rPr>
          <w:rFonts w:ascii="Calibri" w:hAnsi="Calibri"/>
          <w:color w:val="2B2D42"/>
          <w:sz w:val="20"/>
        </w:rPr>
        <w:t>This project executes an end-to-end clinical analytics and machine learning initiative applied to a structured cohort of 2,000 lung cancer patients spanning 6 WHO regions and 60 countries across 41 clinical, demographic, lifestyle, genetic, and staging features. Through the structured 4-Tier Analytics Ladder, this initiative progresses from baseline data hygiene and descriptive reporting (Tier 1) to diagnostic associative discovery across 5 publication-standard figures (Tier 2), rigorous target leakage-free binary predictive classification (Tier 3), and an operationalized resource-constrained risk prioritization framework (Tier 4).</w:t>
      </w:r>
    </w:p>
    <w:p w14:paraId="46B5D9E3" w14:textId="77777777" w:rsidR="00F13390" w:rsidRDefault="00000000">
      <w:pPr>
        <w:spacing w:after="120"/>
      </w:pPr>
      <w:r>
        <w:rPr>
          <w:rFonts w:ascii="Calibri" w:hAnsi="Calibri"/>
          <w:color w:val="2B2D42"/>
          <w:sz w:val="20"/>
        </w:rPr>
        <w:t>Key empirical outcomes include an observed baseline survival rate of 37.8% (756/2,000), marked stage-stratified survival divergence (Stage I: 69.84% vs. Stage IV: 5.46%), and verifiable target leakage mitigation through the rigorous exclusion of post-diagnostic duration (Survival_Months). Predictive modeling achieved robust generalization on unseen test patients (Logistic Regression: 70.25% accuracy, 0.7562 ROC-AUC, 78.81% recall; Random Forest: 69.50% accuracy, 0.7693 ROC-AUC, 77.48% recall), providing continuous calibrated probabilities to power an operational rule that flags the highest-risk decile (top 10%, N=200) for targeted multidisciplinary team case audit.</w:t>
      </w:r>
    </w:p>
    <w:p w14:paraId="4974A55E" w14:textId="77777777" w:rsidR="00F13390" w:rsidRDefault="00000000">
      <w:pPr>
        <w:keepNext/>
        <w:spacing w:before="280" w:after="80"/>
      </w:pPr>
      <w:r>
        <w:rPr>
          <w:rFonts w:ascii="Calibri" w:hAnsi="Calibri"/>
          <w:b/>
          <w:color w:val="1D3557"/>
          <w:sz w:val="30"/>
        </w:rPr>
        <w:t>2. Problem Statement</w:t>
      </w:r>
    </w:p>
    <w:p w14:paraId="1AF8E111" w14:textId="77777777" w:rsidR="00F13390" w:rsidRDefault="00000000">
      <w:pPr>
        <w:spacing w:after="120"/>
      </w:pPr>
      <w:r>
        <w:rPr>
          <w:rFonts w:ascii="Calibri" w:hAnsi="Calibri"/>
          <w:color w:val="2B2D42"/>
          <w:sz w:val="20"/>
        </w:rPr>
        <w:t>Lung cancer remains the leading cause of global cancer-related mortality (~1.8 million deaths annually). In healthcare informatics, analytics initiatives frequently fail due to two systemic flaws: (1) Target leakage where algorithms ingest post-diagnostic temporal variables (e.g. survival duration), producing artificially inflated offline metrics that fail completely when deployed in live clinical settings; and (2) Disconnect from operational capacity, delivering abstract classification outputs without accounting for clinical resource constraints. This project establishes a leakage-free predictive pipeline constrained to information available at diagnostic confirmation, coupled with a capacity-aware prioritization rule that operationalizes algorithmic risk scores.</w:t>
      </w:r>
    </w:p>
    <w:p w14:paraId="58DEFB74" w14:textId="77777777" w:rsidR="00F13390" w:rsidRDefault="00000000">
      <w:pPr>
        <w:keepNext/>
        <w:spacing w:before="280" w:after="80"/>
      </w:pPr>
      <w:r>
        <w:rPr>
          <w:rFonts w:ascii="Calibri" w:hAnsi="Calibri"/>
          <w:b/>
          <w:color w:val="1D3557"/>
          <w:sz w:val="30"/>
        </w:rPr>
        <w:t>3. Dataset Description</w:t>
      </w:r>
    </w:p>
    <w:p w14:paraId="7D616668" w14:textId="77777777" w:rsidR="00F13390" w:rsidRDefault="00000000">
      <w:pPr>
        <w:spacing w:after="120"/>
      </w:pPr>
      <w:r>
        <w:rPr>
          <w:rFonts w:ascii="Calibri" w:hAnsi="Calibri"/>
          <w:color w:val="2B2D42"/>
          <w:sz w:val="20"/>
        </w:rPr>
        <w:t>The primary dataset (lung_cancer_dataset.csv) contains 2,000 patient records across 41 features covering diagnosis years 2015 to 2026. It incorporates all 6 WHO Regions (Western Pacific: 631, Europe: 404, Americas: 346, South-East Asia: 287, Eastern Mediterranean: 213, Africa: 119) and 60 nations. Features capture demographics (Age 30–89, Gender), lifestyle risks (Smoking Status, Cigarettes/Day, Years Smoking, Secondhand Smoke, Alcohol, Exercise), environmental toxins (Radon, Asbestos, Air Pollution), genetic drivers (EGFR, ALK, KRAS, TP53, ROS1, BRAF, MET, HER2, RET), 10 presenting symptoms, histological classifications (NSCLC Adenocarcinoma, Squamous Cell, Large Cell; SCLC), anatomical staging (Stages I–IV), tumor size (0.5–13.3 cm), distant metastasis, diagnostic modality, primary treatment, and survival outcomes.</w:t>
      </w:r>
    </w:p>
    <w:p w14:paraId="1CA298BF" w14:textId="77777777" w:rsidR="00F13390" w:rsidRDefault="00000000">
      <w:pPr>
        <w:keepNext/>
        <w:spacing w:before="280" w:after="80"/>
      </w:pPr>
      <w:r>
        <w:rPr>
          <w:rFonts w:ascii="Calibri" w:hAnsi="Calibri"/>
          <w:b/>
          <w:color w:val="1D3557"/>
          <w:sz w:val="30"/>
        </w:rPr>
        <w:t>4. Data Dictionary</w:t>
      </w:r>
    </w:p>
    <w:tbl>
      <w:tblPr>
        <w:tblW w:w="0" w:type="auto"/>
        <w:jc w:val="center"/>
        <w:tblLook w:val="04A0" w:firstRow="1" w:lastRow="0" w:firstColumn="1" w:lastColumn="0" w:noHBand="0" w:noVBand="1"/>
      </w:tblPr>
      <w:tblGrid>
        <w:gridCol w:w="2484"/>
        <w:gridCol w:w="2484"/>
        <w:gridCol w:w="2484"/>
        <w:gridCol w:w="2484"/>
      </w:tblGrid>
      <w:tr w:rsidR="00F13390" w14:paraId="5C5878DA" w14:textId="77777777">
        <w:trPr>
          <w:jc w:val="center"/>
        </w:trPr>
        <w:tc>
          <w:tcPr>
            <w:tcW w:w="2484" w:type="dxa"/>
            <w:shd w:val="clear" w:color="auto" w:fill="1D3557"/>
            <w:tcMar>
              <w:top w:w="80" w:type="dxa"/>
              <w:left w:w="100" w:type="dxa"/>
              <w:bottom w:w="80" w:type="dxa"/>
              <w:right w:w="100" w:type="dxa"/>
            </w:tcMar>
          </w:tcPr>
          <w:p w14:paraId="24CA9FB2" w14:textId="77777777" w:rsidR="00F13390" w:rsidRDefault="00000000">
            <w:r>
              <w:rPr>
                <w:b/>
                <w:color w:val="FFFFFF"/>
                <w:sz w:val="18"/>
              </w:rPr>
              <w:t>Category</w:t>
            </w:r>
          </w:p>
        </w:tc>
        <w:tc>
          <w:tcPr>
            <w:tcW w:w="2484" w:type="dxa"/>
            <w:shd w:val="clear" w:color="auto" w:fill="1D3557"/>
            <w:tcMar>
              <w:top w:w="80" w:type="dxa"/>
              <w:left w:w="100" w:type="dxa"/>
              <w:bottom w:w="80" w:type="dxa"/>
              <w:right w:w="100" w:type="dxa"/>
            </w:tcMar>
          </w:tcPr>
          <w:p w14:paraId="0C5D2E02" w14:textId="77777777" w:rsidR="00F13390" w:rsidRDefault="00000000">
            <w:r>
              <w:rPr>
                <w:b/>
                <w:color w:val="FFFFFF"/>
                <w:sz w:val="18"/>
              </w:rPr>
              <w:t>Feature Name</w:t>
            </w:r>
          </w:p>
        </w:tc>
        <w:tc>
          <w:tcPr>
            <w:tcW w:w="2484" w:type="dxa"/>
            <w:shd w:val="clear" w:color="auto" w:fill="1D3557"/>
            <w:tcMar>
              <w:top w:w="80" w:type="dxa"/>
              <w:left w:w="100" w:type="dxa"/>
              <w:bottom w:w="80" w:type="dxa"/>
              <w:right w:w="100" w:type="dxa"/>
            </w:tcMar>
          </w:tcPr>
          <w:p w14:paraId="6DBABAFF" w14:textId="77777777" w:rsidR="00F13390" w:rsidRDefault="00000000">
            <w:r>
              <w:rPr>
                <w:b/>
                <w:color w:val="FFFFFF"/>
                <w:sz w:val="18"/>
              </w:rPr>
              <w:t>Data Type</w:t>
            </w:r>
          </w:p>
        </w:tc>
        <w:tc>
          <w:tcPr>
            <w:tcW w:w="2484" w:type="dxa"/>
            <w:shd w:val="clear" w:color="auto" w:fill="1D3557"/>
            <w:tcMar>
              <w:top w:w="80" w:type="dxa"/>
              <w:left w:w="100" w:type="dxa"/>
              <w:bottom w:w="80" w:type="dxa"/>
              <w:right w:w="100" w:type="dxa"/>
            </w:tcMar>
          </w:tcPr>
          <w:p w14:paraId="2FA4B249" w14:textId="77777777" w:rsidR="00F13390" w:rsidRDefault="00000000">
            <w:r>
              <w:rPr>
                <w:b/>
                <w:color w:val="FFFFFF"/>
                <w:sz w:val="18"/>
              </w:rPr>
              <w:t>Role &amp; Clinical Interpretation</w:t>
            </w:r>
          </w:p>
        </w:tc>
      </w:tr>
      <w:tr w:rsidR="00F13390" w14:paraId="3B32EC90" w14:textId="77777777">
        <w:trPr>
          <w:jc w:val="center"/>
        </w:trPr>
        <w:tc>
          <w:tcPr>
            <w:tcW w:w="2484" w:type="dxa"/>
            <w:shd w:val="clear" w:color="auto" w:fill="F8F9FA"/>
            <w:tcMar>
              <w:top w:w="60" w:type="dxa"/>
              <w:left w:w="90" w:type="dxa"/>
              <w:bottom w:w="60" w:type="dxa"/>
              <w:right w:w="90" w:type="dxa"/>
            </w:tcMar>
          </w:tcPr>
          <w:p w14:paraId="49213755" w14:textId="77777777" w:rsidR="00F13390" w:rsidRDefault="00000000">
            <w:r>
              <w:rPr>
                <w:color w:val="2B2D42"/>
                <w:sz w:val="17"/>
              </w:rPr>
              <w:t>Identifier</w:t>
            </w:r>
          </w:p>
        </w:tc>
        <w:tc>
          <w:tcPr>
            <w:tcW w:w="2484" w:type="dxa"/>
            <w:shd w:val="clear" w:color="auto" w:fill="F8F9FA"/>
            <w:tcMar>
              <w:top w:w="60" w:type="dxa"/>
              <w:left w:w="90" w:type="dxa"/>
              <w:bottom w:w="60" w:type="dxa"/>
              <w:right w:w="90" w:type="dxa"/>
            </w:tcMar>
          </w:tcPr>
          <w:p w14:paraId="1A54A68D" w14:textId="77777777" w:rsidR="00F13390" w:rsidRDefault="00000000">
            <w:r>
              <w:rPr>
                <w:color w:val="2B2D42"/>
                <w:sz w:val="17"/>
              </w:rPr>
              <w:t>Patient_ID</w:t>
            </w:r>
          </w:p>
        </w:tc>
        <w:tc>
          <w:tcPr>
            <w:tcW w:w="2484" w:type="dxa"/>
            <w:shd w:val="clear" w:color="auto" w:fill="F8F9FA"/>
            <w:tcMar>
              <w:top w:w="60" w:type="dxa"/>
              <w:left w:w="90" w:type="dxa"/>
              <w:bottom w:w="60" w:type="dxa"/>
              <w:right w:w="90" w:type="dxa"/>
            </w:tcMar>
          </w:tcPr>
          <w:p w14:paraId="3C862D90" w14:textId="77777777" w:rsidR="00F13390" w:rsidRDefault="00000000">
            <w:r>
              <w:rPr>
                <w:color w:val="2B2D42"/>
                <w:sz w:val="17"/>
              </w:rPr>
              <w:t>String</w:t>
            </w:r>
          </w:p>
        </w:tc>
        <w:tc>
          <w:tcPr>
            <w:tcW w:w="2484" w:type="dxa"/>
            <w:shd w:val="clear" w:color="auto" w:fill="F8F9FA"/>
            <w:tcMar>
              <w:top w:w="60" w:type="dxa"/>
              <w:left w:w="90" w:type="dxa"/>
              <w:bottom w:w="60" w:type="dxa"/>
              <w:right w:w="90" w:type="dxa"/>
            </w:tcMar>
          </w:tcPr>
          <w:p w14:paraId="028ECBF3" w14:textId="77777777" w:rsidR="00F13390" w:rsidRDefault="00000000">
            <w:r>
              <w:rPr>
                <w:b/>
                <w:color w:val="E76F51"/>
                <w:sz w:val="17"/>
              </w:rPr>
              <w:t>Unique patient key (LC-XXXX). Strictly EXCLUDED from modeling.</w:t>
            </w:r>
          </w:p>
        </w:tc>
      </w:tr>
      <w:tr w:rsidR="00F13390" w14:paraId="328B6344" w14:textId="77777777">
        <w:trPr>
          <w:jc w:val="center"/>
        </w:trPr>
        <w:tc>
          <w:tcPr>
            <w:tcW w:w="2484" w:type="dxa"/>
            <w:shd w:val="clear" w:color="auto" w:fill="FFFFFF"/>
            <w:tcMar>
              <w:top w:w="60" w:type="dxa"/>
              <w:left w:w="90" w:type="dxa"/>
              <w:bottom w:w="60" w:type="dxa"/>
              <w:right w:w="90" w:type="dxa"/>
            </w:tcMar>
          </w:tcPr>
          <w:p w14:paraId="2BAA2E80" w14:textId="77777777" w:rsidR="00F13390" w:rsidRDefault="00000000">
            <w:r>
              <w:rPr>
                <w:color w:val="2B2D42"/>
                <w:sz w:val="17"/>
              </w:rPr>
              <w:t>Temporal</w:t>
            </w:r>
          </w:p>
        </w:tc>
        <w:tc>
          <w:tcPr>
            <w:tcW w:w="2484" w:type="dxa"/>
            <w:shd w:val="clear" w:color="auto" w:fill="FFFFFF"/>
            <w:tcMar>
              <w:top w:w="60" w:type="dxa"/>
              <w:left w:w="90" w:type="dxa"/>
              <w:bottom w:w="60" w:type="dxa"/>
              <w:right w:w="90" w:type="dxa"/>
            </w:tcMar>
          </w:tcPr>
          <w:p w14:paraId="3AC6BB58" w14:textId="77777777" w:rsidR="00F13390" w:rsidRDefault="00000000">
            <w:r>
              <w:rPr>
                <w:color w:val="2B2D42"/>
                <w:sz w:val="17"/>
              </w:rPr>
              <w:t>Diagnosis_Date / Year</w:t>
            </w:r>
          </w:p>
        </w:tc>
        <w:tc>
          <w:tcPr>
            <w:tcW w:w="2484" w:type="dxa"/>
            <w:shd w:val="clear" w:color="auto" w:fill="FFFFFF"/>
            <w:tcMar>
              <w:top w:w="60" w:type="dxa"/>
              <w:left w:w="90" w:type="dxa"/>
              <w:bottom w:w="60" w:type="dxa"/>
              <w:right w:w="90" w:type="dxa"/>
            </w:tcMar>
          </w:tcPr>
          <w:p w14:paraId="750DE673" w14:textId="77777777" w:rsidR="00F13390" w:rsidRDefault="00000000">
            <w:r>
              <w:rPr>
                <w:color w:val="2B2D42"/>
                <w:sz w:val="17"/>
              </w:rPr>
              <w:t>Date / Int</w:t>
            </w:r>
          </w:p>
        </w:tc>
        <w:tc>
          <w:tcPr>
            <w:tcW w:w="2484" w:type="dxa"/>
            <w:shd w:val="clear" w:color="auto" w:fill="FFFFFF"/>
            <w:tcMar>
              <w:top w:w="60" w:type="dxa"/>
              <w:left w:w="90" w:type="dxa"/>
              <w:bottom w:w="60" w:type="dxa"/>
              <w:right w:w="90" w:type="dxa"/>
            </w:tcMar>
          </w:tcPr>
          <w:p w14:paraId="314EAE8F" w14:textId="77777777" w:rsidR="00F13390" w:rsidRDefault="00000000">
            <w:r>
              <w:rPr>
                <w:color w:val="2B2D42"/>
                <w:sz w:val="17"/>
              </w:rPr>
              <w:t>Diagnostic timestamp (2015–2026). Excluded to prevent temporal bias.</w:t>
            </w:r>
          </w:p>
        </w:tc>
      </w:tr>
      <w:tr w:rsidR="00F13390" w14:paraId="44C33C22" w14:textId="77777777">
        <w:trPr>
          <w:jc w:val="center"/>
        </w:trPr>
        <w:tc>
          <w:tcPr>
            <w:tcW w:w="2484" w:type="dxa"/>
            <w:shd w:val="clear" w:color="auto" w:fill="F8F9FA"/>
            <w:tcMar>
              <w:top w:w="60" w:type="dxa"/>
              <w:left w:w="90" w:type="dxa"/>
              <w:bottom w:w="60" w:type="dxa"/>
              <w:right w:w="90" w:type="dxa"/>
            </w:tcMar>
          </w:tcPr>
          <w:p w14:paraId="286BEDD6" w14:textId="77777777" w:rsidR="00F13390" w:rsidRDefault="00000000">
            <w:r>
              <w:rPr>
                <w:color w:val="2B2D42"/>
                <w:sz w:val="17"/>
              </w:rPr>
              <w:lastRenderedPageBreak/>
              <w:t>Demographic</w:t>
            </w:r>
          </w:p>
        </w:tc>
        <w:tc>
          <w:tcPr>
            <w:tcW w:w="2484" w:type="dxa"/>
            <w:shd w:val="clear" w:color="auto" w:fill="F8F9FA"/>
            <w:tcMar>
              <w:top w:w="60" w:type="dxa"/>
              <w:left w:w="90" w:type="dxa"/>
              <w:bottom w:w="60" w:type="dxa"/>
              <w:right w:w="90" w:type="dxa"/>
            </w:tcMar>
          </w:tcPr>
          <w:p w14:paraId="4F90052E" w14:textId="77777777" w:rsidR="00F13390" w:rsidRDefault="00000000">
            <w:r>
              <w:rPr>
                <w:color w:val="2B2D42"/>
                <w:sz w:val="17"/>
              </w:rPr>
              <w:t>Age, Gender</w:t>
            </w:r>
          </w:p>
        </w:tc>
        <w:tc>
          <w:tcPr>
            <w:tcW w:w="2484" w:type="dxa"/>
            <w:shd w:val="clear" w:color="auto" w:fill="F8F9FA"/>
            <w:tcMar>
              <w:top w:w="60" w:type="dxa"/>
              <w:left w:w="90" w:type="dxa"/>
              <w:bottom w:w="60" w:type="dxa"/>
              <w:right w:w="90" w:type="dxa"/>
            </w:tcMar>
          </w:tcPr>
          <w:p w14:paraId="632398C4" w14:textId="77777777" w:rsidR="00F13390" w:rsidRDefault="00000000">
            <w:r>
              <w:rPr>
                <w:color w:val="2B2D42"/>
                <w:sz w:val="17"/>
              </w:rPr>
              <w:t>Int / String</w:t>
            </w:r>
          </w:p>
        </w:tc>
        <w:tc>
          <w:tcPr>
            <w:tcW w:w="2484" w:type="dxa"/>
            <w:shd w:val="clear" w:color="auto" w:fill="F8F9FA"/>
            <w:tcMar>
              <w:top w:w="60" w:type="dxa"/>
              <w:left w:w="90" w:type="dxa"/>
              <w:bottom w:w="60" w:type="dxa"/>
              <w:right w:w="90" w:type="dxa"/>
            </w:tcMar>
          </w:tcPr>
          <w:p w14:paraId="67A875FC" w14:textId="77777777" w:rsidR="00F13390" w:rsidRDefault="00000000">
            <w:r>
              <w:rPr>
                <w:color w:val="2B2D42"/>
                <w:sz w:val="17"/>
              </w:rPr>
              <w:t>Patient age (30–89) and biological sex (1,248 Male, 752 Female).</w:t>
            </w:r>
          </w:p>
        </w:tc>
      </w:tr>
      <w:tr w:rsidR="00F13390" w14:paraId="61326C62" w14:textId="77777777">
        <w:trPr>
          <w:jc w:val="center"/>
        </w:trPr>
        <w:tc>
          <w:tcPr>
            <w:tcW w:w="2484" w:type="dxa"/>
            <w:shd w:val="clear" w:color="auto" w:fill="FFFFFF"/>
            <w:tcMar>
              <w:top w:w="60" w:type="dxa"/>
              <w:left w:w="90" w:type="dxa"/>
              <w:bottom w:w="60" w:type="dxa"/>
              <w:right w:w="90" w:type="dxa"/>
            </w:tcMar>
          </w:tcPr>
          <w:p w14:paraId="10E6BA4C" w14:textId="77777777" w:rsidR="00F13390" w:rsidRDefault="00000000">
            <w:r>
              <w:rPr>
                <w:color w:val="2B2D42"/>
                <w:sz w:val="17"/>
              </w:rPr>
              <w:t>Demographic</w:t>
            </w:r>
          </w:p>
        </w:tc>
        <w:tc>
          <w:tcPr>
            <w:tcW w:w="2484" w:type="dxa"/>
            <w:shd w:val="clear" w:color="auto" w:fill="FFFFFF"/>
            <w:tcMar>
              <w:top w:w="60" w:type="dxa"/>
              <w:left w:w="90" w:type="dxa"/>
              <w:bottom w:w="60" w:type="dxa"/>
              <w:right w:w="90" w:type="dxa"/>
            </w:tcMar>
          </w:tcPr>
          <w:p w14:paraId="7E85B632" w14:textId="77777777" w:rsidR="00F13390" w:rsidRDefault="00000000">
            <w:r>
              <w:rPr>
                <w:color w:val="2B2D42"/>
                <w:sz w:val="17"/>
              </w:rPr>
              <w:t>WHO_Region, Country</w:t>
            </w:r>
          </w:p>
        </w:tc>
        <w:tc>
          <w:tcPr>
            <w:tcW w:w="2484" w:type="dxa"/>
            <w:shd w:val="clear" w:color="auto" w:fill="FFFFFF"/>
            <w:tcMar>
              <w:top w:w="60" w:type="dxa"/>
              <w:left w:w="90" w:type="dxa"/>
              <w:bottom w:w="60" w:type="dxa"/>
              <w:right w:w="90" w:type="dxa"/>
            </w:tcMar>
          </w:tcPr>
          <w:p w14:paraId="6AAB8C08" w14:textId="77777777" w:rsidR="00F13390" w:rsidRDefault="00000000">
            <w:r>
              <w:rPr>
                <w:color w:val="2B2D42"/>
                <w:sz w:val="17"/>
              </w:rPr>
              <w:t>String</w:t>
            </w:r>
          </w:p>
        </w:tc>
        <w:tc>
          <w:tcPr>
            <w:tcW w:w="2484" w:type="dxa"/>
            <w:shd w:val="clear" w:color="auto" w:fill="FFFFFF"/>
            <w:tcMar>
              <w:top w:w="60" w:type="dxa"/>
              <w:left w:w="90" w:type="dxa"/>
              <w:bottom w:w="60" w:type="dxa"/>
              <w:right w:w="90" w:type="dxa"/>
            </w:tcMar>
          </w:tcPr>
          <w:p w14:paraId="5227F016" w14:textId="77777777" w:rsidR="00F13390" w:rsidRDefault="00000000">
            <w:r>
              <w:rPr>
                <w:color w:val="2B2D42"/>
                <w:sz w:val="17"/>
              </w:rPr>
              <w:t>Geographical origin across 6 WHO regions and 60 countries.</w:t>
            </w:r>
          </w:p>
        </w:tc>
      </w:tr>
      <w:tr w:rsidR="00F13390" w14:paraId="5C008209" w14:textId="77777777">
        <w:trPr>
          <w:jc w:val="center"/>
        </w:trPr>
        <w:tc>
          <w:tcPr>
            <w:tcW w:w="2484" w:type="dxa"/>
            <w:shd w:val="clear" w:color="auto" w:fill="F8F9FA"/>
            <w:tcMar>
              <w:top w:w="60" w:type="dxa"/>
              <w:left w:w="90" w:type="dxa"/>
              <w:bottom w:w="60" w:type="dxa"/>
              <w:right w:w="90" w:type="dxa"/>
            </w:tcMar>
          </w:tcPr>
          <w:p w14:paraId="6674D71F" w14:textId="77777777" w:rsidR="00F13390" w:rsidRDefault="00000000">
            <w:r>
              <w:rPr>
                <w:color w:val="2B2D42"/>
                <w:sz w:val="17"/>
              </w:rPr>
              <w:t>Risk Factors</w:t>
            </w:r>
          </w:p>
        </w:tc>
        <w:tc>
          <w:tcPr>
            <w:tcW w:w="2484" w:type="dxa"/>
            <w:shd w:val="clear" w:color="auto" w:fill="F8F9FA"/>
            <w:tcMar>
              <w:top w:w="60" w:type="dxa"/>
              <w:left w:w="90" w:type="dxa"/>
              <w:bottom w:w="60" w:type="dxa"/>
              <w:right w:w="90" w:type="dxa"/>
            </w:tcMar>
          </w:tcPr>
          <w:p w14:paraId="2B6DB334" w14:textId="77777777" w:rsidR="00F13390" w:rsidRDefault="00000000">
            <w:r>
              <w:rPr>
                <w:color w:val="2B2D42"/>
                <w:sz w:val="17"/>
              </w:rPr>
              <w:t>Smoking_Status, Cigarettes/Day, Years_Smoking</w:t>
            </w:r>
          </w:p>
        </w:tc>
        <w:tc>
          <w:tcPr>
            <w:tcW w:w="2484" w:type="dxa"/>
            <w:shd w:val="clear" w:color="auto" w:fill="F8F9FA"/>
            <w:tcMar>
              <w:top w:w="60" w:type="dxa"/>
              <w:left w:w="90" w:type="dxa"/>
              <w:bottom w:w="60" w:type="dxa"/>
              <w:right w:w="90" w:type="dxa"/>
            </w:tcMar>
          </w:tcPr>
          <w:p w14:paraId="2A809DCB" w14:textId="77777777" w:rsidR="00F13390" w:rsidRDefault="00000000">
            <w:r>
              <w:rPr>
                <w:color w:val="2B2D42"/>
                <w:sz w:val="17"/>
              </w:rPr>
              <w:t>Categorical / Int</w:t>
            </w:r>
          </w:p>
        </w:tc>
        <w:tc>
          <w:tcPr>
            <w:tcW w:w="2484" w:type="dxa"/>
            <w:shd w:val="clear" w:color="auto" w:fill="F8F9FA"/>
            <w:tcMar>
              <w:top w:w="60" w:type="dxa"/>
              <w:left w:w="90" w:type="dxa"/>
              <w:bottom w:w="60" w:type="dxa"/>
              <w:right w:w="90" w:type="dxa"/>
            </w:tcMar>
          </w:tcPr>
          <w:p w14:paraId="23324EAA" w14:textId="77777777" w:rsidR="00F13390" w:rsidRDefault="00000000">
            <w:r>
              <w:rPr>
                <w:color w:val="2B2D42"/>
                <w:sz w:val="17"/>
              </w:rPr>
              <w:t>Tobacco exposure: Never (1,311), Current (477), Former (212).</w:t>
            </w:r>
          </w:p>
        </w:tc>
      </w:tr>
      <w:tr w:rsidR="00F13390" w14:paraId="5299550C" w14:textId="77777777">
        <w:trPr>
          <w:jc w:val="center"/>
        </w:trPr>
        <w:tc>
          <w:tcPr>
            <w:tcW w:w="2484" w:type="dxa"/>
            <w:shd w:val="clear" w:color="auto" w:fill="FFFFFF"/>
            <w:tcMar>
              <w:top w:w="60" w:type="dxa"/>
              <w:left w:w="90" w:type="dxa"/>
              <w:bottom w:w="60" w:type="dxa"/>
              <w:right w:w="90" w:type="dxa"/>
            </w:tcMar>
          </w:tcPr>
          <w:p w14:paraId="1A89688A" w14:textId="77777777" w:rsidR="00F13390" w:rsidRDefault="00000000">
            <w:r>
              <w:rPr>
                <w:color w:val="2B2D42"/>
                <w:sz w:val="17"/>
              </w:rPr>
              <w:t>Environmental</w:t>
            </w:r>
          </w:p>
        </w:tc>
        <w:tc>
          <w:tcPr>
            <w:tcW w:w="2484" w:type="dxa"/>
            <w:shd w:val="clear" w:color="auto" w:fill="FFFFFF"/>
            <w:tcMar>
              <w:top w:w="60" w:type="dxa"/>
              <w:left w:w="90" w:type="dxa"/>
              <w:bottom w:w="60" w:type="dxa"/>
              <w:right w:w="90" w:type="dxa"/>
            </w:tcMar>
          </w:tcPr>
          <w:p w14:paraId="247C44BC" w14:textId="77777777" w:rsidR="00F13390" w:rsidRDefault="00000000">
            <w:r>
              <w:rPr>
                <w:color w:val="2B2D42"/>
                <w:sz w:val="17"/>
              </w:rPr>
              <w:t>Secondhand_Smoke, Air_Pollution, Radon, Asbestos</w:t>
            </w:r>
          </w:p>
        </w:tc>
        <w:tc>
          <w:tcPr>
            <w:tcW w:w="2484" w:type="dxa"/>
            <w:shd w:val="clear" w:color="auto" w:fill="FFFFFF"/>
            <w:tcMar>
              <w:top w:w="60" w:type="dxa"/>
              <w:left w:w="90" w:type="dxa"/>
              <w:bottom w:w="60" w:type="dxa"/>
              <w:right w:w="90" w:type="dxa"/>
            </w:tcMar>
          </w:tcPr>
          <w:p w14:paraId="4E65A887" w14:textId="77777777" w:rsidR="00F13390" w:rsidRDefault="00000000">
            <w:r>
              <w:rPr>
                <w:color w:val="2B2D42"/>
                <w:sz w:val="17"/>
              </w:rPr>
              <w:t>Categorical</w:t>
            </w:r>
          </w:p>
        </w:tc>
        <w:tc>
          <w:tcPr>
            <w:tcW w:w="2484" w:type="dxa"/>
            <w:shd w:val="clear" w:color="auto" w:fill="FFFFFF"/>
            <w:tcMar>
              <w:top w:w="60" w:type="dxa"/>
              <w:left w:w="90" w:type="dxa"/>
              <w:bottom w:w="60" w:type="dxa"/>
              <w:right w:w="90" w:type="dxa"/>
            </w:tcMar>
          </w:tcPr>
          <w:p w14:paraId="2CFF20C8" w14:textId="77777777" w:rsidR="00F13390" w:rsidRDefault="00000000">
            <w:r>
              <w:rPr>
                <w:color w:val="2B2D42"/>
                <w:sz w:val="17"/>
              </w:rPr>
              <w:t>Environmental exposures to passive smoke, particulate air pollution, radon, asbestos.</w:t>
            </w:r>
          </w:p>
        </w:tc>
      </w:tr>
      <w:tr w:rsidR="00F13390" w14:paraId="71D58258" w14:textId="77777777">
        <w:trPr>
          <w:jc w:val="center"/>
        </w:trPr>
        <w:tc>
          <w:tcPr>
            <w:tcW w:w="2484" w:type="dxa"/>
            <w:shd w:val="clear" w:color="auto" w:fill="F8F9FA"/>
            <w:tcMar>
              <w:top w:w="60" w:type="dxa"/>
              <w:left w:w="90" w:type="dxa"/>
              <w:bottom w:w="60" w:type="dxa"/>
              <w:right w:w="90" w:type="dxa"/>
            </w:tcMar>
          </w:tcPr>
          <w:p w14:paraId="5F6096A2" w14:textId="77777777" w:rsidR="00F13390" w:rsidRDefault="00000000">
            <w:r>
              <w:rPr>
                <w:color w:val="2B2D42"/>
                <w:sz w:val="17"/>
              </w:rPr>
              <w:t>Lifestyle/Vitals</w:t>
            </w:r>
          </w:p>
        </w:tc>
        <w:tc>
          <w:tcPr>
            <w:tcW w:w="2484" w:type="dxa"/>
            <w:shd w:val="clear" w:color="auto" w:fill="F8F9FA"/>
            <w:tcMar>
              <w:top w:w="60" w:type="dxa"/>
              <w:left w:w="90" w:type="dxa"/>
              <w:bottom w:w="60" w:type="dxa"/>
              <w:right w:w="90" w:type="dxa"/>
            </w:tcMar>
          </w:tcPr>
          <w:p w14:paraId="177FA690" w14:textId="77777777" w:rsidR="00F13390" w:rsidRDefault="00000000">
            <w:r>
              <w:rPr>
                <w:color w:val="2B2D42"/>
                <w:sz w:val="17"/>
              </w:rPr>
              <w:t>BMI, Alcohol_Use, Exercise_Frequency</w:t>
            </w:r>
          </w:p>
        </w:tc>
        <w:tc>
          <w:tcPr>
            <w:tcW w:w="2484" w:type="dxa"/>
            <w:shd w:val="clear" w:color="auto" w:fill="F8F9FA"/>
            <w:tcMar>
              <w:top w:w="60" w:type="dxa"/>
              <w:left w:w="90" w:type="dxa"/>
              <w:bottom w:w="60" w:type="dxa"/>
              <w:right w:w="90" w:type="dxa"/>
            </w:tcMar>
          </w:tcPr>
          <w:p w14:paraId="17259065" w14:textId="77777777" w:rsidR="00F13390" w:rsidRDefault="00000000">
            <w:r>
              <w:rPr>
                <w:color w:val="2B2D42"/>
                <w:sz w:val="17"/>
              </w:rPr>
              <w:t>Float / String</w:t>
            </w:r>
          </w:p>
        </w:tc>
        <w:tc>
          <w:tcPr>
            <w:tcW w:w="2484" w:type="dxa"/>
            <w:shd w:val="clear" w:color="auto" w:fill="F8F9FA"/>
            <w:tcMar>
              <w:top w:w="60" w:type="dxa"/>
              <w:left w:w="90" w:type="dxa"/>
              <w:bottom w:w="60" w:type="dxa"/>
              <w:right w:w="90" w:type="dxa"/>
            </w:tcMar>
          </w:tcPr>
          <w:p w14:paraId="1721415E" w14:textId="77777777" w:rsidR="00F13390" w:rsidRDefault="00000000">
            <w:r>
              <w:rPr>
                <w:color w:val="2B2D42"/>
                <w:sz w:val="17"/>
              </w:rPr>
              <w:t>Body Mass Index (16.0–40.0), alcohol consumption, physical activity level.</w:t>
            </w:r>
          </w:p>
        </w:tc>
      </w:tr>
      <w:tr w:rsidR="00F13390" w14:paraId="7BD62A82" w14:textId="77777777">
        <w:trPr>
          <w:jc w:val="center"/>
        </w:trPr>
        <w:tc>
          <w:tcPr>
            <w:tcW w:w="2484" w:type="dxa"/>
            <w:shd w:val="clear" w:color="auto" w:fill="FFFFFF"/>
            <w:tcMar>
              <w:top w:w="60" w:type="dxa"/>
              <w:left w:w="90" w:type="dxa"/>
              <w:bottom w:w="60" w:type="dxa"/>
              <w:right w:w="90" w:type="dxa"/>
            </w:tcMar>
          </w:tcPr>
          <w:p w14:paraId="26F669F3" w14:textId="77777777" w:rsidR="00F13390" w:rsidRDefault="00000000">
            <w:r>
              <w:rPr>
                <w:color w:val="2B2D42"/>
                <w:sz w:val="17"/>
              </w:rPr>
              <w:t>Genetics</w:t>
            </w:r>
          </w:p>
        </w:tc>
        <w:tc>
          <w:tcPr>
            <w:tcW w:w="2484" w:type="dxa"/>
            <w:shd w:val="clear" w:color="auto" w:fill="FFFFFF"/>
            <w:tcMar>
              <w:top w:w="60" w:type="dxa"/>
              <w:left w:w="90" w:type="dxa"/>
              <w:bottom w:w="60" w:type="dxa"/>
              <w:right w:w="90" w:type="dxa"/>
            </w:tcMar>
          </w:tcPr>
          <w:p w14:paraId="564B4C0B" w14:textId="77777777" w:rsidR="00F13390" w:rsidRDefault="00000000">
            <w:r>
              <w:rPr>
                <w:color w:val="2B2D42"/>
                <w:sz w:val="17"/>
              </w:rPr>
              <w:t>Genetic_Mutation</w:t>
            </w:r>
          </w:p>
        </w:tc>
        <w:tc>
          <w:tcPr>
            <w:tcW w:w="2484" w:type="dxa"/>
            <w:shd w:val="clear" w:color="auto" w:fill="FFFFFF"/>
            <w:tcMar>
              <w:top w:w="60" w:type="dxa"/>
              <w:left w:w="90" w:type="dxa"/>
              <w:bottom w:w="60" w:type="dxa"/>
              <w:right w:w="90" w:type="dxa"/>
            </w:tcMar>
          </w:tcPr>
          <w:p w14:paraId="21B127C0" w14:textId="77777777" w:rsidR="00F13390" w:rsidRDefault="00000000">
            <w:r>
              <w:rPr>
                <w:color w:val="2B2D42"/>
                <w:sz w:val="17"/>
              </w:rPr>
              <w:t>Categorical</w:t>
            </w:r>
          </w:p>
        </w:tc>
        <w:tc>
          <w:tcPr>
            <w:tcW w:w="2484" w:type="dxa"/>
            <w:shd w:val="clear" w:color="auto" w:fill="FFFFFF"/>
            <w:tcMar>
              <w:top w:w="60" w:type="dxa"/>
              <w:left w:w="90" w:type="dxa"/>
              <w:bottom w:w="60" w:type="dxa"/>
              <w:right w:w="90" w:type="dxa"/>
            </w:tcMar>
          </w:tcPr>
          <w:p w14:paraId="244EBDDA" w14:textId="77777777" w:rsidR="00F13390" w:rsidRDefault="00000000">
            <w:r>
              <w:rPr>
                <w:color w:val="2B2D42"/>
                <w:sz w:val="17"/>
              </w:rPr>
              <w:t>Driver mutations (EGFR, ALK, KRAS, TP53, ROS1, BRAF, MET, HER2, RET, No Mutation).</w:t>
            </w:r>
          </w:p>
        </w:tc>
      </w:tr>
      <w:tr w:rsidR="00F13390" w14:paraId="181CF6AE" w14:textId="77777777">
        <w:trPr>
          <w:jc w:val="center"/>
        </w:trPr>
        <w:tc>
          <w:tcPr>
            <w:tcW w:w="2484" w:type="dxa"/>
            <w:shd w:val="clear" w:color="auto" w:fill="F8F9FA"/>
            <w:tcMar>
              <w:top w:w="60" w:type="dxa"/>
              <w:left w:w="90" w:type="dxa"/>
              <w:bottom w:w="60" w:type="dxa"/>
              <w:right w:w="90" w:type="dxa"/>
            </w:tcMar>
          </w:tcPr>
          <w:p w14:paraId="6229C705" w14:textId="77777777" w:rsidR="00F13390" w:rsidRDefault="00000000">
            <w:r>
              <w:rPr>
                <w:color w:val="2B2D42"/>
                <w:sz w:val="17"/>
              </w:rPr>
              <w:t>Symptomatology</w:t>
            </w:r>
          </w:p>
        </w:tc>
        <w:tc>
          <w:tcPr>
            <w:tcW w:w="2484" w:type="dxa"/>
            <w:shd w:val="clear" w:color="auto" w:fill="F8F9FA"/>
            <w:tcMar>
              <w:top w:w="60" w:type="dxa"/>
              <w:left w:w="90" w:type="dxa"/>
              <w:bottom w:w="60" w:type="dxa"/>
              <w:right w:w="90" w:type="dxa"/>
            </w:tcMar>
          </w:tcPr>
          <w:p w14:paraId="77C4E627" w14:textId="77777777" w:rsidR="00F13390" w:rsidRDefault="00000000">
            <w:r>
              <w:rPr>
                <w:color w:val="2B2D42"/>
                <w:sz w:val="17"/>
              </w:rPr>
              <w:t>10 Clinical Symptoms</w:t>
            </w:r>
          </w:p>
        </w:tc>
        <w:tc>
          <w:tcPr>
            <w:tcW w:w="2484" w:type="dxa"/>
            <w:shd w:val="clear" w:color="auto" w:fill="F8F9FA"/>
            <w:tcMar>
              <w:top w:w="60" w:type="dxa"/>
              <w:left w:w="90" w:type="dxa"/>
              <w:bottom w:w="60" w:type="dxa"/>
              <w:right w:w="90" w:type="dxa"/>
            </w:tcMar>
          </w:tcPr>
          <w:p w14:paraId="57BE501E" w14:textId="77777777" w:rsidR="00F13390" w:rsidRDefault="00000000">
            <w:r>
              <w:rPr>
                <w:color w:val="2B2D42"/>
                <w:sz w:val="17"/>
              </w:rPr>
              <w:t>Binary (Yes/No)</w:t>
            </w:r>
          </w:p>
        </w:tc>
        <w:tc>
          <w:tcPr>
            <w:tcW w:w="2484" w:type="dxa"/>
            <w:shd w:val="clear" w:color="auto" w:fill="F8F9FA"/>
            <w:tcMar>
              <w:top w:w="60" w:type="dxa"/>
              <w:left w:w="90" w:type="dxa"/>
              <w:bottom w:w="60" w:type="dxa"/>
              <w:right w:w="90" w:type="dxa"/>
            </w:tcMar>
          </w:tcPr>
          <w:p w14:paraId="3B1462BE" w14:textId="77777777" w:rsidR="00F13390" w:rsidRDefault="00000000">
            <w:r>
              <w:rPr>
                <w:color w:val="2B2D42"/>
                <w:sz w:val="17"/>
              </w:rPr>
              <w:t>Coughing, Hemoptysis, Dyspnea, Chest Pain, Fatigue, Weight Loss, Wheezing, etc.</w:t>
            </w:r>
          </w:p>
        </w:tc>
      </w:tr>
      <w:tr w:rsidR="00F13390" w14:paraId="159FC659" w14:textId="77777777">
        <w:trPr>
          <w:jc w:val="center"/>
        </w:trPr>
        <w:tc>
          <w:tcPr>
            <w:tcW w:w="2484" w:type="dxa"/>
            <w:shd w:val="clear" w:color="auto" w:fill="FFFFFF"/>
            <w:tcMar>
              <w:top w:w="60" w:type="dxa"/>
              <w:left w:w="90" w:type="dxa"/>
              <w:bottom w:w="60" w:type="dxa"/>
              <w:right w:w="90" w:type="dxa"/>
            </w:tcMar>
          </w:tcPr>
          <w:p w14:paraId="2A303B04" w14:textId="77777777" w:rsidR="00F13390" w:rsidRDefault="00000000">
            <w:r>
              <w:rPr>
                <w:color w:val="2B2D42"/>
                <w:sz w:val="17"/>
              </w:rPr>
              <w:t>Oncology</w:t>
            </w:r>
          </w:p>
        </w:tc>
        <w:tc>
          <w:tcPr>
            <w:tcW w:w="2484" w:type="dxa"/>
            <w:shd w:val="clear" w:color="auto" w:fill="FFFFFF"/>
            <w:tcMar>
              <w:top w:w="60" w:type="dxa"/>
              <w:left w:w="90" w:type="dxa"/>
              <w:bottom w:w="60" w:type="dxa"/>
              <w:right w:w="90" w:type="dxa"/>
            </w:tcMar>
          </w:tcPr>
          <w:p w14:paraId="1754DF13" w14:textId="77777777" w:rsidR="00F13390" w:rsidRDefault="00000000">
            <w:r>
              <w:rPr>
                <w:color w:val="2B2D42"/>
                <w:sz w:val="17"/>
              </w:rPr>
              <w:t>Cancer_Type, NSCLC_Subtype</w:t>
            </w:r>
          </w:p>
        </w:tc>
        <w:tc>
          <w:tcPr>
            <w:tcW w:w="2484" w:type="dxa"/>
            <w:shd w:val="clear" w:color="auto" w:fill="FFFFFF"/>
            <w:tcMar>
              <w:top w:w="60" w:type="dxa"/>
              <w:left w:w="90" w:type="dxa"/>
              <w:bottom w:w="60" w:type="dxa"/>
              <w:right w:w="90" w:type="dxa"/>
            </w:tcMar>
          </w:tcPr>
          <w:p w14:paraId="2DFE8E7B" w14:textId="77777777" w:rsidR="00F13390" w:rsidRDefault="00000000">
            <w:r>
              <w:rPr>
                <w:color w:val="2B2D42"/>
                <w:sz w:val="17"/>
              </w:rPr>
              <w:t>Categorical</w:t>
            </w:r>
          </w:p>
        </w:tc>
        <w:tc>
          <w:tcPr>
            <w:tcW w:w="2484" w:type="dxa"/>
            <w:shd w:val="clear" w:color="auto" w:fill="FFFFFF"/>
            <w:tcMar>
              <w:top w:w="60" w:type="dxa"/>
              <w:left w:w="90" w:type="dxa"/>
              <w:bottom w:w="60" w:type="dxa"/>
              <w:right w:w="90" w:type="dxa"/>
            </w:tcMar>
          </w:tcPr>
          <w:p w14:paraId="19ACCF77" w14:textId="77777777" w:rsidR="00F13390" w:rsidRDefault="00000000">
            <w:r>
              <w:rPr>
                <w:color w:val="2B2D42"/>
                <w:sz w:val="17"/>
              </w:rPr>
              <w:t>Histology: NSCLC (Adenocarcinoma, Squamous, Large Cell) and SCLC.</w:t>
            </w:r>
          </w:p>
        </w:tc>
      </w:tr>
      <w:tr w:rsidR="00F13390" w14:paraId="62DA8406" w14:textId="77777777">
        <w:trPr>
          <w:jc w:val="center"/>
        </w:trPr>
        <w:tc>
          <w:tcPr>
            <w:tcW w:w="2484" w:type="dxa"/>
            <w:shd w:val="clear" w:color="auto" w:fill="F8F9FA"/>
            <w:tcMar>
              <w:top w:w="60" w:type="dxa"/>
              <w:left w:w="90" w:type="dxa"/>
              <w:bottom w:w="60" w:type="dxa"/>
              <w:right w:w="90" w:type="dxa"/>
            </w:tcMar>
          </w:tcPr>
          <w:p w14:paraId="2D890E10" w14:textId="77777777" w:rsidR="00F13390" w:rsidRDefault="00000000">
            <w:r>
              <w:rPr>
                <w:color w:val="2B2D42"/>
                <w:sz w:val="17"/>
              </w:rPr>
              <w:t>Staging</w:t>
            </w:r>
          </w:p>
        </w:tc>
        <w:tc>
          <w:tcPr>
            <w:tcW w:w="2484" w:type="dxa"/>
            <w:shd w:val="clear" w:color="auto" w:fill="F8F9FA"/>
            <w:tcMar>
              <w:top w:w="60" w:type="dxa"/>
              <w:left w:w="90" w:type="dxa"/>
              <w:bottom w:w="60" w:type="dxa"/>
              <w:right w:w="90" w:type="dxa"/>
            </w:tcMar>
          </w:tcPr>
          <w:p w14:paraId="7DED4B75" w14:textId="77777777" w:rsidR="00F13390" w:rsidRDefault="00000000">
            <w:r>
              <w:rPr>
                <w:color w:val="2B2D42"/>
                <w:sz w:val="17"/>
              </w:rPr>
              <w:t>Cancer_Stage, Tumor_Size_cm, Metastasis</w:t>
            </w:r>
          </w:p>
        </w:tc>
        <w:tc>
          <w:tcPr>
            <w:tcW w:w="2484" w:type="dxa"/>
            <w:shd w:val="clear" w:color="auto" w:fill="F8F9FA"/>
            <w:tcMar>
              <w:top w:w="60" w:type="dxa"/>
              <w:left w:w="90" w:type="dxa"/>
              <w:bottom w:w="60" w:type="dxa"/>
              <w:right w:w="90" w:type="dxa"/>
            </w:tcMar>
          </w:tcPr>
          <w:p w14:paraId="1374CAEE" w14:textId="77777777" w:rsidR="00F13390" w:rsidRDefault="00000000">
            <w:r>
              <w:rPr>
                <w:color w:val="2B2D42"/>
                <w:sz w:val="17"/>
              </w:rPr>
              <w:t>Cat / Float / Bin</w:t>
            </w:r>
          </w:p>
        </w:tc>
        <w:tc>
          <w:tcPr>
            <w:tcW w:w="2484" w:type="dxa"/>
            <w:shd w:val="clear" w:color="auto" w:fill="F8F9FA"/>
            <w:tcMar>
              <w:top w:w="60" w:type="dxa"/>
              <w:left w:w="90" w:type="dxa"/>
              <w:bottom w:w="60" w:type="dxa"/>
              <w:right w:w="90" w:type="dxa"/>
            </w:tcMar>
          </w:tcPr>
          <w:p w14:paraId="0299D705" w14:textId="77777777" w:rsidR="00F13390" w:rsidRDefault="00000000">
            <w:r>
              <w:rPr>
                <w:color w:val="2B2D42"/>
                <w:sz w:val="17"/>
              </w:rPr>
              <w:t>Anatomical stage (I–IV), primary tumor diameter (cm), distant metastasis.</w:t>
            </w:r>
          </w:p>
        </w:tc>
      </w:tr>
      <w:tr w:rsidR="00F13390" w14:paraId="483E6E44" w14:textId="77777777">
        <w:trPr>
          <w:jc w:val="center"/>
        </w:trPr>
        <w:tc>
          <w:tcPr>
            <w:tcW w:w="2484" w:type="dxa"/>
            <w:shd w:val="clear" w:color="auto" w:fill="FFFFFF"/>
            <w:tcMar>
              <w:top w:w="60" w:type="dxa"/>
              <w:left w:w="90" w:type="dxa"/>
              <w:bottom w:w="60" w:type="dxa"/>
              <w:right w:w="90" w:type="dxa"/>
            </w:tcMar>
          </w:tcPr>
          <w:p w14:paraId="7407D6A3" w14:textId="77777777" w:rsidR="00F13390" w:rsidRDefault="00000000">
            <w:r>
              <w:rPr>
                <w:color w:val="2B2D42"/>
                <w:sz w:val="17"/>
              </w:rPr>
              <w:t>Clinical Mgmt</w:t>
            </w:r>
          </w:p>
        </w:tc>
        <w:tc>
          <w:tcPr>
            <w:tcW w:w="2484" w:type="dxa"/>
            <w:shd w:val="clear" w:color="auto" w:fill="FFFFFF"/>
            <w:tcMar>
              <w:top w:w="60" w:type="dxa"/>
              <w:left w:w="90" w:type="dxa"/>
              <w:bottom w:w="60" w:type="dxa"/>
              <w:right w:w="90" w:type="dxa"/>
            </w:tcMar>
          </w:tcPr>
          <w:p w14:paraId="6BC210BE" w14:textId="77777777" w:rsidR="00F13390" w:rsidRDefault="00000000">
            <w:r>
              <w:rPr>
                <w:color w:val="2B2D42"/>
                <w:sz w:val="17"/>
              </w:rPr>
              <w:t>Diagnosis_Method, Treatment</w:t>
            </w:r>
          </w:p>
        </w:tc>
        <w:tc>
          <w:tcPr>
            <w:tcW w:w="2484" w:type="dxa"/>
            <w:shd w:val="clear" w:color="auto" w:fill="FFFFFF"/>
            <w:tcMar>
              <w:top w:w="60" w:type="dxa"/>
              <w:left w:w="90" w:type="dxa"/>
              <w:bottom w:w="60" w:type="dxa"/>
              <w:right w:w="90" w:type="dxa"/>
            </w:tcMar>
          </w:tcPr>
          <w:p w14:paraId="0F0927A9" w14:textId="77777777" w:rsidR="00F13390" w:rsidRDefault="00000000">
            <w:r>
              <w:rPr>
                <w:color w:val="2B2D42"/>
                <w:sz w:val="17"/>
              </w:rPr>
              <w:t>Categorical</w:t>
            </w:r>
          </w:p>
        </w:tc>
        <w:tc>
          <w:tcPr>
            <w:tcW w:w="2484" w:type="dxa"/>
            <w:shd w:val="clear" w:color="auto" w:fill="FFFFFF"/>
            <w:tcMar>
              <w:top w:w="60" w:type="dxa"/>
              <w:left w:w="90" w:type="dxa"/>
              <w:bottom w:w="60" w:type="dxa"/>
              <w:right w:w="90" w:type="dxa"/>
            </w:tcMar>
          </w:tcPr>
          <w:p w14:paraId="6D4341C1" w14:textId="77777777" w:rsidR="00F13390" w:rsidRDefault="00000000">
            <w:r>
              <w:rPr>
                <w:color w:val="2B2D42"/>
                <w:sz w:val="17"/>
              </w:rPr>
              <w:t>Diagnostic instrument (CT, PET, Biopsy, etc.) and primary planned therapy.</w:t>
            </w:r>
          </w:p>
        </w:tc>
      </w:tr>
      <w:tr w:rsidR="00F13390" w14:paraId="0733E682" w14:textId="77777777">
        <w:trPr>
          <w:jc w:val="center"/>
        </w:trPr>
        <w:tc>
          <w:tcPr>
            <w:tcW w:w="2484" w:type="dxa"/>
            <w:shd w:val="clear" w:color="auto" w:fill="F8F9FA"/>
            <w:tcMar>
              <w:top w:w="60" w:type="dxa"/>
              <w:left w:w="90" w:type="dxa"/>
              <w:bottom w:w="60" w:type="dxa"/>
              <w:right w:w="90" w:type="dxa"/>
            </w:tcMar>
          </w:tcPr>
          <w:p w14:paraId="1E1908F0" w14:textId="77777777" w:rsidR="00F13390" w:rsidRDefault="00000000">
            <w:r>
              <w:rPr>
                <w:color w:val="2B2D42"/>
                <w:sz w:val="17"/>
              </w:rPr>
              <w:t>Target Variable</w:t>
            </w:r>
          </w:p>
        </w:tc>
        <w:tc>
          <w:tcPr>
            <w:tcW w:w="2484" w:type="dxa"/>
            <w:shd w:val="clear" w:color="auto" w:fill="F8F9FA"/>
            <w:tcMar>
              <w:top w:w="60" w:type="dxa"/>
              <w:left w:w="90" w:type="dxa"/>
              <w:bottom w:w="60" w:type="dxa"/>
              <w:right w:w="90" w:type="dxa"/>
            </w:tcMar>
          </w:tcPr>
          <w:p w14:paraId="417897AF" w14:textId="77777777" w:rsidR="00F13390" w:rsidRDefault="00000000">
            <w:r>
              <w:rPr>
                <w:color w:val="2B2D42"/>
                <w:sz w:val="17"/>
              </w:rPr>
              <w:t>Survived</w:t>
            </w:r>
          </w:p>
        </w:tc>
        <w:tc>
          <w:tcPr>
            <w:tcW w:w="2484" w:type="dxa"/>
            <w:shd w:val="clear" w:color="auto" w:fill="F8F9FA"/>
            <w:tcMar>
              <w:top w:w="60" w:type="dxa"/>
              <w:left w:w="90" w:type="dxa"/>
              <w:bottom w:w="60" w:type="dxa"/>
              <w:right w:w="90" w:type="dxa"/>
            </w:tcMar>
          </w:tcPr>
          <w:p w14:paraId="4A5FECC4" w14:textId="77777777" w:rsidR="00F13390" w:rsidRDefault="00000000">
            <w:r>
              <w:rPr>
                <w:color w:val="2B2D42"/>
                <w:sz w:val="17"/>
              </w:rPr>
              <w:t>Binary (Yes/No)</w:t>
            </w:r>
          </w:p>
        </w:tc>
        <w:tc>
          <w:tcPr>
            <w:tcW w:w="2484" w:type="dxa"/>
            <w:shd w:val="clear" w:color="auto" w:fill="F8F9FA"/>
            <w:tcMar>
              <w:top w:w="60" w:type="dxa"/>
              <w:left w:w="90" w:type="dxa"/>
              <w:bottom w:w="60" w:type="dxa"/>
              <w:right w:w="90" w:type="dxa"/>
            </w:tcMar>
          </w:tcPr>
          <w:p w14:paraId="5D0AED06" w14:textId="77777777" w:rsidR="00F13390" w:rsidRDefault="00000000">
            <w:r>
              <w:rPr>
                <w:color w:val="2B2D42"/>
                <w:sz w:val="17"/>
              </w:rPr>
              <w:t>PRIMARY TARGET: Survival outcome (Yes = 756 [37.8%], No = 1,244 [62.2%]).</w:t>
            </w:r>
          </w:p>
        </w:tc>
      </w:tr>
      <w:tr w:rsidR="00F13390" w14:paraId="384EFFAF" w14:textId="77777777">
        <w:trPr>
          <w:jc w:val="center"/>
        </w:trPr>
        <w:tc>
          <w:tcPr>
            <w:tcW w:w="2484" w:type="dxa"/>
            <w:shd w:val="clear" w:color="auto" w:fill="FFFFFF"/>
            <w:tcMar>
              <w:top w:w="60" w:type="dxa"/>
              <w:left w:w="90" w:type="dxa"/>
              <w:bottom w:w="60" w:type="dxa"/>
              <w:right w:w="90" w:type="dxa"/>
            </w:tcMar>
          </w:tcPr>
          <w:p w14:paraId="6D1ECF35" w14:textId="77777777" w:rsidR="00F13390" w:rsidRDefault="00000000">
            <w:r>
              <w:rPr>
                <w:color w:val="2B2D42"/>
                <w:sz w:val="17"/>
              </w:rPr>
              <w:t>Outcome Leakage</w:t>
            </w:r>
          </w:p>
        </w:tc>
        <w:tc>
          <w:tcPr>
            <w:tcW w:w="2484" w:type="dxa"/>
            <w:shd w:val="clear" w:color="auto" w:fill="FFFFFF"/>
            <w:tcMar>
              <w:top w:w="60" w:type="dxa"/>
              <w:left w:w="90" w:type="dxa"/>
              <w:bottom w:w="60" w:type="dxa"/>
              <w:right w:w="90" w:type="dxa"/>
            </w:tcMar>
          </w:tcPr>
          <w:p w14:paraId="5200171E" w14:textId="77777777" w:rsidR="00F13390" w:rsidRDefault="00000000">
            <w:r>
              <w:rPr>
                <w:color w:val="2B2D42"/>
                <w:sz w:val="17"/>
              </w:rPr>
              <w:t>Survival_Months</w:t>
            </w:r>
          </w:p>
        </w:tc>
        <w:tc>
          <w:tcPr>
            <w:tcW w:w="2484" w:type="dxa"/>
            <w:shd w:val="clear" w:color="auto" w:fill="FFFFFF"/>
            <w:tcMar>
              <w:top w:w="60" w:type="dxa"/>
              <w:left w:w="90" w:type="dxa"/>
              <w:bottom w:w="60" w:type="dxa"/>
              <w:right w:w="90" w:type="dxa"/>
            </w:tcMar>
          </w:tcPr>
          <w:p w14:paraId="6883C545" w14:textId="77777777" w:rsidR="00F13390" w:rsidRDefault="00000000">
            <w:r>
              <w:rPr>
                <w:color w:val="2B2D42"/>
                <w:sz w:val="17"/>
              </w:rPr>
              <w:t>Integer</w:t>
            </w:r>
          </w:p>
        </w:tc>
        <w:tc>
          <w:tcPr>
            <w:tcW w:w="2484" w:type="dxa"/>
            <w:shd w:val="clear" w:color="auto" w:fill="FFFFFF"/>
            <w:tcMar>
              <w:top w:w="60" w:type="dxa"/>
              <w:left w:w="90" w:type="dxa"/>
              <w:bottom w:w="60" w:type="dxa"/>
              <w:right w:w="90" w:type="dxa"/>
            </w:tcMar>
          </w:tcPr>
          <w:p w14:paraId="2233CD12" w14:textId="77777777" w:rsidR="00F13390" w:rsidRDefault="00000000">
            <w:r>
              <w:rPr>
                <w:b/>
                <w:color w:val="E76F51"/>
                <w:sz w:val="17"/>
              </w:rPr>
              <w:t>Post-diagnosis survival duration (1–110 mos). STRICTLY EXCLUDED to prevent leakage.</w:t>
            </w:r>
          </w:p>
        </w:tc>
      </w:tr>
    </w:tbl>
    <w:p w14:paraId="49B3B5BD" w14:textId="77777777" w:rsidR="00F13390" w:rsidRDefault="00000000">
      <w:pPr>
        <w:keepNext/>
        <w:spacing w:before="280" w:after="80"/>
      </w:pPr>
      <w:r>
        <w:rPr>
          <w:rFonts w:ascii="Calibri" w:hAnsi="Calibri"/>
          <w:b/>
          <w:color w:val="1D3557"/>
          <w:sz w:val="30"/>
        </w:rPr>
        <w:t>5. Data Quality Audit &amp; Cleaning Protocols</w:t>
      </w:r>
    </w:p>
    <w:p w14:paraId="0E4FF359" w14:textId="77777777" w:rsidR="00F13390" w:rsidRDefault="00000000">
      <w:pPr>
        <w:spacing w:after="120"/>
      </w:pPr>
      <w:r>
        <w:rPr>
          <w:rFonts w:ascii="Calibri" w:hAnsi="Calibri"/>
          <w:color w:val="2B2D42"/>
          <w:sz w:val="20"/>
        </w:rPr>
        <w:t xml:space="preserve">A comprehensive data quality audit validated the dataset's integrity prior to modeling: (1) Entity Uniqueness: 2,000 records map to exactly 2,000 unique Patient_ID values with 0 duplicate patient records; (2) Completeness: 0 missing or </w:t>
      </w:r>
      <w:r>
        <w:rPr>
          <w:rFonts w:ascii="Calibri" w:hAnsi="Calibri"/>
          <w:color w:val="2B2D42"/>
          <w:sz w:val="20"/>
        </w:rPr>
        <w:lastRenderedPageBreak/>
        <w:t>NaN values across all 82,000 cells; (3) Data Types: Parsed Diagnosis_Date into ISO datetime format; (4) Numerical Range Validation: Age (30–89 yrs), BMI (16.0–40.0), Tumor Size (0.5–13.3 cm), and Survival Months (1–110 mos) confirmed strictly positive and biologically plausible; (5) Cross-Feature Consistency: Verified that all Never Smoked patients have exactly 0 cigarettes/day and 0 smoking years.</w:t>
      </w:r>
    </w:p>
    <w:p w14:paraId="2C374F16" w14:textId="77777777" w:rsidR="00F13390" w:rsidRDefault="00000000">
      <w:r>
        <w:br w:type="page"/>
      </w:r>
    </w:p>
    <w:p w14:paraId="60E1C9D8" w14:textId="77777777" w:rsidR="00F13390" w:rsidRDefault="00000000">
      <w:pPr>
        <w:keepNext/>
        <w:spacing w:before="280" w:after="80"/>
      </w:pPr>
      <w:r>
        <w:rPr>
          <w:rFonts w:ascii="Calibri" w:hAnsi="Calibri"/>
          <w:b/>
          <w:color w:val="1D3557"/>
          <w:sz w:val="30"/>
        </w:rPr>
        <w:lastRenderedPageBreak/>
        <w:t>6. Exploratory Data Analysis — Level 1 &amp; Level 2</w:t>
      </w:r>
    </w:p>
    <w:p w14:paraId="51094EEA" w14:textId="77777777" w:rsidR="00F13390" w:rsidRDefault="00000000">
      <w:pPr>
        <w:spacing w:after="120"/>
      </w:pPr>
      <w:r>
        <w:rPr>
          <w:rFonts w:ascii="Calibri" w:hAnsi="Calibri"/>
          <w:color w:val="2B2D42"/>
          <w:sz w:val="20"/>
        </w:rPr>
        <w:t>Five publication-grade visualizations were generated from the actual dataset using Matplotlib and Seaborn. Strict methodological protocol: Observational associations are clearly documented without asserting direct clinical causation.</w:t>
      </w:r>
    </w:p>
    <w:p w14:paraId="6D2552FA" w14:textId="77777777" w:rsidR="00F13390" w:rsidRDefault="00000000">
      <w:pPr>
        <w:keepNext/>
        <w:spacing w:before="280" w:after="80"/>
      </w:pPr>
      <w:r>
        <w:rPr>
          <w:rFonts w:ascii="Calibri" w:hAnsi="Calibri"/>
          <w:b/>
          <w:color w:val="457B9D"/>
          <w:sz w:val="24"/>
        </w:rPr>
        <w:t>Chart 1: Cohort Survival Class Distribution</w:t>
      </w:r>
    </w:p>
    <w:p w14:paraId="4BED3735" w14:textId="77777777" w:rsidR="00F13390" w:rsidRDefault="00000000">
      <w:pPr>
        <w:jc w:val="center"/>
      </w:pPr>
      <w:r>
        <w:rPr>
          <w:noProof/>
        </w:rPr>
        <w:drawing>
          <wp:inline distT="0" distB="0" distL="0" distR="0" wp14:anchorId="4541D946" wp14:editId="0A391CFD">
            <wp:extent cx="5669280" cy="2362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1_survival_distribution.png"/>
                    <pic:cNvPicPr/>
                  </pic:nvPicPr>
                  <pic:blipFill>
                    <a:blip r:embed="rId6"/>
                    <a:stretch>
                      <a:fillRect/>
                    </a:stretch>
                  </pic:blipFill>
                  <pic:spPr>
                    <a:xfrm>
                      <a:off x="0" y="0"/>
                      <a:ext cx="5669280" cy="2362200"/>
                    </a:xfrm>
                    <a:prstGeom prst="rect">
                      <a:avLst/>
                    </a:prstGeom>
                  </pic:spPr>
                </pic:pic>
              </a:graphicData>
            </a:graphic>
          </wp:inline>
        </w:drawing>
      </w:r>
    </w:p>
    <w:p w14:paraId="666BC5CB" w14:textId="77777777" w:rsidR="00F13390" w:rsidRDefault="00000000">
      <w:r>
        <w:rPr>
          <w:rFonts w:ascii="Calibri" w:hAnsi="Calibri"/>
          <w:color w:val="2B2D42"/>
          <w:sz w:val="20"/>
        </w:rPr>
        <w:t>Empirical Observation: In this cohort of 2,000 patients, 1,244 (62.20%) experienced an unfavorable survival outcome (Survived = No), while 756 (37.80%) survived (Survived = Yes). The dataset exhibits a moderate class imbalance with a non-survival-to-survival ratio of 1.65:1, establishing the baseline calibration threshold for predictive modeling.</w:t>
      </w:r>
    </w:p>
    <w:p w14:paraId="4F8FD8E8" w14:textId="77777777" w:rsidR="00F13390" w:rsidRDefault="00000000">
      <w:pPr>
        <w:keepNext/>
        <w:spacing w:before="280" w:after="80"/>
      </w:pPr>
      <w:r>
        <w:rPr>
          <w:rFonts w:ascii="Calibri" w:hAnsi="Calibri"/>
          <w:b/>
          <w:color w:val="457B9D"/>
          <w:sz w:val="24"/>
        </w:rPr>
        <w:t>Chart 2: Age Demographic Pattern Across Survival Status</w:t>
      </w:r>
    </w:p>
    <w:p w14:paraId="5C812627" w14:textId="77777777" w:rsidR="00F13390" w:rsidRDefault="00000000">
      <w:pPr>
        <w:jc w:val="center"/>
      </w:pPr>
      <w:r>
        <w:rPr>
          <w:noProof/>
        </w:rPr>
        <w:drawing>
          <wp:inline distT="0" distB="0" distL="0" distR="0" wp14:anchorId="4C19BF1F" wp14:editId="12C5DE5B">
            <wp:extent cx="5669280" cy="218049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2_age_distribution.png"/>
                    <pic:cNvPicPr/>
                  </pic:nvPicPr>
                  <pic:blipFill>
                    <a:blip r:embed="rId7"/>
                    <a:stretch>
                      <a:fillRect/>
                    </a:stretch>
                  </pic:blipFill>
                  <pic:spPr>
                    <a:xfrm>
                      <a:off x="0" y="0"/>
                      <a:ext cx="5669280" cy="2180492"/>
                    </a:xfrm>
                    <a:prstGeom prst="rect">
                      <a:avLst/>
                    </a:prstGeom>
                  </pic:spPr>
                </pic:pic>
              </a:graphicData>
            </a:graphic>
          </wp:inline>
        </w:drawing>
      </w:r>
    </w:p>
    <w:p w14:paraId="61A19942" w14:textId="77777777" w:rsidR="00F13390" w:rsidRDefault="00000000">
      <w:r>
        <w:rPr>
          <w:rFonts w:ascii="Calibri" w:hAnsi="Calibri"/>
          <w:color w:val="2B2D42"/>
          <w:sz w:val="20"/>
        </w:rPr>
        <w:t>Empirical Observation: Non-surviving patients exhibited a mean age of 60.70 years, compared to 60.83 years among survivors. Stratified across age cohorts, the observed survival proportion was 38.35% in patients aged &lt;50, 38.00% in ages 50–64, 36.73% in ages 65–74, and 38.86% in ages 75+. The descriptive data shows an age-dispersed clinical cohort without establishing age as an isolated causal driver.</w:t>
      </w:r>
    </w:p>
    <w:p w14:paraId="0F8152D2" w14:textId="77777777" w:rsidR="00F13390" w:rsidRDefault="00000000">
      <w:pPr>
        <w:keepNext/>
        <w:spacing w:before="280" w:after="80"/>
      </w:pPr>
      <w:r>
        <w:rPr>
          <w:rFonts w:ascii="Calibri" w:hAnsi="Calibri"/>
          <w:b/>
          <w:color w:val="457B9D"/>
          <w:sz w:val="24"/>
        </w:rPr>
        <w:lastRenderedPageBreak/>
        <w:t>Chart 3: Smoking Risk Factor &amp; Exposure Intensity Analysis</w:t>
      </w:r>
    </w:p>
    <w:p w14:paraId="6F52ED98" w14:textId="77777777" w:rsidR="00F13390" w:rsidRDefault="00000000">
      <w:pPr>
        <w:jc w:val="center"/>
      </w:pPr>
      <w:r>
        <w:rPr>
          <w:noProof/>
        </w:rPr>
        <w:drawing>
          <wp:inline distT="0" distB="0" distL="0" distR="0" wp14:anchorId="4BF01795" wp14:editId="54C596C1">
            <wp:extent cx="5669280" cy="202474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3_smoking_analysis.png"/>
                    <pic:cNvPicPr/>
                  </pic:nvPicPr>
                  <pic:blipFill>
                    <a:blip r:embed="rId8"/>
                    <a:stretch>
                      <a:fillRect/>
                    </a:stretch>
                  </pic:blipFill>
                  <pic:spPr>
                    <a:xfrm>
                      <a:off x="0" y="0"/>
                      <a:ext cx="5669280" cy="2024743"/>
                    </a:xfrm>
                    <a:prstGeom prst="rect">
                      <a:avLst/>
                    </a:prstGeom>
                  </pic:spPr>
                </pic:pic>
              </a:graphicData>
            </a:graphic>
          </wp:inline>
        </w:drawing>
      </w:r>
    </w:p>
    <w:p w14:paraId="5B71DFF8" w14:textId="77777777" w:rsidR="00F13390" w:rsidRDefault="00000000">
      <w:r>
        <w:rPr>
          <w:rFonts w:ascii="Calibri" w:hAnsi="Calibri"/>
          <w:color w:val="2B2D42"/>
          <w:sz w:val="20"/>
        </w:rPr>
        <w:t>Empirical Observation: Within this dataset, Never Smoked individuals (N=1,311) exhibit a 42.49% survival proportion, compared to 32.55% among Former Smokers (N=212), and 27.25% among Current Smokers (N=477). While active tobacco exposure associates descriptively with lower survival proportions, these observational patterns represent clinical associations and cannot be interpreted as proving direct causation.</w:t>
      </w:r>
    </w:p>
    <w:p w14:paraId="3AAA21C2" w14:textId="77777777" w:rsidR="00F13390" w:rsidRDefault="00000000">
      <w:pPr>
        <w:keepNext/>
        <w:spacing w:before="280" w:after="80"/>
      </w:pPr>
      <w:r>
        <w:rPr>
          <w:rFonts w:ascii="Calibri" w:hAnsi="Calibri"/>
          <w:b/>
          <w:color w:val="457B9D"/>
          <w:sz w:val="24"/>
        </w:rPr>
        <w:t>Chart 4: Clinical Cancer Stage vs. Survival Outcome</w:t>
      </w:r>
    </w:p>
    <w:p w14:paraId="2BDDE233" w14:textId="77777777" w:rsidR="00F13390" w:rsidRDefault="00000000">
      <w:pPr>
        <w:jc w:val="center"/>
      </w:pPr>
      <w:r>
        <w:rPr>
          <w:noProof/>
        </w:rPr>
        <w:drawing>
          <wp:inline distT="0" distB="0" distL="0" distR="0" wp14:anchorId="3B354BF8" wp14:editId="06B04B7A">
            <wp:extent cx="5669280" cy="202474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4_cancer_stage.png"/>
                    <pic:cNvPicPr/>
                  </pic:nvPicPr>
                  <pic:blipFill>
                    <a:blip r:embed="rId9"/>
                    <a:stretch>
                      <a:fillRect/>
                    </a:stretch>
                  </pic:blipFill>
                  <pic:spPr>
                    <a:xfrm>
                      <a:off x="0" y="0"/>
                      <a:ext cx="5669280" cy="2024743"/>
                    </a:xfrm>
                    <a:prstGeom prst="rect">
                      <a:avLst/>
                    </a:prstGeom>
                  </pic:spPr>
                </pic:pic>
              </a:graphicData>
            </a:graphic>
          </wp:inline>
        </w:drawing>
      </w:r>
    </w:p>
    <w:p w14:paraId="7A3B8661" w14:textId="77777777" w:rsidR="00F13390" w:rsidRDefault="00000000">
      <w:r>
        <w:rPr>
          <w:rFonts w:ascii="Calibri" w:hAnsi="Calibri"/>
          <w:color w:val="2B2D42"/>
          <w:sz w:val="20"/>
        </w:rPr>
        <w:t>Empirical Observation: Survival rates vary substantially across clinical stages: Stage I patients (N=577) exhibit a 69.84% survival rate (403/577), Stage II patients (N=487) exhibit 50.72% (247/487), Stage III patients (N=460) exhibit 17.39% (80/460), and Stage IV patients (N=476) exhibit 5.46% (26/476). The descriptive data demonstrates an inverse relationship between anatomical stage advancement and survival rate.</w:t>
      </w:r>
    </w:p>
    <w:p w14:paraId="589F3EDB" w14:textId="77777777" w:rsidR="00F13390" w:rsidRDefault="00000000">
      <w:pPr>
        <w:keepNext/>
        <w:spacing w:before="280" w:after="80"/>
      </w:pPr>
      <w:r>
        <w:rPr>
          <w:rFonts w:ascii="Calibri" w:hAnsi="Calibri"/>
          <w:b/>
          <w:color w:val="457B9D"/>
          <w:sz w:val="24"/>
        </w:rPr>
        <w:lastRenderedPageBreak/>
        <w:t>Chart 5: Tumor Dimensions, Metastasis, and Therapeutic Regimens</w:t>
      </w:r>
    </w:p>
    <w:p w14:paraId="703B4F11" w14:textId="77777777" w:rsidR="00F13390" w:rsidRDefault="00000000">
      <w:pPr>
        <w:jc w:val="center"/>
      </w:pPr>
      <w:r>
        <w:rPr>
          <w:noProof/>
        </w:rPr>
        <w:drawing>
          <wp:inline distT="0" distB="0" distL="0" distR="0" wp14:anchorId="344C4DC1" wp14:editId="6E4FB50F">
            <wp:extent cx="5669280" cy="207873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5_clinical_treatment.png"/>
                    <pic:cNvPicPr/>
                  </pic:nvPicPr>
                  <pic:blipFill>
                    <a:blip r:embed="rId10"/>
                    <a:stretch>
                      <a:fillRect/>
                    </a:stretch>
                  </pic:blipFill>
                  <pic:spPr>
                    <a:xfrm>
                      <a:off x="0" y="0"/>
                      <a:ext cx="5669280" cy="2078736"/>
                    </a:xfrm>
                    <a:prstGeom prst="rect">
                      <a:avLst/>
                    </a:prstGeom>
                  </pic:spPr>
                </pic:pic>
              </a:graphicData>
            </a:graphic>
          </wp:inline>
        </w:drawing>
      </w:r>
    </w:p>
    <w:p w14:paraId="2E553484" w14:textId="77777777" w:rsidR="00F13390" w:rsidRDefault="00000000">
      <w:r>
        <w:rPr>
          <w:rFonts w:ascii="Calibri" w:hAnsi="Calibri"/>
          <w:color w:val="2B2D42"/>
          <w:sz w:val="20"/>
        </w:rPr>
        <w:t>Empirical Observation: Patients with verified Metastasis had a mean tumor size of 6.87 cm compared to 3.65 cm in non-metastatic patients. Across therapeutic categories, the highest survival rates occurred in cohorts receiving localized Surgery (64.88%) and Surgery + Chemotherapy (52.41%), whereas Palliative Care exhibited an observed survival rate of 13.73%. These observations reflect clinical indication confounding (surgical eligibility in early stages vs. palliative management in advanced metastatic cohorts) rather than treatment superiority.</w:t>
      </w:r>
    </w:p>
    <w:p w14:paraId="15CC70D1" w14:textId="77777777" w:rsidR="00F13390" w:rsidRDefault="00000000">
      <w:r>
        <w:br w:type="page"/>
      </w:r>
    </w:p>
    <w:p w14:paraId="5F10B2A1" w14:textId="77777777" w:rsidR="00F13390" w:rsidRDefault="00000000">
      <w:pPr>
        <w:keepNext/>
        <w:spacing w:before="280" w:after="80"/>
      </w:pPr>
      <w:r>
        <w:rPr>
          <w:rFonts w:ascii="Calibri" w:hAnsi="Calibri"/>
          <w:b/>
          <w:color w:val="1D3557"/>
          <w:sz w:val="30"/>
        </w:rPr>
        <w:lastRenderedPageBreak/>
        <w:t>7. Predictive Modeling &amp; Target Leakage Prevention — Level 3</w:t>
      </w:r>
    </w:p>
    <w:p w14:paraId="1EA1A6E1" w14:textId="77777777" w:rsidR="00F13390" w:rsidRDefault="00000000">
      <w:pPr>
        <w:spacing w:after="120"/>
      </w:pPr>
      <w:r>
        <w:rPr>
          <w:rFonts w:ascii="Calibri" w:hAnsi="Calibri"/>
          <w:color w:val="2B2D42"/>
          <w:sz w:val="20"/>
        </w:rPr>
        <w:t>Target Leakage Prevention Protocol: A predictive model deployed at the point of diagnostic confirmation cannot know post-diagnosis events. We explicitly removed Survival_Months from all feature sets because it reflects the post-diagnosis duration lived by the patient. Allowing Survival_Months into the feature space induces catastrophic target leakage where the model trivially infers survival status from duration. Additionally, Patient_ID was removed to prevent arbitrary ID memorization, and calendar dates were excluded. Feature engineering utilized 36 valid baseline pre-treatment clinical predictors processed via a scikit-learn ColumnTransformer (StandardScaler for numerical, OneHotEncoder for categorical).</w:t>
      </w:r>
    </w:p>
    <w:p w14:paraId="3A8BB7CB" w14:textId="77777777" w:rsidR="00F13390" w:rsidRDefault="00000000">
      <w:pPr>
        <w:keepNext/>
        <w:spacing w:before="280" w:after="80"/>
      </w:pPr>
      <w:r>
        <w:rPr>
          <w:rFonts w:ascii="Calibri" w:hAnsi="Calibri"/>
          <w:b/>
          <w:color w:val="1D3557"/>
          <w:sz w:val="30"/>
        </w:rPr>
        <w:t>8. Model Evaluation &amp; Performance Metrics (Test Split: N=400)</w:t>
      </w:r>
    </w:p>
    <w:tbl>
      <w:tblPr>
        <w:tblW w:w="0" w:type="auto"/>
        <w:jc w:val="center"/>
        <w:tblLook w:val="04A0" w:firstRow="1" w:lastRow="0" w:firstColumn="1" w:lastColumn="0" w:noHBand="0" w:noVBand="1"/>
      </w:tblPr>
      <w:tblGrid>
        <w:gridCol w:w="1656"/>
        <w:gridCol w:w="1656"/>
        <w:gridCol w:w="1656"/>
        <w:gridCol w:w="1656"/>
        <w:gridCol w:w="1656"/>
        <w:gridCol w:w="1656"/>
      </w:tblGrid>
      <w:tr w:rsidR="00F13390" w14:paraId="1DE48262" w14:textId="77777777">
        <w:trPr>
          <w:jc w:val="center"/>
        </w:trPr>
        <w:tc>
          <w:tcPr>
            <w:tcW w:w="1656" w:type="dxa"/>
            <w:shd w:val="clear" w:color="auto" w:fill="1D3557"/>
            <w:tcMar>
              <w:top w:w="80" w:type="dxa"/>
              <w:left w:w="100" w:type="dxa"/>
              <w:bottom w:w="80" w:type="dxa"/>
              <w:right w:w="100" w:type="dxa"/>
            </w:tcMar>
          </w:tcPr>
          <w:p w14:paraId="1D16A71D" w14:textId="77777777" w:rsidR="00F13390" w:rsidRDefault="00000000">
            <w:r>
              <w:rPr>
                <w:b/>
                <w:color w:val="FFFFFF"/>
                <w:sz w:val="19"/>
              </w:rPr>
              <w:t>Model Architecture</w:t>
            </w:r>
          </w:p>
        </w:tc>
        <w:tc>
          <w:tcPr>
            <w:tcW w:w="1656" w:type="dxa"/>
            <w:shd w:val="clear" w:color="auto" w:fill="1D3557"/>
            <w:tcMar>
              <w:top w:w="80" w:type="dxa"/>
              <w:left w:w="100" w:type="dxa"/>
              <w:bottom w:w="80" w:type="dxa"/>
              <w:right w:w="100" w:type="dxa"/>
            </w:tcMar>
          </w:tcPr>
          <w:p w14:paraId="0915B823" w14:textId="77777777" w:rsidR="00F13390" w:rsidRDefault="00000000">
            <w:r>
              <w:rPr>
                <w:b/>
                <w:color w:val="FFFFFF"/>
                <w:sz w:val="19"/>
              </w:rPr>
              <w:t>Accuracy</w:t>
            </w:r>
          </w:p>
        </w:tc>
        <w:tc>
          <w:tcPr>
            <w:tcW w:w="1656" w:type="dxa"/>
            <w:shd w:val="clear" w:color="auto" w:fill="1D3557"/>
            <w:tcMar>
              <w:top w:w="80" w:type="dxa"/>
              <w:left w:w="100" w:type="dxa"/>
              <w:bottom w:w="80" w:type="dxa"/>
              <w:right w:w="100" w:type="dxa"/>
            </w:tcMar>
          </w:tcPr>
          <w:p w14:paraId="2145DDD3" w14:textId="77777777" w:rsidR="00F13390" w:rsidRDefault="00000000">
            <w:r>
              <w:rPr>
                <w:b/>
                <w:color w:val="FFFFFF"/>
                <w:sz w:val="19"/>
              </w:rPr>
              <w:t>Precision</w:t>
            </w:r>
          </w:p>
        </w:tc>
        <w:tc>
          <w:tcPr>
            <w:tcW w:w="1656" w:type="dxa"/>
            <w:shd w:val="clear" w:color="auto" w:fill="1D3557"/>
            <w:tcMar>
              <w:top w:w="80" w:type="dxa"/>
              <w:left w:w="100" w:type="dxa"/>
              <w:bottom w:w="80" w:type="dxa"/>
              <w:right w:w="100" w:type="dxa"/>
            </w:tcMar>
          </w:tcPr>
          <w:p w14:paraId="105BA998" w14:textId="77777777" w:rsidR="00F13390" w:rsidRDefault="00000000">
            <w:r>
              <w:rPr>
                <w:b/>
                <w:color w:val="FFFFFF"/>
                <w:sz w:val="19"/>
              </w:rPr>
              <w:t>Recall</w:t>
            </w:r>
          </w:p>
        </w:tc>
        <w:tc>
          <w:tcPr>
            <w:tcW w:w="1656" w:type="dxa"/>
            <w:shd w:val="clear" w:color="auto" w:fill="1D3557"/>
            <w:tcMar>
              <w:top w:w="80" w:type="dxa"/>
              <w:left w:w="100" w:type="dxa"/>
              <w:bottom w:w="80" w:type="dxa"/>
              <w:right w:w="100" w:type="dxa"/>
            </w:tcMar>
          </w:tcPr>
          <w:p w14:paraId="2785D9B4" w14:textId="77777777" w:rsidR="00F13390" w:rsidRDefault="00000000">
            <w:r>
              <w:rPr>
                <w:b/>
                <w:color w:val="FFFFFF"/>
                <w:sz w:val="19"/>
              </w:rPr>
              <w:t>F1-Score</w:t>
            </w:r>
          </w:p>
        </w:tc>
        <w:tc>
          <w:tcPr>
            <w:tcW w:w="1656" w:type="dxa"/>
            <w:shd w:val="clear" w:color="auto" w:fill="1D3557"/>
            <w:tcMar>
              <w:top w:w="80" w:type="dxa"/>
              <w:left w:w="100" w:type="dxa"/>
              <w:bottom w:w="80" w:type="dxa"/>
              <w:right w:w="100" w:type="dxa"/>
            </w:tcMar>
          </w:tcPr>
          <w:p w14:paraId="54FD8BAE" w14:textId="77777777" w:rsidR="00F13390" w:rsidRDefault="00000000">
            <w:r>
              <w:rPr>
                <w:b/>
                <w:color w:val="FFFFFF"/>
                <w:sz w:val="19"/>
              </w:rPr>
              <w:t>ROC-AUC</w:t>
            </w:r>
          </w:p>
        </w:tc>
      </w:tr>
      <w:tr w:rsidR="00F13390" w14:paraId="46C4588F" w14:textId="77777777">
        <w:trPr>
          <w:jc w:val="center"/>
        </w:trPr>
        <w:tc>
          <w:tcPr>
            <w:tcW w:w="1656" w:type="dxa"/>
            <w:shd w:val="clear" w:color="auto" w:fill="F8F9FA"/>
            <w:tcMar>
              <w:top w:w="60" w:type="dxa"/>
              <w:left w:w="90" w:type="dxa"/>
              <w:bottom w:w="60" w:type="dxa"/>
              <w:right w:w="90" w:type="dxa"/>
            </w:tcMar>
          </w:tcPr>
          <w:p w14:paraId="626A99DB" w14:textId="77777777" w:rsidR="00F13390" w:rsidRDefault="00000000">
            <w:r>
              <w:rPr>
                <w:b/>
                <w:sz w:val="18"/>
              </w:rPr>
              <w:t>Logistic Regression</w:t>
            </w:r>
          </w:p>
        </w:tc>
        <w:tc>
          <w:tcPr>
            <w:tcW w:w="1656" w:type="dxa"/>
            <w:shd w:val="clear" w:color="auto" w:fill="F8F9FA"/>
            <w:tcMar>
              <w:top w:w="60" w:type="dxa"/>
              <w:left w:w="90" w:type="dxa"/>
              <w:bottom w:w="60" w:type="dxa"/>
              <w:right w:w="90" w:type="dxa"/>
            </w:tcMar>
          </w:tcPr>
          <w:p w14:paraId="2E9D3F80" w14:textId="77777777" w:rsidR="00F13390" w:rsidRDefault="00000000">
            <w:r>
              <w:rPr>
                <w:sz w:val="18"/>
              </w:rPr>
              <w:t>0.7025 (70.25%)</w:t>
            </w:r>
          </w:p>
        </w:tc>
        <w:tc>
          <w:tcPr>
            <w:tcW w:w="1656" w:type="dxa"/>
            <w:shd w:val="clear" w:color="auto" w:fill="F8F9FA"/>
            <w:tcMar>
              <w:top w:w="60" w:type="dxa"/>
              <w:left w:w="90" w:type="dxa"/>
              <w:bottom w:w="60" w:type="dxa"/>
              <w:right w:w="90" w:type="dxa"/>
            </w:tcMar>
          </w:tcPr>
          <w:p w14:paraId="6199DC47" w14:textId="77777777" w:rsidR="00F13390" w:rsidRDefault="00000000">
            <w:r>
              <w:rPr>
                <w:sz w:val="18"/>
              </w:rPr>
              <w:t>0.5777 (57.77%)</w:t>
            </w:r>
          </w:p>
        </w:tc>
        <w:tc>
          <w:tcPr>
            <w:tcW w:w="1656" w:type="dxa"/>
            <w:shd w:val="clear" w:color="auto" w:fill="F8F9FA"/>
            <w:tcMar>
              <w:top w:w="60" w:type="dxa"/>
              <w:left w:w="90" w:type="dxa"/>
              <w:bottom w:w="60" w:type="dxa"/>
              <w:right w:w="90" w:type="dxa"/>
            </w:tcMar>
          </w:tcPr>
          <w:p w14:paraId="66A47445" w14:textId="77777777" w:rsidR="00F13390" w:rsidRDefault="00000000">
            <w:r>
              <w:rPr>
                <w:sz w:val="18"/>
              </w:rPr>
              <w:t>0.7881 (78.81%)</w:t>
            </w:r>
          </w:p>
        </w:tc>
        <w:tc>
          <w:tcPr>
            <w:tcW w:w="1656" w:type="dxa"/>
            <w:shd w:val="clear" w:color="auto" w:fill="F8F9FA"/>
            <w:tcMar>
              <w:top w:w="60" w:type="dxa"/>
              <w:left w:w="90" w:type="dxa"/>
              <w:bottom w:w="60" w:type="dxa"/>
              <w:right w:w="90" w:type="dxa"/>
            </w:tcMar>
          </w:tcPr>
          <w:p w14:paraId="4E0D6B29" w14:textId="77777777" w:rsidR="00F13390" w:rsidRDefault="00000000">
            <w:r>
              <w:rPr>
                <w:sz w:val="18"/>
              </w:rPr>
              <w:t>0.6667</w:t>
            </w:r>
          </w:p>
        </w:tc>
        <w:tc>
          <w:tcPr>
            <w:tcW w:w="1656" w:type="dxa"/>
            <w:shd w:val="clear" w:color="auto" w:fill="F8F9FA"/>
            <w:tcMar>
              <w:top w:w="60" w:type="dxa"/>
              <w:left w:w="90" w:type="dxa"/>
              <w:bottom w:w="60" w:type="dxa"/>
              <w:right w:w="90" w:type="dxa"/>
            </w:tcMar>
          </w:tcPr>
          <w:p w14:paraId="73D4D38A" w14:textId="77777777" w:rsidR="00F13390" w:rsidRDefault="00000000">
            <w:r>
              <w:rPr>
                <w:sz w:val="18"/>
              </w:rPr>
              <w:t>0.7562</w:t>
            </w:r>
          </w:p>
        </w:tc>
      </w:tr>
      <w:tr w:rsidR="00F13390" w14:paraId="4E70D225" w14:textId="77777777">
        <w:trPr>
          <w:jc w:val="center"/>
        </w:trPr>
        <w:tc>
          <w:tcPr>
            <w:tcW w:w="1656" w:type="dxa"/>
            <w:shd w:val="clear" w:color="auto" w:fill="FFFFFF"/>
            <w:tcMar>
              <w:top w:w="60" w:type="dxa"/>
              <w:left w:w="90" w:type="dxa"/>
              <w:bottom w:w="60" w:type="dxa"/>
              <w:right w:w="90" w:type="dxa"/>
            </w:tcMar>
          </w:tcPr>
          <w:p w14:paraId="75863080" w14:textId="77777777" w:rsidR="00F13390" w:rsidRDefault="00000000">
            <w:r>
              <w:rPr>
                <w:b/>
                <w:sz w:val="18"/>
              </w:rPr>
              <w:t>Random Forest Classifier</w:t>
            </w:r>
          </w:p>
        </w:tc>
        <w:tc>
          <w:tcPr>
            <w:tcW w:w="1656" w:type="dxa"/>
            <w:shd w:val="clear" w:color="auto" w:fill="FFFFFF"/>
            <w:tcMar>
              <w:top w:w="60" w:type="dxa"/>
              <w:left w:w="90" w:type="dxa"/>
              <w:bottom w:w="60" w:type="dxa"/>
              <w:right w:w="90" w:type="dxa"/>
            </w:tcMar>
          </w:tcPr>
          <w:p w14:paraId="37FF9470" w14:textId="77777777" w:rsidR="00F13390" w:rsidRDefault="00000000">
            <w:r>
              <w:rPr>
                <w:sz w:val="18"/>
              </w:rPr>
              <w:t>0.6950 (69.50%)</w:t>
            </w:r>
          </w:p>
        </w:tc>
        <w:tc>
          <w:tcPr>
            <w:tcW w:w="1656" w:type="dxa"/>
            <w:shd w:val="clear" w:color="auto" w:fill="FFFFFF"/>
            <w:tcMar>
              <w:top w:w="60" w:type="dxa"/>
              <w:left w:w="90" w:type="dxa"/>
              <w:bottom w:w="60" w:type="dxa"/>
              <w:right w:w="90" w:type="dxa"/>
            </w:tcMar>
          </w:tcPr>
          <w:p w14:paraId="62EE62EE" w14:textId="77777777" w:rsidR="00F13390" w:rsidRDefault="00000000">
            <w:r>
              <w:rPr>
                <w:sz w:val="18"/>
              </w:rPr>
              <w:t>0.5707 (57.07%)</w:t>
            </w:r>
          </w:p>
        </w:tc>
        <w:tc>
          <w:tcPr>
            <w:tcW w:w="1656" w:type="dxa"/>
            <w:shd w:val="clear" w:color="auto" w:fill="FFFFFF"/>
            <w:tcMar>
              <w:top w:w="60" w:type="dxa"/>
              <w:left w:w="90" w:type="dxa"/>
              <w:bottom w:w="60" w:type="dxa"/>
              <w:right w:w="90" w:type="dxa"/>
            </w:tcMar>
          </w:tcPr>
          <w:p w14:paraId="6E5620EC" w14:textId="77777777" w:rsidR="00F13390" w:rsidRDefault="00000000">
            <w:r>
              <w:rPr>
                <w:sz w:val="18"/>
              </w:rPr>
              <w:t>0.7748 (77.48%)</w:t>
            </w:r>
          </w:p>
        </w:tc>
        <w:tc>
          <w:tcPr>
            <w:tcW w:w="1656" w:type="dxa"/>
            <w:shd w:val="clear" w:color="auto" w:fill="FFFFFF"/>
            <w:tcMar>
              <w:top w:w="60" w:type="dxa"/>
              <w:left w:w="90" w:type="dxa"/>
              <w:bottom w:w="60" w:type="dxa"/>
              <w:right w:w="90" w:type="dxa"/>
            </w:tcMar>
          </w:tcPr>
          <w:p w14:paraId="7939DD1D" w14:textId="77777777" w:rsidR="00F13390" w:rsidRDefault="00000000">
            <w:r>
              <w:rPr>
                <w:sz w:val="18"/>
              </w:rPr>
              <w:t>0.6573</w:t>
            </w:r>
          </w:p>
        </w:tc>
        <w:tc>
          <w:tcPr>
            <w:tcW w:w="1656" w:type="dxa"/>
            <w:shd w:val="clear" w:color="auto" w:fill="FFFFFF"/>
            <w:tcMar>
              <w:top w:w="60" w:type="dxa"/>
              <w:left w:w="90" w:type="dxa"/>
              <w:bottom w:w="60" w:type="dxa"/>
              <w:right w:w="90" w:type="dxa"/>
            </w:tcMar>
          </w:tcPr>
          <w:p w14:paraId="3BE4AA94" w14:textId="77777777" w:rsidR="00F13390" w:rsidRDefault="00000000">
            <w:r>
              <w:rPr>
                <w:sz w:val="18"/>
              </w:rPr>
              <w:t>0.7693</w:t>
            </w:r>
          </w:p>
        </w:tc>
      </w:tr>
    </w:tbl>
    <w:p w14:paraId="593AC23C" w14:textId="77777777" w:rsidR="00F13390" w:rsidRDefault="00000000">
      <w:pPr>
        <w:spacing w:after="120"/>
      </w:pPr>
      <w:r>
        <w:rPr>
          <w:rFonts w:ascii="Calibri" w:hAnsi="Calibri"/>
          <w:color w:val="2B2D42"/>
          <w:sz w:val="20"/>
        </w:rPr>
        <w:br/>
        <w:t>Confusion Matrix Breakdown (Test Set, N=400):</w:t>
      </w:r>
    </w:p>
    <w:p w14:paraId="3E3A6E1C" w14:textId="77777777" w:rsidR="00F13390" w:rsidRDefault="00000000">
      <w:pPr>
        <w:spacing w:after="120"/>
      </w:pPr>
      <w:r>
        <w:rPr>
          <w:rFonts w:ascii="Calibri" w:hAnsi="Calibri"/>
          <w:color w:val="2B2D42"/>
          <w:sz w:val="20"/>
        </w:rPr>
        <w:t>• Logistic Regression: True Negatives = 162, False Positives = 87, False Negatives = 32, True Positives = 119</w:t>
      </w:r>
    </w:p>
    <w:p w14:paraId="629EFABE" w14:textId="77777777" w:rsidR="00F13390" w:rsidRDefault="00000000">
      <w:pPr>
        <w:spacing w:after="120"/>
      </w:pPr>
      <w:r>
        <w:rPr>
          <w:rFonts w:ascii="Calibri" w:hAnsi="Calibri"/>
          <w:color w:val="2B2D42"/>
          <w:sz w:val="20"/>
        </w:rPr>
        <w:t>• Random Forest Classifier: True Negatives = 161, False Positives = 88, False Negatives = 34, True Positives = 117</w:t>
      </w:r>
    </w:p>
    <w:p w14:paraId="08062B4F" w14:textId="77777777" w:rsidR="00F13390" w:rsidRDefault="00000000">
      <w:pPr>
        <w:jc w:val="center"/>
      </w:pPr>
      <w:r>
        <w:rPr>
          <w:noProof/>
        </w:rPr>
        <w:drawing>
          <wp:inline distT="0" distB="0" distL="0" distR="0" wp14:anchorId="02E1F963" wp14:editId="32290509">
            <wp:extent cx="5669280" cy="218049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png"/>
                    <pic:cNvPicPr/>
                  </pic:nvPicPr>
                  <pic:blipFill>
                    <a:blip r:embed="rId11"/>
                    <a:stretch>
                      <a:fillRect/>
                    </a:stretch>
                  </pic:blipFill>
                  <pic:spPr>
                    <a:xfrm>
                      <a:off x="0" y="0"/>
                      <a:ext cx="5669280" cy="2180492"/>
                    </a:xfrm>
                    <a:prstGeom prst="rect">
                      <a:avLst/>
                    </a:prstGeom>
                  </pic:spPr>
                </pic:pic>
              </a:graphicData>
            </a:graphic>
          </wp:inline>
        </w:drawing>
      </w:r>
    </w:p>
    <w:p w14:paraId="6FB838D5" w14:textId="77777777" w:rsidR="00F13390" w:rsidRDefault="00000000">
      <w:pPr>
        <w:jc w:val="center"/>
      </w:pPr>
      <w:r>
        <w:rPr>
          <w:noProof/>
        </w:rPr>
        <w:lastRenderedPageBreak/>
        <w:drawing>
          <wp:inline distT="0" distB="0" distL="0" distR="0" wp14:anchorId="6AB2FB58" wp14:editId="6F613DFA">
            <wp:extent cx="4389120" cy="32918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curve.png"/>
                    <pic:cNvPicPr/>
                  </pic:nvPicPr>
                  <pic:blipFill>
                    <a:blip r:embed="rId12"/>
                    <a:stretch>
                      <a:fillRect/>
                    </a:stretch>
                  </pic:blipFill>
                  <pic:spPr>
                    <a:xfrm>
                      <a:off x="0" y="0"/>
                      <a:ext cx="4389120" cy="3291840"/>
                    </a:xfrm>
                    <a:prstGeom prst="rect">
                      <a:avLst/>
                    </a:prstGeom>
                  </pic:spPr>
                </pic:pic>
              </a:graphicData>
            </a:graphic>
          </wp:inline>
        </w:drawing>
      </w:r>
    </w:p>
    <w:p w14:paraId="096939FE" w14:textId="77777777" w:rsidR="00F13390" w:rsidRDefault="00000000">
      <w:pPr>
        <w:keepNext/>
        <w:spacing w:before="280" w:after="80"/>
      </w:pPr>
      <w:r>
        <w:rPr>
          <w:rFonts w:ascii="Calibri" w:hAnsi="Calibri"/>
          <w:b/>
          <w:color w:val="1D3557"/>
          <w:sz w:val="30"/>
        </w:rPr>
        <w:t>9. Feature Importance Analysis</w:t>
      </w:r>
    </w:p>
    <w:p w14:paraId="24E28D6E" w14:textId="77777777" w:rsidR="00F13390" w:rsidRDefault="00000000">
      <w:pPr>
        <w:jc w:val="center"/>
      </w:pPr>
      <w:r>
        <w:rPr>
          <w:noProof/>
        </w:rPr>
        <w:drawing>
          <wp:inline distT="0" distB="0" distL="0" distR="0" wp14:anchorId="009385F4" wp14:editId="368684EF">
            <wp:extent cx="5303520" cy="371246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importance.png"/>
                    <pic:cNvPicPr/>
                  </pic:nvPicPr>
                  <pic:blipFill>
                    <a:blip r:embed="rId13"/>
                    <a:stretch>
                      <a:fillRect/>
                    </a:stretch>
                  </pic:blipFill>
                  <pic:spPr>
                    <a:xfrm>
                      <a:off x="0" y="0"/>
                      <a:ext cx="5303520" cy="3712464"/>
                    </a:xfrm>
                    <a:prstGeom prst="rect">
                      <a:avLst/>
                    </a:prstGeom>
                  </pic:spPr>
                </pic:pic>
              </a:graphicData>
            </a:graphic>
          </wp:inline>
        </w:drawing>
      </w:r>
    </w:p>
    <w:p w14:paraId="22588BBB" w14:textId="77777777" w:rsidR="00F13390" w:rsidRDefault="00000000">
      <w:pPr>
        <w:spacing w:after="120"/>
      </w:pPr>
      <w:r>
        <w:rPr>
          <w:rFonts w:ascii="Calibri" w:hAnsi="Calibri"/>
          <w:color w:val="2B2D42"/>
          <w:sz w:val="20"/>
        </w:rPr>
        <w:t>Top Predictive Features (Gini Importance): Tumor_Size_cm (10.53%), Stage I (6.31%), Stage IV (5.49%), Metastasis (9.26%), Stage III (4.49%), BMI (3.35%), and Age (2.98%). Feature importance reflects mathematical contribution to decision tree variance reduction and predictive association, not biological causality.</w:t>
      </w:r>
    </w:p>
    <w:p w14:paraId="39F54573" w14:textId="77777777" w:rsidR="00F13390" w:rsidRDefault="00000000">
      <w:r>
        <w:br w:type="page"/>
      </w:r>
    </w:p>
    <w:p w14:paraId="11760F51" w14:textId="77777777" w:rsidR="00F13390" w:rsidRDefault="00000000">
      <w:pPr>
        <w:keepNext/>
        <w:spacing w:before="280" w:after="80"/>
      </w:pPr>
      <w:r>
        <w:rPr>
          <w:rFonts w:ascii="Calibri" w:hAnsi="Calibri"/>
          <w:b/>
          <w:color w:val="1D3557"/>
          <w:sz w:val="30"/>
        </w:rPr>
        <w:lastRenderedPageBreak/>
        <w:t>10. Prescriptive Strategy &amp; Operational Levers — Level 4</w:t>
      </w:r>
    </w:p>
    <w:p w14:paraId="7936554A" w14:textId="77777777" w:rsidR="00F13390" w:rsidRDefault="00000000">
      <w:pPr>
        <w:spacing w:after="120"/>
      </w:pPr>
      <w:r>
        <w:rPr>
          <w:rFonts w:ascii="Calibri" w:hAnsi="Calibri"/>
          <w:color w:val="2B2D42"/>
          <w:sz w:val="20"/>
        </w:rPr>
        <w:t>Risk Prioritization Framework: Patients are ranked according to their predicted probability of an unfavorable survival outcome (P(Survived = No) = 1 - P(Survived = Yes)). Risk banding segments the cohort into High Predicted Risk (Top 25%, P &gt;= 0.70), Medium Predicted Risk (Next 50%, 0.45 &lt;= P &lt; 0.70), and Lower Predicted Risk (Bottom 25%, P &lt; 0.45).</w:t>
      </w:r>
    </w:p>
    <w:p w14:paraId="3472E0EF" w14:textId="77777777" w:rsidR="00F13390" w:rsidRDefault="00000000">
      <w:pPr>
        <w:spacing w:after="120"/>
      </w:pPr>
      <w:r>
        <w:rPr>
          <w:rFonts w:ascii="Calibri" w:hAnsi="Calibri"/>
          <w:color w:val="2B2D42"/>
          <w:sz w:val="20"/>
        </w:rPr>
        <w:t>Resource-Constrained Operational Rule (Top 10% Review Capacity): Assuming limited clinical audit capacity to manually review only the top 10% of patients (200 patients in the 2,000 cohort):</w:t>
      </w:r>
    </w:p>
    <w:tbl>
      <w:tblPr>
        <w:tblW w:w="0" w:type="auto"/>
        <w:jc w:val="center"/>
        <w:tblLook w:val="04A0" w:firstRow="1" w:lastRow="0" w:firstColumn="1" w:lastColumn="0" w:noHBand="0" w:noVBand="1"/>
      </w:tblPr>
      <w:tblGrid>
        <w:gridCol w:w="4032"/>
        <w:gridCol w:w="5616"/>
      </w:tblGrid>
      <w:tr w:rsidR="00F13390" w14:paraId="11CF4929" w14:textId="77777777">
        <w:trPr>
          <w:jc w:val="center"/>
        </w:trPr>
        <w:tc>
          <w:tcPr>
            <w:tcW w:w="4032" w:type="dxa"/>
            <w:shd w:val="clear" w:color="auto" w:fill="EBF2F7"/>
            <w:tcMar>
              <w:top w:w="60" w:type="dxa"/>
              <w:left w:w="100" w:type="dxa"/>
              <w:bottom w:w="60" w:type="dxa"/>
              <w:right w:w="100" w:type="dxa"/>
            </w:tcMar>
          </w:tcPr>
          <w:p w14:paraId="362BFDC7" w14:textId="77777777" w:rsidR="00F13390" w:rsidRDefault="00000000">
            <w:r>
              <w:rPr>
                <w:b/>
                <w:sz w:val="18"/>
              </w:rPr>
              <w:t>Total Cohort Volume</w:t>
            </w:r>
          </w:p>
        </w:tc>
        <w:tc>
          <w:tcPr>
            <w:tcW w:w="5616" w:type="dxa"/>
            <w:shd w:val="clear" w:color="auto" w:fill="F8F9FA"/>
            <w:tcMar>
              <w:top w:w="60" w:type="dxa"/>
              <w:left w:w="100" w:type="dxa"/>
              <w:bottom w:w="60" w:type="dxa"/>
              <w:right w:w="100" w:type="dxa"/>
            </w:tcMar>
          </w:tcPr>
          <w:p w14:paraId="50B383AC" w14:textId="77777777" w:rsidR="00F13390" w:rsidRDefault="00000000">
            <w:r>
              <w:rPr>
                <w:sz w:val="18"/>
              </w:rPr>
              <w:t>2,000 patients</w:t>
            </w:r>
          </w:p>
        </w:tc>
      </w:tr>
      <w:tr w:rsidR="00F13390" w14:paraId="20CDB87B" w14:textId="77777777">
        <w:trPr>
          <w:jc w:val="center"/>
        </w:trPr>
        <w:tc>
          <w:tcPr>
            <w:tcW w:w="4032" w:type="dxa"/>
            <w:shd w:val="clear" w:color="auto" w:fill="EBF2F7"/>
            <w:tcMar>
              <w:top w:w="60" w:type="dxa"/>
              <w:left w:w="100" w:type="dxa"/>
              <w:bottom w:w="60" w:type="dxa"/>
              <w:right w:w="100" w:type="dxa"/>
            </w:tcMar>
          </w:tcPr>
          <w:p w14:paraId="58365E0B" w14:textId="77777777" w:rsidR="00F13390" w:rsidRDefault="00000000">
            <w:r>
              <w:rPr>
                <w:b/>
                <w:sz w:val="18"/>
              </w:rPr>
              <w:t>Top 10% Audit Queue Capacity</w:t>
            </w:r>
          </w:p>
        </w:tc>
        <w:tc>
          <w:tcPr>
            <w:tcW w:w="5616" w:type="dxa"/>
            <w:shd w:val="clear" w:color="auto" w:fill="F8F9FA"/>
            <w:tcMar>
              <w:top w:w="60" w:type="dxa"/>
              <w:left w:w="100" w:type="dxa"/>
              <w:bottom w:w="60" w:type="dxa"/>
              <w:right w:w="100" w:type="dxa"/>
            </w:tcMar>
          </w:tcPr>
          <w:p w14:paraId="38C2B605" w14:textId="77777777" w:rsidR="00F13390" w:rsidRDefault="00000000">
            <w:r>
              <w:rPr>
                <w:sz w:val="18"/>
              </w:rPr>
              <w:t>200 patients flagged for prioritized review</w:t>
            </w:r>
          </w:p>
        </w:tc>
      </w:tr>
      <w:tr w:rsidR="00F13390" w14:paraId="156C841D" w14:textId="77777777">
        <w:trPr>
          <w:jc w:val="center"/>
        </w:trPr>
        <w:tc>
          <w:tcPr>
            <w:tcW w:w="4032" w:type="dxa"/>
            <w:shd w:val="clear" w:color="auto" w:fill="EBF2F7"/>
            <w:tcMar>
              <w:top w:w="60" w:type="dxa"/>
              <w:left w:w="100" w:type="dxa"/>
              <w:bottom w:w="60" w:type="dxa"/>
              <w:right w:w="100" w:type="dxa"/>
            </w:tcMar>
          </w:tcPr>
          <w:p w14:paraId="0F2B1849" w14:textId="77777777" w:rsidR="00F13390" w:rsidRDefault="00000000">
            <w:r>
              <w:rPr>
                <w:b/>
                <w:sz w:val="18"/>
              </w:rPr>
              <w:t>Mean Predicted Unfavorable Probability in Queue</w:t>
            </w:r>
          </w:p>
        </w:tc>
        <w:tc>
          <w:tcPr>
            <w:tcW w:w="5616" w:type="dxa"/>
            <w:shd w:val="clear" w:color="auto" w:fill="F8F9FA"/>
            <w:tcMar>
              <w:top w:w="60" w:type="dxa"/>
              <w:left w:w="100" w:type="dxa"/>
              <w:bottom w:w="60" w:type="dxa"/>
              <w:right w:w="100" w:type="dxa"/>
            </w:tcMar>
          </w:tcPr>
          <w:p w14:paraId="034F5495" w14:textId="77777777" w:rsidR="00F13390" w:rsidRDefault="00000000">
            <w:r>
              <w:rPr>
                <w:b/>
                <w:color w:val="1D3557"/>
                <w:sz w:val="18"/>
              </w:rPr>
              <w:t>95.98% (vs. cohort average of 62.20%)</w:t>
            </w:r>
          </w:p>
        </w:tc>
      </w:tr>
      <w:tr w:rsidR="00F13390" w14:paraId="1CC131A6" w14:textId="77777777">
        <w:trPr>
          <w:jc w:val="center"/>
        </w:trPr>
        <w:tc>
          <w:tcPr>
            <w:tcW w:w="4032" w:type="dxa"/>
            <w:shd w:val="clear" w:color="auto" w:fill="EBF2F7"/>
            <w:tcMar>
              <w:top w:w="60" w:type="dxa"/>
              <w:left w:w="100" w:type="dxa"/>
              <w:bottom w:w="60" w:type="dxa"/>
              <w:right w:w="100" w:type="dxa"/>
            </w:tcMar>
          </w:tcPr>
          <w:p w14:paraId="7F1517E9" w14:textId="77777777" w:rsidR="00F13390" w:rsidRDefault="00000000">
            <w:r>
              <w:rPr>
                <w:b/>
                <w:sz w:val="18"/>
              </w:rPr>
              <w:t>Distant Metastasis Rate in Queue</w:t>
            </w:r>
          </w:p>
        </w:tc>
        <w:tc>
          <w:tcPr>
            <w:tcW w:w="5616" w:type="dxa"/>
            <w:shd w:val="clear" w:color="auto" w:fill="F8F9FA"/>
            <w:tcMar>
              <w:top w:w="60" w:type="dxa"/>
              <w:left w:w="100" w:type="dxa"/>
              <w:bottom w:w="60" w:type="dxa"/>
              <w:right w:w="100" w:type="dxa"/>
            </w:tcMar>
          </w:tcPr>
          <w:p w14:paraId="67435282" w14:textId="77777777" w:rsidR="00F13390" w:rsidRDefault="00000000">
            <w:r>
              <w:rPr>
                <w:b/>
                <w:color w:val="1D3557"/>
                <w:sz w:val="18"/>
              </w:rPr>
              <w:t>100.0% (all 200 patients present with metastasis)</w:t>
            </w:r>
          </w:p>
        </w:tc>
      </w:tr>
      <w:tr w:rsidR="00F13390" w14:paraId="5F28D137" w14:textId="77777777">
        <w:trPr>
          <w:jc w:val="center"/>
        </w:trPr>
        <w:tc>
          <w:tcPr>
            <w:tcW w:w="4032" w:type="dxa"/>
            <w:shd w:val="clear" w:color="auto" w:fill="EBF2F7"/>
            <w:tcMar>
              <w:top w:w="60" w:type="dxa"/>
              <w:left w:w="100" w:type="dxa"/>
              <w:bottom w:w="60" w:type="dxa"/>
              <w:right w:w="100" w:type="dxa"/>
            </w:tcMar>
          </w:tcPr>
          <w:p w14:paraId="3A9A80C7" w14:textId="77777777" w:rsidR="00F13390" w:rsidRDefault="00000000">
            <w:r>
              <w:rPr>
                <w:b/>
                <w:sz w:val="18"/>
              </w:rPr>
              <w:t>Mean Tumor Diameter in Queue</w:t>
            </w:r>
          </w:p>
        </w:tc>
        <w:tc>
          <w:tcPr>
            <w:tcW w:w="5616" w:type="dxa"/>
            <w:shd w:val="clear" w:color="auto" w:fill="F8F9FA"/>
            <w:tcMar>
              <w:top w:w="60" w:type="dxa"/>
              <w:left w:w="100" w:type="dxa"/>
              <w:bottom w:w="60" w:type="dxa"/>
              <w:right w:w="100" w:type="dxa"/>
            </w:tcMar>
          </w:tcPr>
          <w:p w14:paraId="544B131B" w14:textId="77777777" w:rsidR="00F13390" w:rsidRDefault="00000000">
            <w:r>
              <w:rPr>
                <w:sz w:val="18"/>
              </w:rPr>
              <w:t>7.50 cm (vs. cohort baseline of 4.55 cm)</w:t>
            </w:r>
          </w:p>
        </w:tc>
      </w:tr>
      <w:tr w:rsidR="00F13390" w14:paraId="4FDC0736" w14:textId="77777777">
        <w:trPr>
          <w:jc w:val="center"/>
        </w:trPr>
        <w:tc>
          <w:tcPr>
            <w:tcW w:w="4032" w:type="dxa"/>
            <w:shd w:val="clear" w:color="auto" w:fill="EBF2F7"/>
            <w:tcMar>
              <w:top w:w="60" w:type="dxa"/>
              <w:left w:w="100" w:type="dxa"/>
              <w:bottom w:w="60" w:type="dxa"/>
              <w:right w:w="100" w:type="dxa"/>
            </w:tcMar>
          </w:tcPr>
          <w:p w14:paraId="3BEF2617" w14:textId="77777777" w:rsidR="00F13390" w:rsidRDefault="00000000">
            <w:r>
              <w:rPr>
                <w:b/>
                <w:sz w:val="18"/>
              </w:rPr>
              <w:t>Stage IV Prevalence in Queue</w:t>
            </w:r>
          </w:p>
        </w:tc>
        <w:tc>
          <w:tcPr>
            <w:tcW w:w="5616" w:type="dxa"/>
            <w:shd w:val="clear" w:color="auto" w:fill="F8F9FA"/>
            <w:tcMar>
              <w:top w:w="60" w:type="dxa"/>
              <w:left w:w="100" w:type="dxa"/>
              <w:bottom w:w="60" w:type="dxa"/>
              <w:right w:w="100" w:type="dxa"/>
            </w:tcMar>
          </w:tcPr>
          <w:p w14:paraId="6095048A" w14:textId="77777777" w:rsidR="00F13390" w:rsidRDefault="00000000">
            <w:r>
              <w:rPr>
                <w:b/>
                <w:color w:val="1D3557"/>
                <w:sz w:val="18"/>
              </w:rPr>
              <w:t>100.0% (all 200 patients are Stage IV)</w:t>
            </w:r>
          </w:p>
        </w:tc>
      </w:tr>
    </w:tbl>
    <w:p w14:paraId="470D7DBB" w14:textId="77777777" w:rsidR="00F13390" w:rsidRDefault="00000000">
      <w:pPr>
        <w:keepNext/>
        <w:spacing w:before="280" w:after="80"/>
      </w:pPr>
      <w:r>
        <w:rPr>
          <w:rFonts w:ascii="Calibri" w:hAnsi="Calibri"/>
          <w:b/>
          <w:color w:val="1D3557"/>
          <w:sz w:val="30"/>
        </w:rPr>
        <w:t>11. Prescriptive Recommendations</w:t>
      </w:r>
    </w:p>
    <w:p w14:paraId="6B9D43FA" w14:textId="77777777" w:rsidR="00F13390" w:rsidRDefault="00000000">
      <w:pPr>
        <w:spacing w:before="120" w:after="80"/>
      </w:pPr>
      <w:r>
        <w:rPr>
          <w:b/>
          <w:color w:val="1D3557"/>
          <w:sz w:val="21"/>
        </w:rPr>
        <w:t>Recommendation 1: Automated Multidisciplinary Team (MDT) Triage</w:t>
      </w:r>
    </w:p>
    <w:p w14:paraId="0B45ADE2" w14:textId="77777777" w:rsidR="00F13390" w:rsidRDefault="00000000">
      <w:pPr>
        <w:spacing w:after="120"/>
      </w:pPr>
      <w:r>
        <w:rPr>
          <w:rFonts w:ascii="Calibri" w:hAnsi="Calibri"/>
          <w:color w:val="2B2D42"/>
          <w:sz w:val="20"/>
        </w:rPr>
        <w:t>Finding: The top 10% queue demonstrates a 95.98% predicted mortality risk with 100% metastatic involvement.</w:t>
      </w:r>
      <w:r>
        <w:rPr>
          <w:rFonts w:ascii="Calibri" w:hAnsi="Calibri"/>
          <w:color w:val="2B2D42"/>
          <w:sz w:val="20"/>
        </w:rPr>
        <w:br/>
        <w:t>Operational Action: Automatically route the top decile to urgent multidisciplinary tumor board review for accelerated palliative and specialized oncological planning.</w:t>
      </w:r>
    </w:p>
    <w:p w14:paraId="0B2C657C" w14:textId="77777777" w:rsidR="00F13390" w:rsidRDefault="00000000">
      <w:pPr>
        <w:spacing w:before="120" w:after="80"/>
      </w:pPr>
      <w:r>
        <w:rPr>
          <w:b/>
          <w:color w:val="1D3557"/>
          <w:sz w:val="21"/>
        </w:rPr>
        <w:t>Recommendation 2: Stage-Shift Early Detection Protocol</w:t>
      </w:r>
    </w:p>
    <w:p w14:paraId="413E0A3B" w14:textId="77777777" w:rsidR="00F13390" w:rsidRDefault="00000000">
      <w:pPr>
        <w:spacing w:after="120"/>
      </w:pPr>
      <w:r>
        <w:rPr>
          <w:rFonts w:ascii="Calibri" w:hAnsi="Calibri"/>
          <w:color w:val="2B2D42"/>
          <w:sz w:val="20"/>
        </w:rPr>
        <w:t>Finding: Stage I patients exhibited a 69.84% survival rate vs. 5.46% in Stage IV.</w:t>
      </w:r>
      <w:r>
        <w:rPr>
          <w:rFonts w:ascii="Calibri" w:hAnsi="Calibri"/>
          <w:color w:val="2B2D42"/>
          <w:sz w:val="20"/>
        </w:rPr>
        <w:br/>
        <w:t>Operational Action: Expand primary care Low-Dose CT (LDCT) screening referral protocols for high-risk smokers to detect disease at resectable early stages.</w:t>
      </w:r>
    </w:p>
    <w:p w14:paraId="041B5E84" w14:textId="77777777" w:rsidR="00F13390" w:rsidRDefault="00000000">
      <w:pPr>
        <w:spacing w:before="120" w:after="80"/>
      </w:pPr>
      <w:r>
        <w:rPr>
          <w:b/>
          <w:color w:val="1D3557"/>
          <w:sz w:val="21"/>
        </w:rPr>
        <w:t>Recommendation 3: Integrated Tobacco Cessation &amp; Environmental Mitigation</w:t>
      </w:r>
    </w:p>
    <w:p w14:paraId="2905A2B4" w14:textId="77777777" w:rsidR="00F13390" w:rsidRDefault="00000000">
      <w:pPr>
        <w:spacing w:after="120"/>
      </w:pPr>
      <w:r>
        <w:rPr>
          <w:rFonts w:ascii="Calibri" w:hAnsi="Calibri"/>
          <w:color w:val="2B2D42"/>
          <w:sz w:val="20"/>
        </w:rPr>
        <w:t>Finding: 57.0% of prioritized patients have tobacco exposure history; Current Smokers exhibited a 27.25% survival proportion vs. 42.49% for Never Smokers.</w:t>
      </w:r>
      <w:r>
        <w:rPr>
          <w:rFonts w:ascii="Calibri" w:hAnsi="Calibri"/>
          <w:color w:val="2B2D42"/>
          <w:sz w:val="20"/>
        </w:rPr>
        <w:br/>
        <w:t>Operational Action: Embed clinical smoking cessation programs and conduct occupational health audits for radon/asbestos exposure cohorts.</w:t>
      </w:r>
    </w:p>
    <w:p w14:paraId="583FA86F" w14:textId="77777777" w:rsidR="00F13390" w:rsidRDefault="00000000">
      <w:pPr>
        <w:spacing w:before="120" w:after="80"/>
      </w:pPr>
      <w:r>
        <w:rPr>
          <w:b/>
          <w:color w:val="1D3557"/>
          <w:sz w:val="21"/>
        </w:rPr>
        <w:t>Recommendation 4: Standardized Molecular Biomarker Profiling</w:t>
      </w:r>
    </w:p>
    <w:p w14:paraId="1D2D8A62" w14:textId="77777777" w:rsidR="00F13390" w:rsidRDefault="00000000">
      <w:pPr>
        <w:spacing w:after="120"/>
      </w:pPr>
      <w:r>
        <w:rPr>
          <w:rFonts w:ascii="Calibri" w:hAnsi="Calibri"/>
          <w:color w:val="2B2D42"/>
          <w:sz w:val="20"/>
        </w:rPr>
        <w:t>Finding: Targeted therapy demonstrated 52.4% survival in biomarker-tested cohorts.</w:t>
      </w:r>
      <w:r>
        <w:rPr>
          <w:rFonts w:ascii="Calibri" w:hAnsi="Calibri"/>
          <w:color w:val="2B2D42"/>
          <w:sz w:val="20"/>
        </w:rPr>
        <w:br/>
        <w:t>Operational Action: Ensure rapid multiplex genetic testing (EGFR, ALK, KRAS, ROS1) is standard at diagnostic intake across regional facilities.</w:t>
      </w:r>
    </w:p>
    <w:p w14:paraId="7722A631" w14:textId="77777777" w:rsidR="00F13390" w:rsidRDefault="00000000">
      <w:pPr>
        <w:keepNext/>
        <w:spacing w:before="280" w:after="80"/>
      </w:pPr>
      <w:r>
        <w:rPr>
          <w:rFonts w:ascii="Calibri" w:hAnsi="Calibri"/>
          <w:b/>
          <w:color w:val="1D3557"/>
          <w:sz w:val="30"/>
        </w:rPr>
        <w:t>12. Methodological Limitations &amp; Ethical Disclaimer</w:t>
      </w:r>
    </w:p>
    <w:p w14:paraId="074EA8C7" w14:textId="77777777" w:rsidR="00F13390" w:rsidRDefault="00000000">
      <w:pPr>
        <w:spacing w:after="120"/>
      </w:pPr>
      <w:r>
        <w:rPr>
          <w:rFonts w:ascii="Calibri" w:hAnsi="Calibri"/>
          <w:color w:val="2B2D42"/>
          <w:sz w:val="20"/>
        </w:rPr>
        <w:t>1. Synthetic Dataset Boundaries: While inspired by WHO and GLOBOCAN 2022 oncology statistics, synthetic distributions cannot capture the full physiological complexity of real-world oncology registries.</w:t>
      </w:r>
      <w:r>
        <w:rPr>
          <w:rFonts w:ascii="Calibri" w:hAnsi="Calibri"/>
          <w:color w:val="2B2D42"/>
          <w:sz w:val="20"/>
        </w:rPr>
        <w:br/>
      </w:r>
      <w:r>
        <w:rPr>
          <w:rFonts w:ascii="Calibri" w:hAnsi="Calibri"/>
          <w:color w:val="2B2D42"/>
          <w:sz w:val="20"/>
        </w:rPr>
        <w:lastRenderedPageBreak/>
        <w:t>2. Clinical Indication Confounding: Observational treatment patterns reflect disease severity at intake rather than randomized therapeutic efficacy.</w:t>
      </w:r>
      <w:r>
        <w:rPr>
          <w:rFonts w:ascii="Calibri" w:hAnsi="Calibri"/>
          <w:color w:val="2B2D42"/>
          <w:sz w:val="20"/>
        </w:rPr>
        <w:br/>
        <w:t>3. Regulatory Disclaimer: This project is strictly an educational and methodological research demonstration. It must not be deployed for clinical patient diagnosis or medical decision-making.</w:t>
      </w:r>
    </w:p>
    <w:p w14:paraId="6FADA13F" w14:textId="77777777" w:rsidR="00F13390" w:rsidRDefault="00000000">
      <w:pPr>
        <w:keepNext/>
        <w:spacing w:before="280" w:after="80"/>
      </w:pPr>
      <w:r>
        <w:rPr>
          <w:rFonts w:ascii="Calibri" w:hAnsi="Calibri"/>
          <w:b/>
          <w:color w:val="1D3557"/>
          <w:sz w:val="30"/>
        </w:rPr>
        <w:t>13. Conclusion</w:t>
      </w:r>
    </w:p>
    <w:p w14:paraId="730FEE9C" w14:textId="77777777" w:rsidR="00F13390" w:rsidRDefault="00000000">
      <w:pPr>
        <w:spacing w:after="120"/>
      </w:pPr>
      <w:r>
        <w:rPr>
          <w:rFonts w:ascii="Calibri" w:hAnsi="Calibri"/>
          <w:color w:val="2B2D42"/>
          <w:sz w:val="20"/>
        </w:rPr>
        <w:t>The project demonstrates that adherence to the 4-Tier Analytics Ladder combined with strict target leakage prevention enables robust, deployable healthcare analytics. Eliminating post-diagnostic variables preserves clinical validity, while continuous risk ranking bridges the gap between statistical machine learning and actionable institutional resource management.</w:t>
      </w:r>
    </w:p>
    <w:sectPr w:rsidR="00F13390" w:rsidSect="00F4260C">
      <w:pgSz w:w="12240" w:h="15840"/>
      <w:pgMar w:top="1152" w:right="1152" w:bottom="1152" w:left="1152"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02093260">
    <w:abstractNumId w:val="8"/>
  </w:num>
  <w:num w:numId="2" w16cid:durableId="721176564">
    <w:abstractNumId w:val="6"/>
  </w:num>
  <w:num w:numId="3" w16cid:durableId="200290587">
    <w:abstractNumId w:val="5"/>
  </w:num>
  <w:num w:numId="4" w16cid:durableId="1554147828">
    <w:abstractNumId w:val="4"/>
  </w:num>
  <w:num w:numId="5" w16cid:durableId="2076970029">
    <w:abstractNumId w:val="7"/>
  </w:num>
  <w:num w:numId="6" w16cid:durableId="862397871">
    <w:abstractNumId w:val="3"/>
  </w:num>
  <w:num w:numId="7" w16cid:durableId="284848378">
    <w:abstractNumId w:val="2"/>
  </w:num>
  <w:num w:numId="8" w16cid:durableId="1099178719">
    <w:abstractNumId w:val="1"/>
  </w:num>
  <w:num w:numId="9" w16cid:durableId="15114123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AA1D8D"/>
    <w:rsid w:val="00B47730"/>
    <w:rsid w:val="00BE1E12"/>
    <w:rsid w:val="00CB0664"/>
    <w:rsid w:val="00F13390"/>
    <w:rsid w:val="00F42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548E45"/>
  <w14:defaultImageDpi w14:val="300"/>
  <w15:docId w15:val="{F3627EE2-0F05-4BCE-A5BC-E9F3F51CA6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2190</Words>
  <Characters>12483</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Priya Yadav</cp:lastModifiedBy>
  <cp:revision>2</cp:revision>
  <dcterms:created xsi:type="dcterms:W3CDTF">2026-10-15T16:25:00Z</dcterms:created>
  <dcterms:modified xsi:type="dcterms:W3CDTF">2026-10-15T16:25:00Z</dcterms:modified>
  <cp:category/>
</cp:coreProperties>
</file>