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none" w:color="FFFFFF" w:sz="0"/>
              <w:left w:val="none" w:color="FFFFFF" w:sz="0"/>
              <w:bottom w:val="single" w:color="F0AB00" w:sz="36"/>
              <w:right w:val="none" w:color="FFFFFF" w:sz="0"/>
            </w:tcBorders>
            <w:shd w:fill="0B2A4A" w:color="auto" w:val="clear"/>
            <w:tcMar>
              <w:top w:type="dxa" w:w="500"/>
              <w:left w:type="dxa" w:w="400"/>
              <w:bottom w:type="dxa" w:w="400"/>
              <w:right w:type="dxa" w:w="400"/>
            </w:tcMar>
            <w:vAlign w:val="center"/>
          </w:tcPr>
          <w:p>
            <w:pPr>
              <w:spacing w:after="120"/>
            </w:pPr>
            <w:r>
              <w:rPr>
                <w:b/>
                <w:bCs/>
                <w:color w:val="F0AB00"/>
                <w:spacing w:val="60"/>
                <w:sz w:val="24"/>
                <w:szCs w:val="24"/>
              </w:rPr>
              <w:t xml:space="preserve">SAP FICO VIRTUAL INTERNSHIP</w:t>
            </w:r>
          </w:p>
          <w:p>
            <w:pPr>
              <w:spacing w:after="120"/>
            </w:pPr>
            <w:r>
              <w:rPr>
                <w:b/>
                <w:bCs/>
                <w:color w:val="FFFFFF"/>
                <w:sz w:val="56"/>
                <w:szCs w:val="56"/>
              </w:rPr>
              <w:t xml:space="preserve">Week 2: SAP FICO Configuration Guide</w:t>
            </w:r>
          </w:p>
          <w:p>
            <w:pPr>
              <w:spacing w:after="0"/>
            </w:pPr>
            <w:r>
              <w:rPr>
                <w:color w:val="D6E4F2"/>
                <w:sz w:val="28"/>
                <w:szCs w:val="28"/>
              </w:rPr>
              <w:t xml:space="preserve">A step-by-step beginner guide with Indian examples, case studies and analysis</w:t>
            </w:r>
          </w:p>
        </w:tc>
      </w:tr>
    </w:tbl>
    <w:p>
      <w:pPr>
        <w:spacing w:after="500"/>
      </w:pPr>
    </w:p>
    <w:p>
      <w:pPr>
        <w:spacing w:after="200" w:before="0" w:line="288"/>
      </w:pPr>
      <w:r>
        <w:rPr>
          <w:color w:val="0B2A4A"/>
          <w:sz w:val="26"/>
          <w:szCs w:val="26"/>
        </w:rPr>
        <w:t xml:space="preserve"/>
      </w:r>
      <w:r>
        <w:rPr>
          <w:b/>
          <w:bCs/>
          <w:color w:val="0B2A4A"/>
          <w:sz w:val="26"/>
          <w:szCs w:val="26"/>
        </w:rPr>
        <w:t xml:space="preserve">From a blank SAP system to a working finance setup</w:t>
      </w:r>
      <w:r>
        <w:rPr>
          <w:color w:val="0B2A4A"/>
          <w:sz w:val="26"/>
          <w:szCs w:val="26"/>
        </w:rPr>
        <w:t xml:space="preserve"/>
      </w:r>
    </w:p>
    <w:p>
      <w:pPr>
        <w:spacing w:after="360" w:before="0" w:line="288"/>
      </w:pPr>
      <w:r>
        <w:rPr>
          <w:color w:val="5B6770"/>
        </w:rPr>
        <w:t xml:space="preserve">This guide explains how SAP Financial Accounting (FI) and Controlling (CO) are configured, in the order a real project follows. Every step shows the purpose, the navigation path or transaction code, the key fields, example values for an Indian company, and the mistakes to avoid. Case studies and an S/4HANA analysis show how configuration choices affect real business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Intern Name</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Priyabrata Behera</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Programme</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SAP FICO Virtual Internship</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Task</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Week 2: SAP FICO Configuration</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Deliverable</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Detailed configuration guide (DOC), written for beginners</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Running example</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Utkal Infra Projects Ltd (illustrative company, Odisha, India)</w:t>
            </w:r>
          </w:p>
        </w:tc>
      </w:tr>
      <w:tr>
        <w:tc>
          <w:tcPr>
            <w:tcW w:type="dxa" w:w="2600"/>
            <w:tcBorders>
              <w:top w:val="single" w:color="C9D3DC" w:sz="4"/>
              <w:left w:val="single" w:color="C9D3DC" w:sz="4"/>
              <w:bottom w:val="single" w:color="C9D3DC" w:sz="4"/>
              <w:right w:val="single" w:color="C9D3DC" w:sz="4"/>
            </w:tcBorders>
            <w:shd w:fill="EAF2FB" w:color="auto" w:val="clear"/>
            <w:tcMar>
              <w:top w:type="dxa" w:w="70"/>
              <w:left w:type="dxa" w:w="110"/>
              <w:bottom w:type="dxa" w:w="70"/>
              <w:right w:type="dxa" w:w="110"/>
            </w:tcMar>
            <w:vAlign w:val="center"/>
          </w:tcPr>
          <w:p>
            <w:pPr>
              <w:spacing w:after="30" w:line="260"/>
            </w:pPr>
            <w:r>
              <w:rPr>
                <w:b/>
                <w:bCs/>
                <w:color w:val="0B2A4A"/>
                <w:sz w:val="21"/>
                <w:szCs w:val="21"/>
              </w:rPr>
              <w:t xml:space="preserve">Submission</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21"/>
                <w:szCs w:val="21"/>
              </w:rPr>
              <w:t xml:space="preserve">October 2026</w:t>
            </w:r>
          </w:p>
        </w:tc>
      </w:tr>
    </w:tbl>
    <w:p>
      <w:r>
        <w:br w:type="page"/>
      </w:r>
    </w:p>
    <w:p>
      <w:pPr>
        <w:pStyle w:val="Heading1"/>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No.</w:t>
            </w:r>
          </w:p>
        </w:tc>
        <w:tc>
          <w:tcPr>
            <w:tcW w:type="dxa" w:w="8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Section</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Introduction and How to Use This Guide</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Configuration Fundamentals</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Configuration Roadmap and the Case Company</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Step 1: Enterprise Structure</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5</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Step 2: Financial Accounting Global Settings</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6</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Step 3: General Ledger Accounting</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7</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Step 4: Taxes (GST and TDS)</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8</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Step 5: Accounts Payable</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9</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Step 6: Accounts Receivable</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10</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Step 7: Asset Accounting</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11</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Step 8: Bank Accounting</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12</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Step 9: Controlling (CO)</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13</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Step 10: Integration and Account Determination</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14</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Configuration in S/4HANA: What Changes and Why</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15</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Testing, Data Migration and Go-Live</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16</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Case Studies and Real-World Scenarios</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17</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Common Errors and Troubleshooting</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18</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Master Configuration Checklist</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19</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Hands-On Practice Labs</w:t>
            </w:r>
          </w:p>
        </w:tc>
      </w:tr>
      <w:tr>
        <w:trPr>
          <w:cantSplit/>
        </w:trPr>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20</w:t>
            </w:r>
          </w:p>
        </w:tc>
        <w:tc>
          <w:tcPr>
            <w:tcW w:type="dxa" w:w="8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Quick Revision and Glossary</w:t>
            </w:r>
          </w:p>
        </w:tc>
      </w:tr>
      <w:tr>
        <w:trPr>
          <w:cantSplit/>
        </w:trPr>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21</w:t>
            </w:r>
          </w:p>
        </w:tc>
        <w:tc>
          <w:tcPr>
            <w:tcW w:type="dxa" w:w="8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References</w:t>
            </w:r>
          </w:p>
        </w:tc>
      </w:tr>
    </w:tbl>
    <w:p>
      <w:r>
        <w:br w:type="page"/>
      </w:r>
    </w:p>
    <w:p>
      <w:pPr>
        <w:pStyle w:val="Heading1"/>
      </w:pPr>
      <w:r>
        <w:t xml:space="preserve">1. Introduction and How to Use This Guide</w:t>
      </w:r>
    </w:p>
    <w:p>
      <w:pPr>
        <w:spacing w:after="140" w:before="0" w:line="288"/>
      </w:pPr>
      <w:r>
        <w:t xml:space="preserve">In Week 1 we studied </w:t>
      </w:r>
      <w:r>
        <w:rPr>
          <w:b/>
          <w:bCs/>
        </w:rPr>
        <w:t xml:space="preserve">what</w:t>
      </w:r>
      <w:r>
        <w:t xml:space="preserve"> SAP FICO is. Week 2 answers the next question: </w:t>
      </w:r>
      <w:r>
        <w:rPr>
          <w:b/>
          <w:bCs/>
        </w:rPr>
        <w:t xml:space="preserve">how do we make SAP behave like our company?</w:t>
      </w:r>
      <w:r>
        <w:t xml:space="preserve"> A fresh SAP system knows nothing about your business. It does not know your legal entity, financial year, ledger accounts, tax rules or cost centres. </w:t>
      </w:r>
      <w:r>
        <w:rPr>
          <w:b/>
          <w:bCs/>
        </w:rPr>
        <w:t xml:space="preserve">Configuration</w:t>
      </w:r>
      <w:r>
        <w:t xml:space="preserve"> is the work of teaching SAP these rules, so that every later posting follows them automatically.</w:t>
      </w:r>
    </w:p>
    <w:p>
      <w:pPr>
        <w:spacing w:after="140" w:before="0" w:line="288"/>
      </w:pPr>
      <w:r>
        <w:t xml:space="preserve"/>
      </w:r>
      <w:r>
        <w:rPr>
          <w:b/>
          <w:bCs/>
        </w:rPr>
        <w:t xml:space="preserve">Real-life analogy from Tally:</w:t>
      </w:r>
      <w:r>
        <w:t xml:space="preserve"> when you create a company in Tally, you first choose the financial year, currency, GST details and features (F11). Only then do you create ledgers and pass vouchers. SAP follows the same sequence but at a much larger scale. Configuration is like Tally's company creation and features setup, master data is like creating ledgers, and transactions are like vouchers.</w:t>
      </w:r>
    </w:p>
    <w:p>
      <w:pPr>
        <w:pStyle w:val="Heading2"/>
      </w:pPr>
      <w:r>
        <w:t xml:space="preserve">1.1 Who should read this guide</w:t>
      </w:r>
    </w:p>
    <w:p>
      <w:pPr>
        <w:pStyle w:val="ListParagraph"/>
        <w:numPr>
          <w:ilvl w:val="0"/>
          <w:numId w:val="2"/>
        </w:numPr>
        <w:spacing w:after="80" w:line="276"/>
      </w:pPr>
      <w:r>
        <w:t xml:space="preserve"/>
      </w:r>
      <w:r>
        <w:rPr>
          <w:b/>
          <w:bCs/>
        </w:rPr>
        <w:t xml:space="preserve">Beginners</w:t>
      </w:r>
      <w:r>
        <w:t xml:space="preserve"> who have never opened SAP: read Sections 1 to 3 first, then follow the steps in order.</w:t>
      </w:r>
    </w:p>
    <w:p>
      <w:pPr>
        <w:pStyle w:val="ListParagraph"/>
        <w:numPr>
          <w:ilvl w:val="0"/>
          <w:numId w:val="2"/>
        </w:numPr>
        <w:spacing w:after="80" w:line="276"/>
      </w:pPr>
      <w:r>
        <w:t xml:space="preserve"/>
      </w:r>
      <w:r>
        <w:rPr>
          <w:b/>
          <w:bCs/>
        </w:rPr>
        <w:t xml:space="preserve">Accountants moving to SAP FICO</w:t>
      </w:r>
      <w:r>
        <w:t xml:space="preserve">: use the Tally and Indian accounting comparisons to connect what you know with SAP terms.</w:t>
      </w:r>
    </w:p>
    <w:p>
      <w:pPr>
        <w:pStyle w:val="ListParagraph"/>
        <w:numPr>
          <w:ilvl w:val="0"/>
          <w:numId w:val="2"/>
        </w:numPr>
        <w:spacing w:after="80" w:line="276"/>
      </w:pPr>
      <w:r>
        <w:t xml:space="preserve"/>
      </w:r>
      <w:r>
        <w:rPr>
          <w:b/>
          <w:bCs/>
        </w:rPr>
        <w:t xml:space="preserve">Interns preparing for a viva or interview</w:t>
      </w:r>
      <w:r>
        <w:t xml:space="preserve">: read the analytical notes, the case studies in Section 16 and the revision questions in Section 20.</w:t>
      </w:r>
    </w:p>
    <w:p>
      <w:pPr>
        <w:pStyle w:val="Heading2"/>
      </w:pPr>
      <w:r>
        <w:t xml:space="preserve">1.2 How every configuration step is presented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Element</w:t>
            </w:r>
          </w:p>
        </w:tc>
        <w:tc>
          <w:tcPr>
            <w:tcW w:type="dxa" w:w="67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it tells you</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Purpose</w:t>
            </w:r>
          </w:p>
        </w:tc>
        <w:tc>
          <w:tcPr>
            <w:tcW w:type="dxa" w:w="6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Why this step exists, explained in plain words</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Where to configure</w:t>
            </w:r>
          </w:p>
        </w:tc>
        <w:tc>
          <w:tcPr>
            <w:tcW w:type="dxa" w:w="6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IMG navigation path or T-code (shown in a grey box)</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Key fields</w:t>
            </w:r>
          </w:p>
        </w:tc>
        <w:tc>
          <w:tcPr>
            <w:tcW w:type="dxa" w:w="6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Each important field and the value used in our example company</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Analyst note</w:t>
            </w:r>
          </w:p>
        </w:tc>
        <w:tc>
          <w:tcPr>
            <w:tcW w:type="dxa" w:w="6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Why the decision matters, what can go wrong and how experts decide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0AB00" w:sz="28"/>
              <w:bottom w:val="none" w:color="FFFFFF" w:sz="0"/>
              <w:right w:val="none" w:color="FFFFFF" w:sz="0"/>
            </w:tcBorders>
            <w:shd w:fill="FFF6DB" w:color="auto" w:val="clear"/>
            <w:tcMar>
              <w:top w:type="dxa" w:w="110"/>
              <w:left w:type="dxa" w:w="200"/>
              <w:bottom w:type="dxa" w:w="90"/>
              <w:right w:type="dxa" w:w="160"/>
            </w:tcMar>
          </w:tcPr>
          <w:p>
            <w:pPr>
              <w:spacing w:after="60"/>
            </w:pPr>
            <w:r>
              <w:rPr>
                <w:b/>
                <w:bCs/>
                <w:color w:val="F0AB00"/>
                <w:sz w:val="21"/>
                <w:szCs w:val="21"/>
              </w:rPr>
              <w:t xml:space="preserve">Important: paths and screens differ by release</w:t>
            </w:r>
          </w:p>
          <w:p>
            <w:pPr>
              <w:spacing w:after="60" w:line="270"/>
            </w:pPr>
            <w:r>
              <w:rPr>
                <w:sz w:val="20"/>
                <w:szCs w:val="20"/>
              </w:rPr>
              <w:t xml:space="preserve">SAP menu paths change slightly between ECC, S/4HANA on-premise and S/4HANA Cloud, and some steps are done in Fiori apps instead of the IMG. This guide gives both the path and the classic transaction code, because T-codes remain the most stable way to find a setting. If a path is not found, use the </w:t>
            </w:r>
            <w:r>
              <w:rPr>
                <w:b/>
                <w:bCs/>
                <w:sz w:val="20"/>
                <w:szCs w:val="20"/>
              </w:rPr>
              <w:t xml:space="preserve">Find</w:t>
            </w:r>
            <w:r>
              <w:rPr>
                <w:sz w:val="20"/>
                <w:szCs w:val="20"/>
              </w:rPr>
              <w:t xml:space="preserve"> (magnifying glass) icon inside the IMG, or enter the T-code directly.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0392B" w:sz="28"/>
              <w:bottom w:val="none" w:color="FFFFFF" w:sz="0"/>
              <w:right w:val="none" w:color="FFFFFF" w:sz="0"/>
            </w:tcBorders>
            <w:shd w:fill="FDECEA" w:color="auto" w:val="clear"/>
            <w:tcMar>
              <w:top w:type="dxa" w:w="110"/>
              <w:left w:type="dxa" w:w="200"/>
              <w:bottom w:type="dxa" w:w="90"/>
              <w:right w:type="dxa" w:w="160"/>
            </w:tcMar>
          </w:tcPr>
          <w:p>
            <w:pPr>
              <w:spacing w:after="60"/>
            </w:pPr>
            <w:r>
              <w:rPr>
                <w:b/>
                <w:bCs/>
                <w:color w:val="C0392B"/>
                <w:sz w:val="21"/>
                <w:szCs w:val="21"/>
              </w:rPr>
              <w:t xml:space="preserve">Safety rule for practice</w:t>
            </w:r>
          </w:p>
          <w:p>
            <w:pPr>
              <w:spacing w:after="60" w:line="270"/>
            </w:pPr>
            <w:r>
              <w:rPr>
                <w:sz w:val="20"/>
                <w:szCs w:val="20"/>
              </w:rPr>
              <w:t xml:space="preserve">Never experiment with configuration in a company's production system. Use a training or sandbox client. In real projects, configuration is done in the </w:t>
            </w:r>
            <w:r>
              <w:rPr>
                <w:b/>
                <w:bCs/>
                <w:sz w:val="20"/>
                <w:szCs w:val="20"/>
              </w:rPr>
              <w:t xml:space="preserve">development</w:t>
            </w:r>
            <w:r>
              <w:rPr>
                <w:sz w:val="20"/>
                <w:szCs w:val="20"/>
              </w:rPr>
              <w:t xml:space="preserve"> system, tested in </w:t>
            </w:r>
            <w:r>
              <w:rPr>
                <w:b/>
                <w:bCs/>
                <w:sz w:val="20"/>
                <w:szCs w:val="20"/>
              </w:rPr>
              <w:t xml:space="preserve">quality</w:t>
            </w:r>
            <w:r>
              <w:rPr>
                <w:sz w:val="20"/>
                <w:szCs w:val="20"/>
              </w:rPr>
              <w:t xml:space="preserve">, and moved to </w:t>
            </w:r>
            <w:r>
              <w:rPr>
                <w:b/>
                <w:bCs/>
                <w:sz w:val="20"/>
                <w:szCs w:val="20"/>
              </w:rPr>
              <w:t xml:space="preserve">production</w:t>
            </w:r>
            <w:r>
              <w:rPr>
                <w:sz w:val="20"/>
                <w:szCs w:val="20"/>
              </w:rPr>
              <w:t xml:space="preserve"> only through approved transport requests.</w:t>
            </w:r>
          </w:p>
        </w:tc>
      </w:tr>
    </w:tbl>
    <w:p>
      <w:pPr>
        <w:pStyle w:val="Heading1"/>
      </w:pPr>
      <w:r>
        <w:t xml:space="preserve">2. Configuration Fundamentals</w:t>
      </w:r>
    </w:p>
    <w:p>
      <w:pPr>
        <w:pStyle w:val="Heading2"/>
      </w:pPr>
      <w:r>
        <w:t xml:space="preserve">2.1 Configuration, master data and transactions</w:t>
      </w:r>
    </w:p>
    <w:p>
      <w:pPr>
        <w:spacing w:after="140" w:before="0" w:line="288"/>
      </w:pPr>
      <w:r>
        <w:t xml:space="preserve">Beginners often mix these three levels. The difference is important, because each level is changed by a different person using a different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126"/>
      </w:tblGrid>
      <w:tr>
        <w:trPr>
          <w:cantSplit/>
          <w:tblHeader/>
        </w:trPr>
        <w:tc>
          <w:tcPr>
            <w:tcW w:type="dxa" w:w="19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Level</w:t>
            </w:r>
          </w:p>
        </w:tc>
        <w:tc>
          <w:tcPr>
            <w:tcW w:type="dxa" w:w="2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it is</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w:t>
            </w:r>
          </w:p>
        </w:tc>
        <w:tc>
          <w:tcPr>
            <w:tcW w:type="dxa" w:w="21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Tally comparison</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Configuration (Customizing)</w:t>
            </w:r>
          </w:p>
        </w:tc>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Rules and settings that shape how the system works. Changed rarely, by consultants.</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Define company code, chart of accounts, tax codes, payment terms</w:t>
            </w:r>
          </w:p>
        </w:tc>
        <w:tc>
          <w:tcPr>
            <w:tcW w:type="dxa" w:w="21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Company creation, F11 features, GST settings</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Master data</w:t>
            </w:r>
          </w:p>
        </w:tc>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Business records created once and reused. Changed by users within controls.</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GL account, vendor, customer, asset, cost centre</w:t>
            </w:r>
          </w:p>
        </w:tc>
        <w:tc>
          <w:tcPr>
            <w:tcW w:type="dxa" w:w="21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Ledgers and stock items</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Transaction data</w:t>
            </w:r>
          </w:p>
        </w:tc>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Day-to-day business events.</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Vendor invoice, payment, journal entry</w:t>
            </w:r>
          </w:p>
        </w:tc>
        <w:tc>
          <w:tcPr>
            <w:tcW w:type="dxa" w:w="21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Vouchers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why configuration is high stakes</w:t>
            </w:r>
          </w:p>
          <w:p>
            <w:pPr>
              <w:spacing w:after="60" w:line="270"/>
            </w:pPr>
            <w:r>
              <w:rPr>
                <w:sz w:val="20"/>
                <w:szCs w:val="20"/>
              </w:rPr>
              <w:t xml:space="preserve">A wrong transaction can be reversed in minutes. A wrong configuration choice (for example the length of the GL account number, the fiscal year variant or the chart of accounts assigned to a company code) may be impossible to change once postings exist. That is why experienced consultants spend more time on design workshops than on keying settings.</w:t>
            </w:r>
          </w:p>
        </w:tc>
      </w:tr>
    </w:tbl>
    <w:p>
      <w:pPr>
        <w:spacing w:after="120"/>
      </w:pPr>
    </w:p>
    <w:p>
      <w:pPr>
        <w:pStyle w:val="Heading2"/>
      </w:pPr>
      <w:r>
        <w:t xml:space="preserve">2.2 SPRO and the IMG</w:t>
      </w:r>
    </w:p>
    <w:p>
      <w:pPr>
        <w:spacing w:after="140" w:before="0" w:line="288"/>
      </w:pPr>
      <w:r>
        <w:t xml:space="preserve"/>
      </w:r>
      <w:r>
        <w:rPr>
          <w:b/>
          <w:bCs/>
        </w:rPr>
        <w:t xml:space="preserve">SPRO</w:t>
      </w:r>
      <w:r>
        <w:t xml:space="preserve"> is the transaction code that opens the </w:t>
      </w:r>
      <w:r>
        <w:rPr>
          <w:b/>
          <w:bCs/>
        </w:rPr>
        <w:t xml:space="preserve">SAP Reference IMG (Implementation Guide)</w:t>
      </w:r>
      <w:r>
        <w:t xml:space="preserve">. The IMG is a structured menu of every setting in SAP, arranged by module. Each line has a clock icon (documentation) and an execute icon. Think of SPRO as the "control panel" of the whole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T-code: SPRO</w:t>
            </w:r>
          </w:p>
          <w:p>
            <w:pPr>
              <w:spacing w:after="40" w:line="260"/>
            </w:pPr>
            <w:r>
              <w:rPr>
                <w:rFonts w:ascii="Consolas" w:cs="Consolas" w:eastAsia="Consolas" w:hAnsi="Consolas"/>
                <w:color w:val="1F2D3A"/>
                <w:sz w:val="19"/>
                <w:szCs w:val="19"/>
              </w:rPr>
              <w:t xml:space="preserve">Click: SAP Reference IMG</w:t>
            </w:r>
          </w:p>
        </w:tc>
      </w:tr>
    </w:tbl>
    <w:p>
      <w:pPr>
        <w:spacing w:after="80"/>
      </w:pPr>
    </w:p>
    <w:p>
      <w:pPr>
        <w:spacing w:after="140" w:before="0" w:line="288"/>
      </w:pPr>
      <w:r>
        <w:t xml:space="preserve">Main branches you will use in this guide:</w:t>
      </w:r>
    </w:p>
    <w:p>
      <w:pPr>
        <w:pStyle w:val="ListParagraph"/>
        <w:numPr>
          <w:ilvl w:val="0"/>
          <w:numId w:val="2"/>
        </w:numPr>
        <w:spacing w:after="80" w:line="276"/>
      </w:pPr>
      <w:r>
        <w:t xml:space="preserve"/>
      </w:r>
      <w:r>
        <w:rPr>
          <w:b/>
          <w:bCs/>
        </w:rPr>
        <w:t xml:space="preserve">Enterprise Structure:</w:t>
      </w:r>
      <w:r>
        <w:t xml:space="preserve"> define and assign company, company code, controlling area and similar units.</w:t>
      </w:r>
    </w:p>
    <w:p>
      <w:pPr>
        <w:pStyle w:val="ListParagraph"/>
        <w:numPr>
          <w:ilvl w:val="0"/>
          <w:numId w:val="2"/>
        </w:numPr>
        <w:spacing w:after="80" w:line="276"/>
      </w:pPr>
      <w:r>
        <w:t xml:space="preserve"/>
      </w:r>
      <w:r>
        <w:rPr>
          <w:b/>
          <w:bCs/>
        </w:rPr>
        <w:t xml:space="preserve">Financial Accounting (New):</w:t>
      </w:r>
      <w:r>
        <w:t xml:space="preserve"> global settings, general ledger, accounts payable and receivable, asset accounting, bank accounting, tax on sales and purchases.</w:t>
      </w:r>
    </w:p>
    <w:p>
      <w:pPr>
        <w:pStyle w:val="ListParagraph"/>
        <w:numPr>
          <w:ilvl w:val="0"/>
          <w:numId w:val="2"/>
        </w:numPr>
        <w:spacing w:after="80" w:line="276"/>
      </w:pPr>
      <w:r>
        <w:t xml:space="preserve"/>
      </w:r>
      <w:r>
        <w:rPr>
          <w:b/>
          <w:bCs/>
        </w:rPr>
        <w:t xml:space="preserve">Controlling:</w:t>
      </w:r>
      <w:r>
        <w:t xml:space="preserve"> general controlling, cost centre accounting, internal orders, profit centre accounting, product costing.</w:t>
      </w:r>
    </w:p>
    <w:p>
      <w:pPr>
        <w:pStyle w:val="ListParagraph"/>
        <w:numPr>
          <w:ilvl w:val="0"/>
          <w:numId w:val="2"/>
        </w:numPr>
        <w:spacing w:after="80" w:line="276"/>
      </w:pPr>
      <w:r>
        <w:t xml:space="preserve"/>
      </w:r>
      <w:r>
        <w:rPr>
          <w:b/>
          <w:bCs/>
        </w:rPr>
        <w:t xml:space="preserve">Materials Management and Sales and Distribution:</w:t>
      </w:r>
      <w:r>
        <w:t xml:space="preserve"> where integration with finance is configured.</w:t>
      </w:r>
    </w:p>
    <w:p>
      <w:pPr>
        <w:pStyle w:val="Heading2"/>
      </w:pPr>
      <w:r>
        <w:t xml:space="preserve">2.3 Client, system landscape and transport requests</w:t>
      </w:r>
    </w:p>
    <w:p>
      <w:pPr>
        <w:spacing w:after="140" w:before="0" w:line="288"/>
      </w:pPr>
      <w:r>
        <w:t xml:space="preserve">SAP projects normally use three systems: </w:t>
      </w:r>
      <w:r>
        <w:rPr>
          <w:b/>
          <w:bCs/>
        </w:rPr>
        <w:t xml:space="preserve">Development (DEV)</w:t>
      </w:r>
      <w:r>
        <w:t xml:space="preserve">, </w:t>
      </w:r>
      <w:r>
        <w:rPr>
          <w:b/>
          <w:bCs/>
        </w:rPr>
        <w:t xml:space="preserve">Quality (QAS)</w:t>
      </w:r>
      <w:r>
        <w:t xml:space="preserve"> and </w:t>
      </w:r>
      <w:r>
        <w:rPr>
          <w:b/>
          <w:bCs/>
        </w:rPr>
        <w:t xml:space="preserve">Production (PRD)</w:t>
      </w:r>
      <w:r>
        <w:t xml:space="preserve">. Inside each system a </w:t>
      </w:r>
      <w:r>
        <w:rPr>
          <w:b/>
          <w:bCs/>
        </w:rPr>
        <w:t xml:space="preserve">client</w:t>
      </w:r>
      <w:r>
        <w:t xml:space="preserve"> is a self-contained business unit with its own data (identified by a 3-digit number such as 100). Configuration is created in DEV and saved into a </w:t>
      </w:r>
      <w:r>
        <w:rPr>
          <w:b/>
          <w:bCs/>
        </w:rPr>
        <w:t xml:space="preserve">transport request</w:t>
      </w:r>
      <w:r>
        <w:t xml:space="preserve">, which is then released and imported to QAS for testing and finally to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System</w:t>
            </w:r>
          </w:p>
        </w:tc>
        <w:tc>
          <w:tcPr>
            <w:tcW w:type="dxa" w:w="3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Purpose</w:t>
            </w:r>
          </w:p>
        </w:tc>
        <w:tc>
          <w:tcPr>
            <w:tcW w:type="dxa" w:w="3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Who works here</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DEV (Development)</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Build and change configuration</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Functional consultants</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QAS (Quality)</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Test with realistic data (unit test, integration test, user acceptance test)</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Consultants and key users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PRD (Production)</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Live business transactions</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End users; no direct configuration changes</w:t>
            </w:r>
          </w:p>
        </w:tc>
      </w:tr>
    </w:tbl>
    <w:p>
      <w:pPr>
        <w:spacing w:after="120"/>
      </w:pPr>
    </w:p>
    <w:p>
      <w:pPr>
        <w:pStyle w:val="ListParagraph"/>
        <w:numPr>
          <w:ilvl w:val="0"/>
          <w:numId w:val="2"/>
        </w:numPr>
        <w:spacing w:after="80" w:line="276"/>
      </w:pPr>
      <w:r>
        <w:t xml:space="preserve"/>
      </w:r>
      <w:r>
        <w:rPr>
          <w:b/>
          <w:bCs/>
        </w:rPr>
        <w:t xml:space="preserve">SE09 / SE10:</w:t>
      </w:r>
      <w:r>
        <w:t xml:space="preserve"> transport organizer, where you see and release transport requests.</w:t>
      </w:r>
    </w:p>
    <w:p>
      <w:pPr>
        <w:pStyle w:val="ListParagraph"/>
        <w:numPr>
          <w:ilvl w:val="0"/>
          <w:numId w:val="2"/>
        </w:numPr>
        <w:spacing w:after="80" w:line="276"/>
      </w:pPr>
      <w:r>
        <w:t xml:space="preserve"/>
      </w:r>
      <w:r>
        <w:rPr>
          <w:b/>
          <w:bCs/>
        </w:rPr>
        <w:t xml:space="preserve">STMS:</w:t>
      </w:r>
      <w:r>
        <w:t xml:space="preserve"> transport management system, used by the basis team to import requests into the next system.</w:t>
      </w:r>
    </w:p>
    <w:p>
      <w:pPr>
        <w:spacing w:after="140" w:before="0" w:line="288"/>
      </w:pPr>
      <w:r>
        <w:t xml:space="preserve">When you save a configuration change in DEV, SAP asks for a </w:t>
      </w:r>
      <w:r>
        <w:rPr>
          <w:b/>
          <w:bCs/>
        </w:rPr>
        <w:t xml:space="preserve">transport request number</w:t>
      </w:r>
      <w:r>
        <w:t xml:space="preserve">. Always use a request with a clear description, for example "FI - Create company code 1000 - Utkal Infra". Clear descriptions save hours when an auditor or a colleague asks "who changed this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the audit trail</w:t>
            </w:r>
          </w:p>
          <w:p>
            <w:pPr>
              <w:spacing w:after="60" w:line="270"/>
            </w:pPr>
            <w:r>
              <w:rPr>
                <w:sz w:val="20"/>
                <w:szCs w:val="20"/>
              </w:rPr>
              <w:t xml:space="preserve">Transport requests are also a control. Because every configuration change is recorded with user, date and description, an auditor can trace who changed a tax code or an account determination. Direct changes in production should be locked (system setting SCC4) so that only transports can change configuration.</w:t>
            </w:r>
          </w:p>
        </w:tc>
      </w:tr>
    </w:tbl>
    <w:p>
      <w:pPr>
        <w:pStyle w:val="Heading1"/>
      </w:pPr>
      <w:r>
        <w:t xml:space="preserve">3. Configuration Roadmap and the Case Company</w:t>
      </w:r>
    </w:p>
    <w:p>
      <w:pPr>
        <w:pStyle w:val="Heading2"/>
      </w:pPr>
      <w:r>
        <w:t xml:space="preserve">3.1 The order of configuration</w:t>
      </w:r>
    </w:p>
    <w:p>
      <w:pPr>
        <w:spacing w:after="140" w:before="0" w:line="288"/>
      </w:pPr>
      <w:r>
        <w:t xml:space="preserve">Configuration has dependencies. You cannot assign a chart of accounts that does not exist, and you cannot create GL accounts before the chart exists. The roadmap below is the sequence followed in this guide.</w:t>
      </w:r>
    </w:p>
    <w:p>
      <w:pPr>
        <w:spacing w:after="160" w:before="120"/>
        <w:jc w:val="center"/>
      </w:pPr>
      <w:r>
        <w:drawing>
          <wp:inline distT="0" distB="0" distL="0" distR="0">
            <wp:extent cx="5715000" cy="2733675"/>
            <wp:effectExtent t="0" r="0" b="0" l="0"/>
            <wp:docPr id="1" name="Configuration roadmap" descr="Configuration roadmap" title="Configur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5B6770"/>
          <w:sz w:val="19"/>
          <w:szCs w:val="19"/>
        </w:rPr>
        <w:t xml:space="preserve">Figure 1: Configuration roadmap for SAP FICO</w:t>
      </w:r>
    </w:p>
    <w:p>
      <w:pPr>
        <w:pStyle w:val="Heading2"/>
      </w:pPr>
      <w:r>
        <w:t xml:space="preserve">3.2 The case company: Utkal Infra Projects Ltd</w:t>
      </w:r>
    </w:p>
    <w:p>
      <w:pPr>
        <w:spacing w:after="140" w:before="0" w:line="288"/>
      </w:pPr>
      <w:r>
        <w:t xml:space="preserve">To keep every step practical, we use one fictional company as a running example. The company is a mid-size infrastructure and construction business based in Odisha with a head office and project sites. Using a realistic business shows why each setting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Design item</w:t>
            </w:r>
          </w:p>
        </w:tc>
        <w:tc>
          <w:tcPr>
            <w:tcW w:type="dxa" w:w="6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Value used in this guide</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Legal entity</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Utkal Infra Projects Ltd (an Indian company)</w:t>
            </w:r>
          </w:p>
        </w:tc>
      </w:tr>
      <w:tr>
        <w:trPr>
          <w:cantSplit/>
        </w:trPr>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Business</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Road and building construction, trading of construction material, plant and machinery on sites</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SAP client</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100 (sandbox)</w:t>
            </w:r>
          </w:p>
        </w:tc>
      </w:tr>
      <w:tr>
        <w:trPr>
          <w:cantSplit/>
        </w:trPr>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Company and company code</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Currency, country, language</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INR, IN, EN</w:t>
            </w:r>
          </w:p>
        </w:tc>
      </w:tr>
      <w:tr>
        <w:trPr>
          <w:cantSplit/>
        </w:trPr>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Chart of accounts</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YCOA (copied from the India standard chart CAIN)</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Fiscal year variant</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V3 (April to March with 4 special periods)</w:t>
            </w:r>
          </w:p>
        </w:tc>
      </w:tr>
      <w:tr>
        <w:trPr>
          <w:cantSplit/>
        </w:trPr>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Posting period variant</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Controlling area</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1000 (Utkal Infra Controlling)</w:t>
            </w:r>
          </w:p>
        </w:tc>
      </w:tr>
      <w:tr>
        <w:trPr>
          <w:cantSplit/>
        </w:trPr>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Operating concern</w:t>
            </w:r>
          </w:p>
        </w:tc>
        <w:tc>
          <w:tcPr>
            <w:tcW w:type="dxa" w:w="6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1000 (for profitability analysis)</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GST registration</w:t>
            </w:r>
          </w:p>
        </w:tc>
        <w:tc>
          <w:tcPr>
            <w:tcW w:type="dxa" w:w="6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Business Place OD01 for the Odisha GSTIN (dummy number used)</w:t>
            </w:r>
          </w:p>
        </w:tc>
      </w:tr>
    </w:tbl>
    <w:p>
      <w:pPr>
        <w:spacing w:after="120"/>
      </w:pPr>
    </w:p>
    <w:p>
      <w:pPr>
        <w:spacing w:after="160" w:before="120"/>
        <w:jc w:val="center"/>
      </w:pPr>
      <w:r>
        <w:drawing>
          <wp:inline distT="0" distB="0" distL="0" distR="0">
            <wp:extent cx="5715000" cy="4086225"/>
            <wp:effectExtent t="0" r="0" b="0" l="0"/>
            <wp:docPr id="1" name="Enterprise structure of the case company" descr="Enterprise structure of the case company" title="Enterprise structure of the cas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5B6770"/>
          <w:sz w:val="19"/>
          <w:szCs w:val="19"/>
        </w:rPr>
        <w:t xml:space="preserve">Figure 2: Enterprise structure and assignments for the case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Teacher's note</w:t>
            </w:r>
          </w:p>
          <w:p>
            <w:pPr>
              <w:spacing w:after="60" w:line="270"/>
            </w:pPr>
            <w:r>
              <w:rPr>
                <w:sz w:val="20"/>
                <w:szCs w:val="20"/>
              </w:rPr>
              <w:t xml:space="preserve">The numbers 1000, YCOA, V3 and so on are examples. In your own practice system you may use different numbers. What matters is the </w:t>
            </w:r>
            <w:r>
              <w:rPr>
                <w:b/>
                <w:bCs/>
                <w:sz w:val="20"/>
                <w:szCs w:val="20"/>
              </w:rPr>
              <w:t xml:space="preserve">logic of the assignments</w:t>
            </w:r>
            <w:r>
              <w:rPr>
                <w:sz w:val="20"/>
                <w:szCs w:val="20"/>
              </w:rPr>
              <w:t xml:space="preserve">: a company code gets a chart of accounts, a fiscal year variant, a posting period variant and a field status variant, and it is linked to a controlling area for cost accounting.</w:t>
            </w:r>
          </w:p>
        </w:tc>
      </w:tr>
    </w:tbl>
    <w:p>
      <w:pPr>
        <w:pStyle w:val="Heading1"/>
      </w:pPr>
      <w:r>
        <w:t xml:space="preserve">4. Step 1: Enterprise Structure</w:t>
      </w:r>
    </w:p>
    <w:p>
      <w:pPr>
        <w:spacing w:after="140" w:before="0" w:line="288"/>
      </w:pPr>
      <w:r>
        <w:t xml:space="preserve">The enterprise structure is the skeleton of the system. Every posting must belong to a company code, so this is always the first step. Review the definitions from Week 1: the </w:t>
      </w:r>
      <w:r>
        <w:rPr>
          <w:b/>
          <w:bCs/>
        </w:rPr>
        <w:t xml:space="preserve">company code</w:t>
      </w:r>
      <w:r>
        <w:t xml:space="preserve"> is the smallest unit for which a complete set of books can be produced, and the </w:t>
      </w:r>
      <w:r>
        <w:rPr>
          <w:b/>
          <w:bCs/>
        </w:rPr>
        <w:t xml:space="preserve">company</w:t>
      </w:r>
      <w:r>
        <w:t xml:space="preserve"> is the unit used for consolidation.</w:t>
      </w:r>
    </w:p>
    <w:p>
      <w:pPr>
        <w:pStyle w:val="Heading2"/>
      </w:pPr>
      <w:r>
        <w:t xml:space="preserve">4.1 Define Company</w:t>
      </w:r>
    </w:p>
    <w:p>
      <w:pPr>
        <w:spacing w:after="140" w:before="0" w:line="288"/>
      </w:pPr>
      <w:r>
        <w:t xml:space="preserve"/>
      </w:r>
      <w:r>
        <w:rPr>
          <w:b/>
          <w:bCs/>
        </w:rPr>
        <w:t xml:space="preserve">Purpose:</w:t>
      </w:r>
      <w:r>
        <w:t xml:space="preserve"> a company groups one or more company codes for consolidated reporting. For a single legal entity the company and the company code are often given the same number to keep things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Enterprise Structure &gt; Definition &gt; Financial Accounting &gt; Define Company</w:t>
            </w:r>
          </w:p>
          <w:p>
            <w:pPr>
              <w:spacing w:after="40" w:line="260"/>
            </w:pPr>
            <w:r>
              <w:rPr>
                <w:rFonts w:ascii="Consolas" w:cs="Consolas" w:eastAsia="Consolas" w:hAnsi="Consolas"/>
                <w:color w:val="1F2D3A"/>
                <w:sz w:val="19"/>
                <w:szCs w:val="19"/>
              </w:rPr>
              <w:t xml:space="preserve">T-code: OX15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cantSplit/>
          <w:tblHeader/>
        </w:trPr>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Field</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 value</w:t>
            </w:r>
          </w:p>
        </w:tc>
        <w:tc>
          <w:tcPr>
            <w:tcW w:type="dxa" w:w="38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Explanation</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Company</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c>
          <w:tcPr>
            <w:tcW w:type="dxa" w:w="38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Short ID (up to 6 characters)</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Company name</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Utkal Infra Projects Ltd</w:t>
            </w:r>
          </w:p>
        </w:tc>
        <w:tc>
          <w:tcPr>
            <w:tcW w:type="dxa" w:w="38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Legal name of the entity</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Street, city, country</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Bhubaneswar, India (IN)</w:t>
            </w:r>
          </w:p>
        </w:tc>
        <w:tc>
          <w:tcPr>
            <w:tcW w:type="dxa" w:w="38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Address used on reports</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Language and currency</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EN, INR</w:t>
            </w:r>
          </w:p>
        </w:tc>
        <w:tc>
          <w:tcPr>
            <w:tcW w:type="dxa" w:w="38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Default language and the company currency</w:t>
            </w:r>
          </w:p>
        </w:tc>
      </w:tr>
    </w:tbl>
    <w:p>
      <w:pPr>
        <w:pStyle w:val="Heading2"/>
      </w:pPr>
      <w:r>
        <w:t xml:space="preserve">4.2 Define Company Code</w:t>
      </w:r>
    </w:p>
    <w:p>
      <w:pPr>
        <w:spacing w:after="140" w:before="0" w:line="288"/>
      </w:pPr>
      <w:r>
        <w:t xml:space="preserve"/>
      </w:r>
      <w:r>
        <w:rPr>
          <w:b/>
          <w:bCs/>
        </w:rPr>
        <w:t xml:space="preserve">Purpose:</w:t>
      </w:r>
      <w:r>
        <w:t xml:space="preserve"> creates the legal accounting entity. Instead of building from scratch, consultants usually </w:t>
      </w:r>
      <w:r>
        <w:rPr>
          <w:b/>
          <w:bCs/>
        </w:rPr>
        <w:t xml:space="preserve">copy</w:t>
      </w:r>
      <w:r>
        <w:t xml:space="preserve"> the SAP sample company code 0001 together with its dependent settings, then change the name and details. This copy carries many hidden settings (tax, number ranges, account determination) that would take days to create manually.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Enterprise Structure &gt; Definition &gt; Financial Accounting &gt; Edit, Copy, Delete, Check Company Code</w:t>
            </w:r>
          </w:p>
          <w:p>
            <w:pPr>
              <w:spacing w:after="40" w:line="260"/>
            </w:pPr>
            <w:r>
              <w:rPr>
                <w:rFonts w:ascii="Consolas" w:cs="Consolas" w:eastAsia="Consolas" w:hAnsi="Consolas"/>
                <w:color w:val="1F2D3A"/>
                <w:sz w:val="19"/>
                <w:szCs w:val="19"/>
              </w:rPr>
              <w:t xml:space="preserve">T-code to copy: EC01 (Copy, Delete, Check Company Code)</w:t>
            </w:r>
          </w:p>
          <w:p>
            <w:pPr>
              <w:spacing w:after="40" w:line="260"/>
            </w:pPr>
            <w:r>
              <w:rPr>
                <w:rFonts w:ascii="Consolas" w:cs="Consolas" w:eastAsia="Consolas" w:hAnsi="Consolas"/>
                <w:color w:val="1F2D3A"/>
                <w:sz w:val="19"/>
                <w:szCs w:val="19"/>
              </w:rPr>
              <w:t xml:space="preserve">T-code to edit: OX02</w:t>
            </w:r>
          </w:p>
        </w:tc>
      </w:tr>
    </w:tbl>
    <w:p>
      <w:pPr>
        <w:spacing w:after="80"/>
      </w:pPr>
    </w:p>
    <w:p>
      <w:pPr>
        <w:spacing w:after="140" w:before="0" w:line="288"/>
      </w:pPr>
      <w:r>
        <w:t xml:space="preserve"/>
      </w:r>
      <w:r>
        <w:rPr>
          <w:b/>
          <w:bCs/>
        </w:rPr>
        <w:t xml:space="preserve">Procedure to copy (beginner steps):</w:t>
      </w:r>
      <w:r>
        <w:t xml:space="preserve"/>
      </w:r>
    </w:p>
    <w:p>
      <w:pPr>
        <w:pStyle w:val="ListParagraph"/>
        <w:numPr>
          <w:ilvl w:val="0"/>
          <w:numId w:val="3"/>
        </w:numPr>
        <w:spacing w:after="80" w:line="276"/>
      </w:pPr>
      <w:r>
        <w:t xml:space="preserve">Run </w:t>
      </w:r>
      <w:r>
        <w:rPr>
          <w:b/>
          <w:bCs/>
        </w:rPr>
        <w:t xml:space="preserve">SPRO</w:t>
      </w:r>
      <w:r>
        <w:t xml:space="preserve"> and open </w:t>
      </w:r>
      <w:r>
        <w:rPr>
          <w:b/>
          <w:bCs/>
        </w:rPr>
        <w:t xml:space="preserve">Edit, Copy, Delete, Check Company Code</w:t>
      </w:r>
      <w:r>
        <w:t xml:space="preserve">.</w:t>
      </w:r>
    </w:p>
    <w:p>
      <w:pPr>
        <w:pStyle w:val="ListParagraph"/>
        <w:numPr>
          <w:ilvl w:val="0"/>
          <w:numId w:val="3"/>
        </w:numPr>
        <w:spacing w:after="80" w:line="276"/>
      </w:pPr>
      <w:r>
        <w:t xml:space="preserve">Click </w:t>
      </w:r>
      <w:r>
        <w:rPr>
          <w:b/>
          <w:bCs/>
        </w:rPr>
        <w:t xml:space="preserve">Copy, Delete, Check Company Code</w:t>
      </w:r>
      <w:r>
        <w:t xml:space="preserve">, then </w:t>
      </w:r>
      <w:r>
        <w:rPr>
          <w:b/>
          <w:bCs/>
        </w:rPr>
        <w:t xml:space="preserve">Copy Org Object</w:t>
      </w:r>
      <w:r>
        <w:t xml:space="preserve">.</w:t>
      </w:r>
    </w:p>
    <w:p>
      <w:pPr>
        <w:pStyle w:val="ListParagraph"/>
        <w:numPr>
          <w:ilvl w:val="0"/>
          <w:numId w:val="3"/>
        </w:numPr>
        <w:spacing w:after="80" w:line="276"/>
      </w:pPr>
      <w:r>
        <w:t xml:space="preserve">Enter From Company Code </w:t>
      </w:r>
      <w:r>
        <w:rPr>
          <w:b/>
          <w:bCs/>
        </w:rPr>
        <w:t xml:space="preserve">0001</w:t>
      </w:r>
      <w:r>
        <w:t xml:space="preserve"> and To Company Code </w:t>
      </w:r>
      <w:r>
        <w:rPr>
          <w:b/>
          <w:bCs/>
        </w:rPr>
        <w:t xml:space="preserve">1000</w:t>
      </w:r>
      <w:r>
        <w:t xml:space="preserve">, then press Enter.</w:t>
      </w:r>
    </w:p>
    <w:p>
      <w:pPr>
        <w:pStyle w:val="ListParagraph"/>
        <w:numPr>
          <w:ilvl w:val="0"/>
          <w:numId w:val="3"/>
        </w:numPr>
        <w:spacing w:after="80" w:line="276"/>
      </w:pPr>
      <w:r>
        <w:t xml:space="preserve">Choose to transfer the dependent data (such as number ranges and the chart assignment) when SAP asks.</w:t>
      </w:r>
    </w:p>
    <w:p>
      <w:pPr>
        <w:pStyle w:val="ListParagraph"/>
        <w:numPr>
          <w:ilvl w:val="0"/>
          <w:numId w:val="3"/>
        </w:numPr>
        <w:spacing w:after="80" w:line="276"/>
      </w:pPr>
      <w:r>
        <w:t xml:space="preserve">Save in a transport request. Then open </w:t>
      </w:r>
      <w:r>
        <w:rPr>
          <w:b/>
          <w:bCs/>
        </w:rPr>
        <w:t xml:space="preserve">OX02</w:t>
      </w:r>
      <w:r>
        <w:t xml:space="preserve"> and change the name, city, country and currency of company code 1000.</w:t>
      </w:r>
    </w:p>
    <w:p>
      <w:pPr>
        <w:pStyle w:val="Heading2"/>
      </w:pPr>
      <w:r>
        <w:t xml:space="preserve">4.3 Global parameters for the company code</w:t>
      </w:r>
    </w:p>
    <w:p>
      <w:pPr>
        <w:spacing w:after="140" w:before="0" w:line="288"/>
      </w:pPr>
      <w:r>
        <w:t xml:space="preserve"/>
      </w:r>
      <w:r>
        <w:rPr>
          <w:b/>
          <w:bCs/>
        </w:rPr>
        <w:t xml:space="preserve">Purpose:</w:t>
      </w:r>
      <w:r>
        <w:t xml:space="preserve"> global parameters tie the company code to the main controlling objects of the system: its chart of accounts, fiscal year variant, field status variant and posting period 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Financial Accounting Global Settings &gt; Company Code &gt; Enter Global Parameters</w:t>
            </w:r>
          </w:p>
          <w:p>
            <w:pPr>
              <w:spacing w:after="40" w:line="260"/>
            </w:pPr>
            <w:r>
              <w:rPr>
                <w:rFonts w:ascii="Consolas" w:cs="Consolas" w:eastAsia="Consolas" w:hAnsi="Consolas"/>
                <w:color w:val="1F2D3A"/>
                <w:sz w:val="19"/>
                <w:szCs w:val="19"/>
              </w:rPr>
              <w:t xml:space="preserve">T-code: OBY6</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cantSplit/>
          <w:tblHeader/>
        </w:trPr>
        <w:tc>
          <w:tcPr>
            <w:tcW w:type="dxa" w:w="2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Parameter</w:t>
            </w:r>
          </w:p>
        </w:tc>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 value</w:t>
            </w:r>
          </w:p>
        </w:tc>
        <w:tc>
          <w:tcPr>
            <w:tcW w:type="dxa" w:w="45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it controls</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Company</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Links company code to the company defined in 4.1</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Chart of accounts</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YCOA</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List of GL accounts used by this company code</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Fiscal year variant</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V3</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April to March with special periods</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Field status variant</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Which fields are mandatory, optional or hidden on postings</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Posting period variant</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Which periods are open for posting</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Country key and currency</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 INR</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Local country settings and company code currency</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Max. exchange rate deviation</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e.g. 10%</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Warns users if a manual exchange rate differs too much from the table rate</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Negative postings allowed</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Decision by company policy</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Allows reversal postings with negative amounts; many Indian clients keep this off</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one company code per legal entity, not per state</w:t>
            </w:r>
          </w:p>
          <w:p>
            <w:pPr>
              <w:spacing w:after="60" w:line="270"/>
            </w:pPr>
            <w:r>
              <w:rPr>
                <w:sz w:val="20"/>
                <w:szCs w:val="20"/>
              </w:rPr>
              <w:t xml:space="preserve">A frequent beginner question is whether a company with GST registrations in several states needs one company code per state. In SAP India, the answer is normally </w:t>
            </w:r>
            <w:r>
              <w:rPr>
                <w:b/>
                <w:bCs/>
                <w:sz w:val="20"/>
                <w:szCs w:val="20"/>
              </w:rPr>
              <w:t xml:space="preserve">no</w:t>
            </w:r>
            <w:r>
              <w:rPr>
                <w:sz w:val="20"/>
                <w:szCs w:val="20"/>
              </w:rPr>
              <w:t xml:space="preserve">. The </w:t>
            </w:r>
            <w:r>
              <w:rPr>
                <w:b/>
                <w:bCs/>
                <w:sz w:val="20"/>
                <w:szCs w:val="20"/>
              </w:rPr>
              <w:t xml:space="preserve">company code follows the legal entity</w:t>
            </w:r>
            <w:r>
              <w:rPr>
                <w:sz w:val="20"/>
                <w:szCs w:val="20"/>
              </w:rPr>
              <w:t xml:space="preserve"> (one set of books), while each state registration is handled through a </w:t>
            </w:r>
            <w:r>
              <w:rPr>
                <w:b/>
                <w:bCs/>
                <w:sz w:val="20"/>
                <w:szCs w:val="20"/>
              </w:rPr>
              <w:t xml:space="preserve">Business Place</w:t>
            </w:r>
            <w:r>
              <w:rPr>
                <w:sz w:val="20"/>
                <w:szCs w:val="20"/>
              </w:rPr>
              <w:t xml:space="preserve"> and </w:t>
            </w:r>
            <w:r>
              <w:rPr>
                <w:b/>
                <w:bCs/>
                <w:sz w:val="20"/>
                <w:szCs w:val="20"/>
              </w:rPr>
              <w:t xml:space="preserve">Section Code</w:t>
            </w:r>
            <w:r>
              <w:rPr>
                <w:sz w:val="20"/>
                <w:szCs w:val="20"/>
              </w:rPr>
              <w:t xml:space="preserve">. This is analysed further in Case Study 1 (Section 16).</w:t>
            </w:r>
          </w:p>
        </w:tc>
      </w:tr>
    </w:tbl>
    <w:p>
      <w:pPr>
        <w:spacing w:after="120"/>
      </w:pPr>
    </w:p>
    <w:p>
      <w:pPr>
        <w:pStyle w:val="Heading2"/>
      </w:pPr>
      <w:r>
        <w:t xml:space="preserve">4.4 Assign Company Code to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Enterprise Structure &gt; Assignment &gt; Financial Accounting &gt; Assign Company Code to Company</w:t>
            </w:r>
          </w:p>
          <w:p>
            <w:pPr>
              <w:spacing w:after="40" w:line="260"/>
            </w:pPr>
            <w:r>
              <w:rPr>
                <w:rFonts w:ascii="Consolas" w:cs="Consolas" w:eastAsia="Consolas" w:hAnsi="Consolas"/>
                <w:color w:val="1F2D3A"/>
                <w:sz w:val="19"/>
                <w:szCs w:val="19"/>
              </w:rPr>
              <w:t xml:space="preserve">T-code: OX16</w:t>
            </w:r>
          </w:p>
        </w:tc>
      </w:tr>
    </w:tbl>
    <w:p>
      <w:pPr>
        <w:spacing w:after="80"/>
      </w:pPr>
    </w:p>
    <w:p>
      <w:pPr>
        <w:spacing w:after="140" w:before="0" w:line="288"/>
      </w:pPr>
      <w:r>
        <w:t xml:space="preserve">Select company code 1000 and assign it to company 1000. This is a simple screen, but without it consolidation reports will not find the company code.</w:t>
      </w:r>
    </w:p>
    <w:p>
      <w:pPr>
        <w:pStyle w:val="Heading2"/>
      </w:pPr>
      <w:r>
        <w:t xml:space="preserve">4.5 Common mistakes in this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Mistake</w:t>
            </w:r>
          </w:p>
        </w:tc>
        <w:tc>
          <w:tcPr>
            <w:tcW w:type="dxa" w:w="57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Consequence and prevention</w:t>
            </w:r>
          </w:p>
        </w:tc>
      </w:tr>
      <w:tr>
        <w:trPr>
          <w:cantSplit/>
        </w:trPr>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Creating a company code from scratch instead of copying</w:t>
            </w:r>
          </w:p>
        </w:tc>
        <w:tc>
          <w:tcPr>
            <w:tcW w:type="dxa" w:w="5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Missing dependent settings; many hidden errors later. Prefer EC01 copy.</w:t>
            </w:r>
          </w:p>
        </w:tc>
      </w:tr>
      <w:tr>
        <w:trPr>
          <w:cantSplit/>
        </w:trPr>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Wrong currency or country at creation</w:t>
            </w:r>
          </w:p>
        </w:tc>
        <w:tc>
          <w:tcPr>
            <w:tcW w:type="dxa" w:w="5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Difficult to correct after postings exist. Confirm with the finance head before saving.</w:t>
            </w:r>
          </w:p>
        </w:tc>
      </w:tr>
      <w:tr>
        <w:trPr>
          <w:cantSplit/>
        </w:trPr>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Forgetting to assign to company</w:t>
            </w:r>
          </w:p>
        </w:tc>
        <w:tc>
          <w:tcPr>
            <w:tcW w:type="dxa" w:w="5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Group reporting does not include the entity.</w:t>
            </w:r>
          </w:p>
        </w:tc>
      </w:tr>
      <w:tr>
        <w:trPr>
          <w:cantSplit/>
        </w:trPr>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Skipping the transport request description</w:t>
            </w:r>
          </w:p>
        </w:tc>
        <w:tc>
          <w:tcPr>
            <w:tcW w:type="dxa" w:w="5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Hard to trace the change during audits.</w:t>
            </w:r>
          </w:p>
        </w:tc>
      </w:tr>
    </w:tbl>
    <w:p>
      <w:pPr>
        <w:pStyle w:val="Heading1"/>
      </w:pPr>
      <w:r>
        <w:t xml:space="preserve">5. Step 2: Financial Accounting Global Settings</w:t>
      </w:r>
    </w:p>
    <w:p>
      <w:pPr>
        <w:spacing w:after="140" w:before="0" w:line="288"/>
      </w:pPr>
      <w:r>
        <w:t xml:space="preserve">Global settings define the time frame, document control and currency rules that apply to every posting. Think of them as the "rules of the accounting year" and the "voucher rules" of Tally.</w:t>
      </w:r>
    </w:p>
    <w:p>
      <w:pPr>
        <w:pStyle w:val="Heading2"/>
      </w:pPr>
      <w:r>
        <w:t xml:space="preserve">5.1 Fiscal year variant</w:t>
      </w:r>
    </w:p>
    <w:p>
      <w:pPr>
        <w:spacing w:after="140" w:before="0" w:line="288"/>
      </w:pPr>
      <w:r>
        <w:t xml:space="preserve"/>
      </w:r>
      <w:r>
        <w:rPr>
          <w:b/>
          <w:bCs/>
        </w:rPr>
        <w:t xml:space="preserve">Purpose:</w:t>
      </w:r>
      <w:r>
        <w:t xml:space="preserve"> tells SAP when the financial year starts and how many posting periods it has. India follows April to March. SAP gives 12 normal periods plus up to 4 </w:t>
      </w:r>
      <w:r>
        <w:rPr>
          <w:b/>
          <w:bCs/>
        </w:rPr>
        <w:t xml:space="preserve">special periods</w:t>
      </w:r>
      <w:r>
        <w:t xml:space="preserve">, which are used for year-end audit adjustments after March, such as audit entries, tax adjustments and provisions, without disturbing regular periods.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Financial Accounting Global Settings &gt; Ledgers &gt; Fiscal Year and Posting Periods &gt; Maintain Fiscal Year Variant</w:t>
            </w:r>
          </w:p>
          <w:p>
            <w:pPr>
              <w:spacing w:after="40" w:line="260"/>
            </w:pPr>
            <w:r>
              <w:rPr>
                <w:rFonts w:ascii="Consolas" w:cs="Consolas" w:eastAsia="Consolas" w:hAnsi="Consolas"/>
                <w:color w:val="1F2D3A"/>
                <w:sz w:val="19"/>
                <w:szCs w:val="19"/>
              </w:rPr>
              <w:t xml:space="preserve">T-codes: OB29 (maintain variant), OB37 (assign to company code)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cantSplit/>
          <w:tblHeader/>
        </w:trPr>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Item</w:t>
            </w:r>
          </w:p>
        </w:tc>
        <w:tc>
          <w:tcPr>
            <w:tcW w:type="dxa" w:w="2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w:t>
            </w:r>
          </w:p>
        </w:tc>
        <w:tc>
          <w:tcPr>
            <w:tcW w:type="dxa" w:w="42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Explanation</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Fiscal year variant</w:t>
            </w:r>
          </w:p>
        </w:tc>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V3</w:t>
            </w:r>
          </w:p>
        </w:tc>
        <w:tc>
          <w:tcPr>
            <w:tcW w:type="dxa" w:w="4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Standard SAP variant for April to March with 4 special periods</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Calendar year dependent</w:t>
            </w:r>
          </w:p>
        </w:tc>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Not selected</w:t>
            </w:r>
          </w:p>
        </w:tc>
        <w:tc>
          <w:tcPr>
            <w:tcW w:type="dxa" w:w="4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Year does not equal the calendar year</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Year shift</w:t>
            </w:r>
          </w:p>
        </w:tc>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Periods 10, 11, 12 shifted by +1</w:t>
            </w:r>
          </w:p>
        </w:tc>
        <w:tc>
          <w:tcPr>
            <w:tcW w:type="dxa" w:w="4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January to March belong to the next calendar year but the same fiscal year</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Special periods</w:t>
            </w:r>
          </w:p>
        </w:tc>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13, 14, 15, 16</w:t>
            </w:r>
          </w:p>
        </w:tc>
        <w:tc>
          <w:tcPr>
            <w:tcW w:type="dxa" w:w="4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Used for audit adjustments after 31 March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w:t>
            </w:r>
          </w:p>
          <w:p>
            <w:pPr>
              <w:spacing w:after="60" w:line="270"/>
            </w:pPr>
            <w:r>
              <w:rPr>
                <w:sz w:val="20"/>
                <w:szCs w:val="20"/>
              </w:rPr>
              <w:t xml:space="preserve">Use the standard variant V3 for Indian companies unless there is a strong reason to change it. If a group has a subsidiary with a different year end, create a separate variant for that company code. The controlling area and the company code </w:t>
            </w:r>
            <w:r>
              <w:rPr>
                <w:b/>
                <w:bCs/>
                <w:sz w:val="20"/>
                <w:szCs w:val="20"/>
              </w:rPr>
              <w:t xml:space="preserve">must share the same fiscal year variant</w:t>
            </w:r>
            <w:r>
              <w:rPr>
                <w:sz w:val="20"/>
                <w:szCs w:val="20"/>
              </w:rPr>
              <w:t xml:space="preserve">, or CO postings will fail.</w:t>
            </w:r>
          </w:p>
        </w:tc>
      </w:tr>
    </w:tbl>
    <w:p>
      <w:pPr>
        <w:spacing w:after="120"/>
      </w:pPr>
    </w:p>
    <w:p>
      <w:pPr>
        <w:pStyle w:val="Heading2"/>
      </w:pPr>
      <w:r>
        <w:t xml:space="preserve">5.2 Posting period variant and opening periods</w:t>
      </w:r>
    </w:p>
    <w:p>
      <w:pPr>
        <w:spacing w:after="140" w:before="0" w:line="288"/>
      </w:pPr>
      <w:r>
        <w:t xml:space="preserve"/>
      </w:r>
      <w:r>
        <w:rPr>
          <w:b/>
          <w:bCs/>
        </w:rPr>
        <w:t xml:space="preserve">Purpose:</w:t>
      </w:r>
      <w:r>
        <w:t xml:space="preserve"> controls which months are open for posting. When month-end is complete, the finance team closes the period so that nobody can post back-dated entries. This is the SAP equivalent of locking books after filing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Financial Accounting Global Settings &gt; Document &gt; Posting Periods</w:t>
            </w:r>
          </w:p>
          <w:p>
            <w:pPr>
              <w:spacing w:after="40" w:line="260"/>
            </w:pPr>
            <w:r>
              <w:rPr>
                <w:rFonts w:ascii="Consolas" w:cs="Consolas" w:eastAsia="Consolas" w:hAnsi="Consolas"/>
                <w:color w:val="1F2D3A"/>
                <w:sz w:val="19"/>
                <w:szCs w:val="19"/>
              </w:rPr>
              <w:t xml:space="preserve">T-codes: OBBO (define variant), OBBP (assign to company code), OB52 (open and close periods)</w:t>
            </w:r>
          </w:p>
        </w:tc>
      </w:tr>
    </w:tbl>
    <w:p>
      <w:pPr>
        <w:spacing w:after="80"/>
      </w:pPr>
    </w:p>
    <w:p>
      <w:pPr>
        <w:pStyle w:val="ListParagraph"/>
        <w:numPr>
          <w:ilvl w:val="0"/>
          <w:numId w:val="4"/>
        </w:numPr>
        <w:spacing w:after="80" w:line="276"/>
      </w:pPr>
      <w:r>
        <w:t xml:space="preserve">In </w:t>
      </w:r>
      <w:r>
        <w:rPr>
          <w:b/>
          <w:bCs/>
        </w:rPr>
        <w:t xml:space="preserve">OBBO</w:t>
      </w:r>
      <w:r>
        <w:t xml:space="preserve">, create posting period variant </w:t>
      </w:r>
      <w:r>
        <w:rPr>
          <w:b/>
          <w:bCs/>
        </w:rPr>
        <w:t xml:space="preserve">1000</w:t>
      </w:r>
      <w:r>
        <w:t xml:space="preserve"> with the name "Utkal Infra".</w:t>
      </w:r>
    </w:p>
    <w:p>
      <w:pPr>
        <w:pStyle w:val="ListParagraph"/>
        <w:numPr>
          <w:ilvl w:val="0"/>
          <w:numId w:val="4"/>
        </w:numPr>
        <w:spacing w:after="80" w:line="276"/>
      </w:pPr>
      <w:r>
        <w:t xml:space="preserve">In </w:t>
      </w:r>
      <w:r>
        <w:rPr>
          <w:b/>
          <w:bCs/>
        </w:rPr>
        <w:t xml:space="preserve">OBBP</w:t>
      </w:r>
      <w:r>
        <w:t xml:space="preserve">, assign variant 1000 to company code 1000.</w:t>
      </w:r>
    </w:p>
    <w:p>
      <w:pPr>
        <w:pStyle w:val="ListParagraph"/>
        <w:numPr>
          <w:ilvl w:val="0"/>
          <w:numId w:val="4"/>
        </w:numPr>
        <w:spacing w:after="80" w:line="276"/>
      </w:pPr>
      <w:r>
        <w:t xml:space="preserve">In </w:t>
      </w:r>
      <w:r>
        <w:rPr>
          <w:b/>
          <w:bCs/>
        </w:rPr>
        <w:t xml:space="preserve">OB52</w:t>
      </w:r>
      <w:r>
        <w:t xml:space="preserve">, enter the account types: </w:t>
      </w:r>
      <w:r>
        <w:rPr>
          <w:b/>
          <w:bCs/>
        </w:rPr>
        <w:t xml:space="preserve">+</w:t>
      </w:r>
      <w:r>
        <w:t xml:space="preserve"> (all accounts), </w:t>
      </w:r>
      <w:r>
        <w:rPr>
          <w:b/>
          <w:bCs/>
        </w:rPr>
        <w:t xml:space="preserve">A</w:t>
      </w:r>
      <w:r>
        <w:t xml:space="preserve"> (assets), </w:t>
      </w:r>
      <w:r>
        <w:rPr>
          <w:b/>
          <w:bCs/>
        </w:rPr>
        <w:t xml:space="preserve">D</w:t>
      </w:r>
      <w:r>
        <w:t xml:space="preserve"> (customers), </w:t>
      </w:r>
      <w:r>
        <w:rPr>
          <w:b/>
          <w:bCs/>
        </w:rPr>
        <w:t xml:space="preserve">K</w:t>
      </w:r>
      <w:r>
        <w:t xml:space="preserve"> (vendors), </w:t>
      </w:r>
      <w:r>
        <w:rPr>
          <w:b/>
          <w:bCs/>
        </w:rPr>
        <w:t xml:space="preserve">S</w:t>
      </w:r>
      <w:r>
        <w:t xml:space="preserve"> (GL), </w:t>
      </w:r>
      <w:r>
        <w:rPr>
          <w:b/>
          <w:bCs/>
        </w:rPr>
        <w:t xml:space="preserve">M</w:t>
      </w:r>
      <w:r>
        <w:t xml:space="preserve"> (material).</w:t>
      </w:r>
    </w:p>
    <w:p>
      <w:pPr>
        <w:pStyle w:val="ListParagraph"/>
        <w:numPr>
          <w:ilvl w:val="0"/>
          <w:numId w:val="4"/>
        </w:numPr>
        <w:spacing w:after="80" w:line="276"/>
      </w:pPr>
      <w:r>
        <w:t xml:space="preserve">For each account type, give the open period range, for example From 04/2026 To 12/2026 (current open interval), and also open the special periods when audit adjustments are expected.</w:t>
      </w:r>
    </w:p>
    <w:p>
      <w:pPr>
        <w:spacing w:after="140" w:before="0" w:line="288"/>
      </w:pPr>
      <w:r>
        <w:t xml:space="preserve">A good practice is to keep </w:t>
      </w:r>
      <w:r>
        <w:rPr>
          <w:b/>
          <w:bCs/>
        </w:rPr>
        <w:t xml:space="preserve">two intervals</w:t>
      </w:r>
      <w:r>
        <w:t xml:space="preserve">: interval 1 is the normal open period for all users; interval 2 is a wider window (including special periods) available only to authorised users through authorisation group.</w:t>
      </w:r>
    </w:p>
    <w:p>
      <w:pPr>
        <w:pStyle w:val="Heading2"/>
      </w:pPr>
      <w:r>
        <w:t xml:space="preserve">5.3 Document types, number ranges and posting keys</w:t>
      </w:r>
    </w:p>
    <w:p>
      <w:pPr>
        <w:spacing w:after="140" w:before="0" w:line="288"/>
      </w:pPr>
      <w:r>
        <w:t xml:space="preserve">Every accounting document in SAP carries a </w:t>
      </w:r>
      <w:r>
        <w:rPr>
          <w:b/>
          <w:bCs/>
        </w:rPr>
        <w:t xml:space="preserve">document type</w:t>
      </w:r>
      <w:r>
        <w:t xml:space="preserve"> (what kind of entry it is) and a </w:t>
      </w:r>
      <w:r>
        <w:rPr>
          <w:b/>
          <w:bCs/>
        </w:rPr>
        <w:t xml:space="preserve">document number</w:t>
      </w:r>
      <w:r>
        <w:t xml:space="preserve"> (taken from a number range). A </w:t>
      </w:r>
      <w:r>
        <w:rPr>
          <w:b/>
          <w:bCs/>
        </w:rPr>
        <w:t xml:space="preserve">posting key</w:t>
      </w:r>
      <w:r>
        <w:t xml:space="preserve"> tells SAP whether a line is a debit or credit and which kind of account it hits. These work like voucher types and voucher numbering in Tally.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Financial Accounting Global Settings &gt; Document &gt; Document Header &gt; Define Document Types</w:t>
            </w:r>
          </w:p>
          <w:p>
            <w:pPr>
              <w:spacing w:after="40" w:line="260"/>
            </w:pPr>
            <w:r>
              <w:rPr>
                <w:rFonts w:ascii="Consolas" w:cs="Consolas" w:eastAsia="Consolas" w:hAnsi="Consolas"/>
                <w:color w:val="1F2D3A"/>
                <w:sz w:val="19"/>
                <w:szCs w:val="19"/>
              </w:rPr>
              <w:t xml:space="preserve">T-codes: OBA7 (document types), FBN1 (number ranges), OB41 (posting keys)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cantSplit/>
          <w:tblHeader/>
        </w:trPr>
        <w:tc>
          <w:tcPr>
            <w:tcW w:type="dxa" w:w="1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Doc type</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c>
          <w:tcPr>
            <w:tcW w:type="dxa" w:w="47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Tally voucher comparison</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SA</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General ledger document</w:t>
            </w:r>
          </w:p>
        </w:tc>
        <w:tc>
          <w:tcPr>
            <w:tcW w:type="dxa" w:w="4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Journal voucher</w:t>
            </w:r>
          </w:p>
        </w:tc>
      </w:tr>
      <w:tr>
        <w:trPr>
          <w:cantSplit/>
        </w:trPr>
        <w:tc>
          <w:tcPr>
            <w:tcW w:type="dxa" w:w="1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KR</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Vendor invoice</w:t>
            </w:r>
          </w:p>
        </w:tc>
        <w:tc>
          <w:tcPr>
            <w:tcW w:type="dxa" w:w="4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Purchase voucher</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KZ</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Vendor payment</w:t>
            </w:r>
          </w:p>
        </w:tc>
        <w:tc>
          <w:tcPr>
            <w:tcW w:type="dxa" w:w="4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Payment voucher</w:t>
            </w:r>
          </w:p>
        </w:tc>
      </w:tr>
      <w:tr>
        <w:trPr>
          <w:cantSplit/>
        </w:trPr>
        <w:tc>
          <w:tcPr>
            <w:tcW w:type="dxa" w:w="1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DR</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Customer invoice</w:t>
            </w:r>
          </w:p>
        </w:tc>
        <w:tc>
          <w:tcPr>
            <w:tcW w:type="dxa" w:w="4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Sales voucher</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DZ</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Customer payment</w:t>
            </w:r>
          </w:p>
        </w:tc>
        <w:tc>
          <w:tcPr>
            <w:tcW w:type="dxa" w:w="4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Receipt voucher</w:t>
            </w:r>
          </w:p>
        </w:tc>
      </w:tr>
      <w:tr>
        <w:trPr>
          <w:cantSplit/>
        </w:trPr>
        <w:tc>
          <w:tcPr>
            <w:tcW w:type="dxa" w:w="1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AA</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Asset posting</w:t>
            </w:r>
          </w:p>
        </w:tc>
        <w:tc>
          <w:tcPr>
            <w:tcW w:type="dxa" w:w="4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Journal voucher (fixed asset)</w:t>
            </w:r>
          </w:p>
        </w:tc>
      </w:tr>
      <w:tr>
        <w:trPr>
          <w:cantSplit/>
        </w:trPr>
        <w:tc>
          <w:tcPr>
            <w:tcW w:type="dxa" w:w="1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AF</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Depreciation posting</w:t>
            </w:r>
          </w:p>
        </w:tc>
        <w:tc>
          <w:tcPr>
            <w:tcW w:type="dxa" w:w="4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Journal voucher (depreciation)</w:t>
            </w:r>
          </w:p>
        </w:tc>
      </w:tr>
      <w:tr>
        <w:trPr>
          <w:cantSplit/>
        </w:trPr>
        <w:tc>
          <w:tcPr>
            <w:tcW w:type="dxa" w:w="1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WE / RE</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Goods receipt / Invoice receipt (from MM)</w:t>
            </w:r>
          </w:p>
        </w:tc>
        <w:tc>
          <w:tcPr>
            <w:tcW w:type="dxa" w:w="4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Purchase entry posted automatically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Posting key</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c>
          <w:tcPr>
            <w:tcW w:type="dxa" w:w="45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Used for</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40</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Debit entry (GL account)</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Expense, asset, bank</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50</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Credit entry (GL account)</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Income, liability, bank</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31</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Vendor invoice (credit)</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Creates payable</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25</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Vendor payment (debit)</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Clears payable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01</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Customer invoice (debit)</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Creates receivable</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15</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Customer payment (credit)</w:t>
            </w:r>
          </w:p>
        </w:tc>
        <w:tc>
          <w:tcPr>
            <w:tcW w:type="dxa" w:w="4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Clears receivable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70 / 75</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Asset debit / credit</w:t>
            </w:r>
          </w:p>
        </w:tc>
        <w:tc>
          <w:tcPr>
            <w:tcW w:type="dxa" w:w="4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Capitalisation and retirement</w:t>
            </w:r>
          </w:p>
        </w:tc>
      </w:tr>
    </w:tbl>
    <w:p>
      <w:pPr>
        <w:spacing w:after="120"/>
      </w:pPr>
    </w:p>
    <w:p>
      <w:pPr>
        <w:spacing w:after="140" w:before="0" w:line="288"/>
      </w:pPr>
      <w:r>
        <w:t xml:space="preserve"/>
      </w:r>
      <w:r>
        <w:rPr>
          <w:b/>
          <w:bCs/>
        </w:rPr>
        <w:t xml:space="preserve">Number ranges (FBN1):</w:t>
      </w:r>
      <w:r>
        <w:t xml:space="preserve"> each document type points to a number range, for example KR documents 1900000000 to 1999999999. Number ranges are defined </w:t>
      </w:r>
      <w:r>
        <w:rPr>
          <w:b/>
          <w:bCs/>
        </w:rPr>
        <w:t xml:space="preserve">per company code and per fiscal year</w:t>
      </w:r>
      <w:r>
        <w:t xml:space="preserve">. Use </w:t>
      </w:r>
      <w:r>
        <w:rPr>
          <w:b/>
          <w:bCs/>
        </w:rPr>
        <w:t xml:space="preserve">internal numbering</w:t>
      </w:r>
      <w:r>
        <w:t xml:space="preserve"> (SAP assigns the next number) for normal documents so that gaps are minimised. External numbering is used only when the number comes from another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number ranges and the audit</w:t>
            </w:r>
          </w:p>
          <w:p>
            <w:pPr>
              <w:spacing w:after="60" w:line="270"/>
            </w:pPr>
            <w:r>
              <w:rPr>
                <w:sz w:val="20"/>
                <w:szCs w:val="20"/>
              </w:rPr>
              <w:t xml:space="preserve">Auditors and GST officers check for missing invoice numbers. A common design is separate document types or number ranges for different series, such as a dedicated range for sales invoices of each business place. Missing numbers should be explainable, such as a posting that was never saved or a reversal document.</w:t>
            </w:r>
          </w:p>
        </w:tc>
      </w:tr>
    </w:tbl>
    <w:p>
      <w:pPr>
        <w:spacing w:after="120"/>
      </w:pPr>
    </w:p>
    <w:p>
      <w:pPr>
        <w:pStyle w:val="Heading2"/>
      </w:pPr>
      <w:r>
        <w:t xml:space="preserve">5.4 Field status variants and groups</w:t>
      </w:r>
    </w:p>
    <w:p>
      <w:pPr>
        <w:spacing w:after="140" w:before="0" w:line="288"/>
      </w:pPr>
      <w:r>
        <w:t xml:space="preserve"/>
      </w:r>
      <w:r>
        <w:rPr>
          <w:b/>
          <w:bCs/>
        </w:rPr>
        <w:t xml:space="preserve">Purpose:</w:t>
      </w:r>
      <w:r>
        <w:t xml:space="preserve"> control which fields appear (required, optional, suppressed or display-only) when users post to a GL account. For example, for an expense account you may want "Cost Center" to be a </w:t>
      </w:r>
      <w:r>
        <w:rPr>
          <w:b/>
          <w:bCs/>
        </w:rPr>
        <w:t xml:space="preserve">required entry</w:t>
      </w:r>
      <w:r>
        <w:t xml:space="preserve"> so no expense is booked without a responsible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General Ledger Accounting &gt; Business Transactions &gt; G/L Account Posting &gt; Define Field Status Variants</w:t>
            </w:r>
          </w:p>
          <w:p>
            <w:pPr>
              <w:spacing w:after="40" w:line="260"/>
            </w:pPr>
            <w:r>
              <w:rPr>
                <w:rFonts w:ascii="Consolas" w:cs="Consolas" w:eastAsia="Consolas" w:hAnsi="Consolas"/>
                <w:color w:val="1F2D3A"/>
                <w:sz w:val="19"/>
                <w:szCs w:val="19"/>
              </w:rPr>
              <w:t xml:space="preserve">T-code: OBC4</w:t>
            </w:r>
          </w:p>
        </w:tc>
      </w:tr>
    </w:tbl>
    <w:p>
      <w:pPr>
        <w:spacing w:after="80"/>
      </w:pPr>
    </w:p>
    <w:p>
      <w:pPr>
        <w:spacing w:after="140" w:before="0" w:line="288"/>
      </w:pPr>
      <w:r>
        <w:t xml:space="preserve">A </w:t>
      </w:r>
      <w:r>
        <w:rPr>
          <w:b/>
          <w:bCs/>
        </w:rPr>
        <w:t xml:space="preserve">field status variant</w:t>
      </w:r>
      <w:r>
        <w:t xml:space="preserve"> (for example 1000) contains many </w:t>
      </w:r>
      <w:r>
        <w:rPr>
          <w:b/>
          <w:bCs/>
        </w:rPr>
        <w:t xml:space="preserve">field status groups</w:t>
      </w:r>
      <w:r>
        <w:t xml:space="preserve"> (for example G001 General, G002 Cash accounts, G003 Material accounts). Each group has sub-groups of fields such as "Additional account assignments", "Document header text" and "Payment data". You assign a field status group to every GL account in its company code data.</w:t>
      </w:r>
    </w:p>
    <w:p>
      <w:pPr>
        <w:spacing w:after="60"/>
      </w:pPr>
    </w:p>
    <w:p>
      <w:pPr>
        <w:pStyle w:val="Heading2"/>
      </w:pPr>
      <w:r>
        <w:t xml:space="preserve">5.5 Currency settings</w:t>
      </w:r>
    </w:p>
    <w:p>
      <w:pPr>
        <w:spacing w:after="140" w:before="0" w:line="288"/>
      </w:pPr>
      <w:r>
        <w:t xml:space="preserve">Every company code has a </w:t>
      </w:r>
      <w:r>
        <w:rPr>
          <w:b/>
          <w:bCs/>
        </w:rPr>
        <w:t xml:space="preserve">company code currency</w:t>
      </w:r>
      <w:r>
        <w:t xml:space="preserve"> (INR). Additional currencies, such as a group currency (USD) for the parent company, can be activated as parallel currencies. Exchange rates are maintained in a table by exchange rate type (M is the standard average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T-codes: OB22 (additional local currencies), OB08 (maintain exchange rates)</w:t>
            </w:r>
          </w:p>
        </w:tc>
      </w:tr>
    </w:tbl>
    <w:p>
      <w:pPr>
        <w:spacing w:after="80"/>
      </w:pPr>
    </w:p>
    <w:p>
      <w:pPr>
        <w:spacing w:after="140" w:before="0" w:line="288"/>
      </w:pPr>
      <w:r>
        <w:t xml:space="preserve"/>
      </w:r>
      <w:r>
        <w:rPr>
          <w:b/>
          <w:bCs/>
        </w:rPr>
        <w:t xml:space="preserve">Indian example:</w:t>
      </w:r>
      <w:r>
        <w:t xml:space="preserve"> a company imports machinery from Germany for EUR 50,000. Users post the invoice in EUR; SAP converts to INR using the OB08 rate for the posting date. At month-end, open EUR payables are revalued and the exchange gain or loss goes to the accounts configured for exchange rate differences (OBA1).</w:t>
      </w:r>
    </w:p>
    <w:p>
      <w:pPr>
        <w:pStyle w:val="Heading1"/>
      </w:pPr>
      <w:r>
        <w:t xml:space="preserve">6. Step 3: General Ledger Accounting</w:t>
      </w:r>
    </w:p>
    <w:p>
      <w:pPr>
        <w:pStyle w:val="Heading2"/>
      </w:pPr>
      <w:r>
        <w:t xml:space="preserve">6.1 Chart of accounts</w:t>
      </w:r>
    </w:p>
    <w:p>
      <w:pPr>
        <w:spacing w:after="140" w:before="0" w:line="288"/>
      </w:pPr>
      <w:r>
        <w:t xml:space="preserve"/>
      </w:r>
      <w:r>
        <w:rPr>
          <w:b/>
          <w:bCs/>
        </w:rPr>
        <w:t xml:space="preserve">Purpose:</w:t>
      </w:r>
      <w:r>
        <w:t xml:space="preserve"> the chart of accounts is the master list of GL accounts. SAP provides sample charts, including </w:t>
      </w:r>
      <w:r>
        <w:rPr>
          <w:b/>
          <w:bCs/>
        </w:rPr>
        <w:t xml:space="preserve">CAIN</w:t>
      </w:r>
      <w:r>
        <w:t xml:space="preserve">, the India chart of accounts. The best practice is to </w:t>
      </w:r>
      <w:r>
        <w:rPr>
          <w:b/>
          <w:bCs/>
        </w:rPr>
        <w:t xml:space="preserve">copy</w:t>
      </w:r>
      <w:r>
        <w:t xml:space="preserve"> a sample chart into your own (YCOA) and modify it, rather than using the sample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General Ledger Accounting &gt; Master Data &gt; G/L Accounts &gt; Preparations &gt; Edit Chart of Accounts List</w:t>
            </w:r>
          </w:p>
          <w:p>
            <w:pPr>
              <w:spacing w:after="40" w:line="260"/>
            </w:pPr>
            <w:r>
              <w:rPr>
                <w:rFonts w:ascii="Consolas" w:cs="Consolas" w:eastAsia="Consolas" w:hAnsi="Consolas"/>
                <w:color w:val="1F2D3A"/>
                <w:sz w:val="19"/>
                <w:szCs w:val="19"/>
              </w:rPr>
              <w:t xml:space="preserve">T-codes: OB13 (define chart), OB62 (assign to company code)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326"/>
      </w:tblGrid>
      <w:tr>
        <w:trPr>
          <w:cantSplit/>
          <w:tblHeader/>
        </w:trPr>
        <w:tc>
          <w:tcPr>
            <w:tcW w:type="dxa" w:w="2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Field</w:t>
            </w:r>
          </w:p>
        </w:tc>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w:t>
            </w:r>
          </w:p>
        </w:tc>
        <w:tc>
          <w:tcPr>
            <w:tcW w:type="dxa" w:w="4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Notes</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Chart of accounts</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YCOA</w:t>
            </w:r>
          </w:p>
        </w:tc>
        <w:tc>
          <w:tcPr>
            <w:tcW w:type="dxa" w:w="4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Four-character key</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Description</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Utkal Infra Chart of Accounts</w:t>
            </w:r>
          </w:p>
        </w:tc>
        <w:tc>
          <w:tcPr>
            <w:tcW w:type="dxa" w:w="4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Meaningful name</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Maintenance language</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EN</w:t>
            </w:r>
          </w:p>
        </w:tc>
        <w:tc>
          <w:tcPr>
            <w:tcW w:type="dxa" w:w="4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Language of account names</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Length of GL account number</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6</w:t>
            </w:r>
          </w:p>
        </w:tc>
        <w:tc>
          <w:tcPr>
            <w:tcW w:type="dxa" w:w="4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Maximum 10. Choose carefully: longer numbers allow more sub-accounts but cannot easily be shortened later</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Group chart of accounts</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Optional</w:t>
            </w:r>
          </w:p>
        </w:tc>
        <w:tc>
          <w:tcPr>
            <w:tcW w:type="dxa" w:w="4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Used when a parent company needs a common structure for consolidation</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Blocked</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Not selected</w:t>
            </w:r>
          </w:p>
        </w:tc>
        <w:tc>
          <w:tcPr>
            <w:tcW w:type="dxa" w:w="4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Block the chart only when decommissioning</w:t>
            </w:r>
          </w:p>
        </w:tc>
      </w:tr>
    </w:tbl>
    <w:p>
      <w:pPr>
        <w:spacing w:after="120"/>
      </w:pPr>
    </w:p>
    <w:p>
      <w:pPr>
        <w:spacing w:after="140" w:before="0" w:line="288"/>
      </w:pPr>
      <w:r>
        <w:t xml:space="preserve">After defining YCOA, assign it to company code 1000 with </w:t>
      </w:r>
      <w:r>
        <w:rPr>
          <w:b/>
          <w:bCs/>
        </w:rPr>
        <w:t xml:space="preserve">OB62</w:t>
      </w:r>
      <w:r>
        <w:t xml:space="preserve">.</w:t>
      </w:r>
    </w:p>
    <w:p>
      <w:pPr>
        <w:pStyle w:val="Heading2"/>
      </w:pPr>
      <w:r>
        <w:t xml:space="preserve">6.2 Account groups and retained earnings account</w:t>
      </w:r>
    </w:p>
    <w:p>
      <w:pPr>
        <w:spacing w:after="140" w:before="0" w:line="288"/>
      </w:pPr>
      <w:r>
        <w:t xml:space="preserve"/>
      </w:r>
      <w:r>
        <w:rPr>
          <w:b/>
          <w:bCs/>
        </w:rPr>
        <w:t xml:space="preserve">Account groups</w:t>
      </w:r>
      <w:r>
        <w:t xml:space="preserve"> classify GL accounts (for example Balance Sheet accounts, expense accounts, income accounts) and control the number range and field status of accounts in that group. Maintain them in </w:t>
      </w:r>
      <w:r>
        <w:rPr>
          <w:b/>
          <w:bCs/>
        </w:rPr>
        <w:t xml:space="preserve">OBD4</w:t>
      </w:r>
      <w:r>
        <w:t xml:space="preserve">. The </w:t>
      </w:r>
      <w:r>
        <w:rPr>
          <w:b/>
          <w:bCs/>
        </w:rPr>
        <w:t xml:space="preserve">retained earnings account</w:t>
      </w:r>
      <w:r>
        <w:t xml:space="preserve"> (OB53) is where SAP automatically carries forward the profit or loss at year-end.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T-codes: OBD4 (account groups), OB53 (retained earnings account)</w:t>
            </w:r>
          </w:p>
        </w:tc>
      </w:tr>
    </w:tbl>
    <w:p>
      <w:pPr>
        <w:spacing w:after="80"/>
      </w:pPr>
    </w:p>
    <w:p>
      <w:pPr>
        <w:spacing w:after="140" w:before="0" w:line="288"/>
      </w:pPr>
      <w:r>
        <w:t xml:space="preserve">For OB53 you create a </w:t>
      </w:r>
      <w:r>
        <w:rPr>
          <w:b/>
          <w:bCs/>
        </w:rPr>
        <w:t xml:space="preserve">P&amp;L statement account type</w:t>
      </w:r>
      <w:r>
        <w:t xml:space="preserve"> (for example X) and assign it to the retained earnings GL account (for example 310000). Without this, the year-end balance carry-forward will fail.</w:t>
      </w:r>
    </w:p>
    <w:p>
      <w:pPr>
        <w:pStyle w:val="Heading2"/>
      </w:pPr>
      <w:r>
        <w:t xml:space="preserve">6.3 Creating GL accounts</w:t>
      </w:r>
    </w:p>
    <w:p>
      <w:pPr>
        <w:spacing w:after="140" w:before="0" w:line="288"/>
      </w:pPr>
      <w:r>
        <w:t xml:space="preserve">GL accounts are master data, but they must be consistent with the configuration above. The GL master record has two parts: </w:t>
      </w:r>
      <w:r>
        <w:rPr>
          <w:b/>
          <w:bCs/>
        </w:rPr>
        <w:t xml:space="preserve">chart of accounts level</w:t>
      </w:r>
      <w:r>
        <w:t xml:space="preserve"> (visible to all company codes sharing the chart) and </w:t>
      </w:r>
      <w:r>
        <w:rPr>
          <w:b/>
          <w:bCs/>
        </w:rPr>
        <w:t xml:space="preserve">company code level</w:t>
      </w:r>
      <w:r>
        <w:t xml:space="preserve"> (settings specific to one company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T-code: FS00 (create or change)</w:t>
            </w:r>
          </w:p>
          <w:p>
            <w:pPr>
              <w:spacing w:after="40" w:line="260"/>
            </w:pPr>
            <w:r>
              <w:rPr>
                <w:rFonts w:ascii="Consolas" w:cs="Consolas" w:eastAsia="Consolas" w:hAnsi="Consolas"/>
                <w:color w:val="1F2D3A"/>
                <w:sz w:val="19"/>
                <w:szCs w:val="19"/>
              </w:rPr>
              <w:t xml:space="preserve">Menu: Accounting &gt; Financial Accounting &gt; General Ledger &gt; Master Records &gt; G/L Accounts &gt; Individual Processing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Setting (company code level)</w:t>
            </w:r>
          </w:p>
        </w:tc>
        <w:tc>
          <w:tcPr>
            <w:tcW w:type="dxa" w:w="6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Why it matters</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Account currency</w:t>
            </w:r>
          </w:p>
        </w:tc>
        <w:tc>
          <w:tcPr>
            <w:tcW w:type="dxa" w:w="6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INR for most accounts; a foreign currency only for foreign currency bank accounts</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Reconciliation account for account type</w:t>
            </w:r>
          </w:p>
        </w:tc>
        <w:tc>
          <w:tcPr>
            <w:tcW w:type="dxa" w:w="6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Set to Customers, Vendors or Assets for control accounts. Users cannot post to it directly.</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Open item management</w:t>
            </w:r>
          </w:p>
        </w:tc>
        <w:tc>
          <w:tcPr>
            <w:tcW w:type="dxa" w:w="6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On for clearing accounts (GR/IR, TDS payable, bank clearing); off for normal expense accounts</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Line item display</w:t>
            </w:r>
          </w:p>
        </w:tc>
        <w:tc>
          <w:tcPr>
            <w:tcW w:type="dxa" w:w="6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On for accounts where users need transaction-level detail; most accounts have this on</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Field status group</w:t>
            </w:r>
          </w:p>
        </w:tc>
        <w:tc>
          <w:tcPr>
            <w:tcW w:type="dxa" w:w="6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Controls required fields, for example cost centre required on expense accounts</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Sort key</w:t>
            </w:r>
          </w:p>
        </w:tc>
        <w:tc>
          <w:tcPr>
            <w:tcW w:type="dxa" w:w="6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Determines the default text in the allocation field for line items</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Tax category</w:t>
            </w:r>
          </w:p>
        </w:tc>
        <w:tc>
          <w:tcPr>
            <w:tcW w:type="dxa" w:w="6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For example input or output tax accounts; ensures only suitable tax codes are used</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Posting without tax allowed</w:t>
            </w:r>
          </w:p>
        </w:tc>
        <w:tc>
          <w:tcPr>
            <w:tcW w:type="dxa" w:w="6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Controls whether tax code is mandatory on the account</w:t>
            </w:r>
          </w:p>
        </w:tc>
      </w:tr>
    </w:tbl>
    <w:p>
      <w:pPr>
        <w:spacing w:after="120"/>
      </w:pPr>
    </w:p>
    <w:p>
      <w:pPr>
        <w:spacing w:after="140" w:before="0" w:line="288"/>
      </w:pPr>
      <w:r>
        <w:t xml:space="preserve"/>
      </w:r>
      <w:r>
        <w:rPr>
          <w:b/>
          <w:bCs/>
        </w:rPr>
        <w:t xml:space="preserve">Sample GL accounts for Utkal Infra Projects Ltd (illustrative):</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100"/>
        <w:gridCol w:w="2226"/>
      </w:tblGrid>
      <w:tr>
        <w:trPr>
          <w:cantSplit/>
          <w:tblHeader/>
        </w:trPr>
        <w:tc>
          <w:tcPr>
            <w:tcW w:type="dxa" w:w="14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GL no.</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Account name</w:t>
            </w:r>
          </w:p>
        </w:tc>
        <w:tc>
          <w:tcPr>
            <w:tcW w:type="dxa" w:w="21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Type</w:t>
            </w:r>
          </w:p>
        </w:tc>
        <w:tc>
          <w:tcPr>
            <w:tcW w:type="dxa" w:w="22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Key settings</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100000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Cash in Hand</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Line item display</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113100</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SBI Current Account</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Line item, house bank link</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120000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Trade Receivables</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Reconciliation: Customers</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130000</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Raw Material Inventory</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No manual posting</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140000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Input CGST</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Tax category: input</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160000</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Plant and Machinery (cost)</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Reconciliation: Assets</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165000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Accumulated Depreciation</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Reconciliation: Assets</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200000</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Trade Payables</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Reconciliation: Vendors</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210000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GR/IR Clearing</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Open item management</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220000</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TDS Payable</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Open item management</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310000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Retained Earnings</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Balance sheet</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Used in OB53</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400000</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Contract Revenue</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P&amp;L</w:t>
            </w:r>
          </w:p>
        </w:tc>
        <w:tc>
          <w:tcPr>
            <w:tcW w:type="dxa" w:w="2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Primary cost element type revenue</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500000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Cost of Goods Sold</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P&amp;L</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Cost centre not required</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510000</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Site Labour and Salaries</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P&amp;L</w:t>
            </w:r>
          </w:p>
        </w:tc>
        <w:tc>
          <w:tcPr>
            <w:tcW w:type="dxa" w:w="2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Cost centre required</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530000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Depreciation Expense</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P&amp;L</w:t>
            </w:r>
          </w:p>
        </w:tc>
        <w:tc>
          <w:tcPr>
            <w:tcW w:type="dxa" w:w="2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Cost centre required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designing the account structure</w:t>
            </w:r>
          </w:p>
          <w:p>
            <w:pPr>
              <w:spacing w:after="60" w:line="270"/>
            </w:pPr>
            <w:r>
              <w:rPr>
                <w:sz w:val="20"/>
                <w:szCs w:val="20"/>
              </w:rPr>
              <w:t xml:space="preserve">Number ranges should leave gaps. For example, if inventory accounts run from 130000 to 139999, you can add new inventory accounts later without renumbering. Also decide early how much detail belongs in the GL and how much belongs in CO. A common mistake is creating one GL account for every department. The better design is </w:t>
            </w:r>
            <w:r>
              <w:rPr>
                <w:b/>
                <w:bCs/>
                <w:sz w:val="20"/>
                <w:szCs w:val="20"/>
              </w:rPr>
              <w:t xml:space="preserve">one GL account for the nature of expense</w:t>
            </w:r>
            <w:r>
              <w:rPr>
                <w:sz w:val="20"/>
                <w:szCs w:val="20"/>
              </w:rPr>
              <w:t xml:space="preserve"> (salary, rent, electricity) and </w:t>
            </w:r>
            <w:r>
              <w:rPr>
                <w:b/>
                <w:bCs/>
                <w:sz w:val="20"/>
                <w:szCs w:val="20"/>
              </w:rPr>
              <w:t xml:space="preserve">cost centres for the department</w:t>
            </w:r>
            <w:r>
              <w:rPr>
                <w:sz w:val="20"/>
                <w:szCs w:val="20"/>
              </w:rPr>
              <w:t xml:space="preserve">. This keeps the chart small and the reporting rich.</w:t>
            </w:r>
          </w:p>
        </w:tc>
      </w:tr>
    </w:tbl>
    <w:p>
      <w:pPr>
        <w:spacing w:after="120"/>
      </w:pPr>
    </w:p>
    <w:p>
      <w:pPr>
        <w:pStyle w:val="Heading2"/>
      </w:pPr>
      <w:r>
        <w:t xml:space="preserve">6.4 Ledgers and parallel accounting</w:t>
      </w:r>
    </w:p>
    <w:p>
      <w:pPr>
        <w:spacing w:after="140" w:before="0" w:line="288"/>
      </w:pPr>
      <w:r>
        <w:t xml:space="preserve">In S/4HANA, ledgers sit inside the Universal Journal. The </w:t>
      </w:r>
      <w:r>
        <w:rPr>
          <w:b/>
          <w:bCs/>
        </w:rPr>
        <w:t xml:space="preserve">leading ledger (0L)</w:t>
      </w:r>
      <w:r>
        <w:t xml:space="preserve"> is mandatory and follows the group accounting principle, which for many Indian companies is Ind AS. </w:t>
      </w:r>
      <w:r>
        <w:rPr>
          <w:b/>
          <w:bCs/>
        </w:rPr>
        <w:t xml:space="preserve">Non-leading ledgers</w:t>
      </w:r>
      <w:r>
        <w:t xml:space="preserve"> can be added for other principles, such as tax reporting. The settings are maintained in </w:t>
      </w:r>
      <w:r>
        <w:rPr>
          <w:b/>
          <w:bCs/>
        </w:rPr>
        <w:t xml:space="preserve">FINSC_LEDGER</w:t>
      </w:r>
      <w:r>
        <w:t xml:space="preserve"> and the related ledger configuration, where each ledger is assigned to company codes and accounting principles.</w:t>
      </w:r>
    </w:p>
    <w:p>
      <w:pPr>
        <w:spacing w:after="140" w:before="0" w:line="288"/>
      </w:pPr>
      <w:r>
        <w:t xml:space="preserve"/>
      </w:r>
      <w:r>
        <w:rPr>
          <w:b/>
          <w:bCs/>
        </w:rPr>
        <w:t xml:space="preserve">Why it matters:</w:t>
      </w:r>
      <w:r>
        <w:t xml:space="preserve"> a company can book one invoice but show different depreciation or provisions in Ind AS books and in tax books without keeping two separate accounting systems. Asset depreciation areas (Section 10) are the most common use of parallel accounting in India.</w:t>
      </w:r>
    </w:p>
    <w:p>
      <w:pPr>
        <w:pStyle w:val="Heading1"/>
      </w:pPr>
      <w:r>
        <w:t xml:space="preserve">7. Step 4: Taxes (GST and TDS)</w:t>
      </w:r>
    </w:p>
    <w:p>
      <w:pPr>
        <w:spacing w:after="140" w:before="0" w:line="288"/>
      </w:pPr>
      <w:r>
        <w:t xml:space="preserve">Tax configuration is where an Indian SAP project is most often won or lost. If a tax code points to the wrong GL account, GST returns and the Balance Sheet will both be wrong. We configure two taxes: </w:t>
      </w:r>
      <w:r>
        <w:rPr>
          <w:b/>
          <w:bCs/>
        </w:rPr>
        <w:t xml:space="preserve">GST</w:t>
      </w:r>
      <w:r>
        <w:t xml:space="preserve"> on purchases and sales, and </w:t>
      </w:r>
      <w:r>
        <w:rPr>
          <w:b/>
          <w:bCs/>
        </w:rPr>
        <w:t xml:space="preserve">TDS</w:t>
      </w:r>
      <w:r>
        <w:t xml:space="preserve"> (tax deducted at source) on payments to vendors.</w:t>
      </w:r>
    </w:p>
    <w:p>
      <w:pPr>
        <w:pStyle w:val="Heading2"/>
      </w:pPr>
      <w:r>
        <w:t xml:space="preserve">7.1 GST configuration (tax on sales and purchases)</w:t>
      </w:r>
    </w:p>
    <w:p>
      <w:pPr>
        <w:spacing w:after="140" w:before="0" w:line="288"/>
      </w:pPr>
      <w:r>
        <w:t xml:space="preserve">SAP India uses the tax procedure </w:t>
      </w:r>
      <w:r>
        <w:rPr>
          <w:b/>
          <w:bCs/>
        </w:rPr>
        <w:t xml:space="preserve">TAXINJ</w:t>
      </w:r>
      <w:r>
        <w:t xml:space="preserve">. Each tax is a </w:t>
      </w:r>
      <w:r>
        <w:rPr>
          <w:b/>
          <w:bCs/>
        </w:rPr>
        <w:t xml:space="preserve">condition type</w:t>
      </w:r>
      <w:r>
        <w:t xml:space="preserve">: CGST, SGST, IGST and UTGST, each with an input version (tax paid on purchases, claimable as Input Tax Credit) and an output version (tax collected on sales). A </w:t>
      </w:r>
      <w:r>
        <w:rPr>
          <w:b/>
          <w:bCs/>
        </w:rPr>
        <w:t xml:space="preserve">tax code</w:t>
      </w:r>
      <w:r>
        <w:t xml:space="preserve"> is a short key (for example I1) that combines the rates and tells SAP which GL accounts to post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cantSplit/>
          <w:tblHeader/>
        </w:trPr>
        <w:tc>
          <w:tcPr>
            <w:tcW w:type="dxa" w:w="2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Concept</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c>
          <w:tcPr>
            <w:tcW w:type="dxa" w:w="31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Tax procedure</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Set of tax conditions for a country</w:t>
            </w:r>
          </w:p>
        </w:tc>
        <w:tc>
          <w:tcPr>
            <w:tcW w:type="dxa" w:w="31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TAXINJ for India</w:t>
            </w:r>
          </w:p>
        </w:tc>
      </w:tr>
      <w:tr>
        <w:trPr>
          <w:cantSplit/>
        </w:trPr>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Condition type (output)</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Tax charged on sales</w:t>
            </w:r>
          </w:p>
        </w:tc>
        <w:tc>
          <w:tcPr>
            <w:tcW w:type="dxa" w:w="31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JOCG (CGST), JOSG (SGST), JOIG (IGST)</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Condition type (input)</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Tax paid on purchases</w:t>
            </w:r>
          </w:p>
        </w:tc>
        <w:tc>
          <w:tcPr>
            <w:tcW w:type="dxa" w:w="31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JICG, JISG, JIIG</w:t>
            </w:r>
          </w:p>
        </w:tc>
      </w:tr>
      <w:tr>
        <w:trPr>
          <w:cantSplit/>
        </w:trPr>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Tax code</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Key chosen on invoice screens</w:t>
            </w:r>
          </w:p>
        </w:tc>
        <w:tc>
          <w:tcPr>
            <w:tcW w:type="dxa" w:w="31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I1: input GST 18% intra-state; O1: output GST 18% intra-state; O2: output IGST 18%</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Tax account</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GL account for each tax</w:t>
            </w:r>
          </w:p>
        </w:tc>
        <w:tc>
          <w:tcPr>
            <w:tcW w:type="dxa" w:w="31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140000 Input CGST; 140100 Input SGST; 140200 Input IGST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Financial Accounting Global Settings &gt; Tax on Sales/Purchases</w:t>
            </w:r>
          </w:p>
          <w:p>
            <w:pPr>
              <w:spacing w:after="40" w:line="260"/>
            </w:pPr>
            <w:r>
              <w:rPr>
                <w:rFonts w:ascii="Consolas" w:cs="Consolas" w:eastAsia="Consolas" w:hAnsi="Consolas"/>
                <w:color w:val="1F2D3A"/>
                <w:sz w:val="19"/>
                <w:szCs w:val="19"/>
              </w:rPr>
              <w:t xml:space="preserve">T-codes: FTXP (maintain tax codes), OB40 (assign tax accounts), OBCN (check calculation procedure)</w:t>
            </w:r>
          </w:p>
        </w:tc>
      </w:tr>
    </w:tbl>
    <w:p>
      <w:pPr>
        <w:spacing w:after="80"/>
      </w:pPr>
    </w:p>
    <w:p>
      <w:pPr>
        <w:spacing w:after="140" w:before="0" w:line="288"/>
      </w:pPr>
      <w:r>
        <w:t xml:space="preserve"/>
      </w:r>
      <w:r>
        <w:rPr>
          <w:b/>
          <w:bCs/>
        </w:rPr>
        <w:t xml:space="preserve">Procedure to set up an input GST tax code (beginner steps):</w:t>
      </w:r>
      <w:r>
        <w:t xml:space="preserve"/>
      </w:r>
    </w:p>
    <w:p>
      <w:pPr>
        <w:pStyle w:val="ListParagraph"/>
        <w:numPr>
          <w:ilvl w:val="0"/>
          <w:numId w:val="5"/>
        </w:numPr>
        <w:spacing w:after="80" w:line="276"/>
      </w:pPr>
      <w:r>
        <w:t xml:space="preserve">Run </w:t>
      </w:r>
      <w:r>
        <w:rPr>
          <w:b/>
          <w:bCs/>
        </w:rPr>
        <w:t xml:space="preserve">FTXP</w:t>
      </w:r>
      <w:r>
        <w:t xml:space="preserve">, enter country </w:t>
      </w:r>
      <w:r>
        <w:rPr>
          <w:b/>
          <w:bCs/>
        </w:rPr>
        <w:t xml:space="preserve">IN</w:t>
      </w:r>
      <w:r>
        <w:t xml:space="preserve"> and the tax code </w:t>
      </w:r>
      <w:r>
        <w:rPr>
          <w:b/>
          <w:bCs/>
        </w:rPr>
        <w:t xml:space="preserve">I1</w:t>
      </w:r>
      <w:r>
        <w:t xml:space="preserve">, then press Enter.</w:t>
      </w:r>
    </w:p>
    <w:p>
      <w:pPr>
        <w:pStyle w:val="ListParagraph"/>
        <w:numPr>
          <w:ilvl w:val="0"/>
          <w:numId w:val="5"/>
        </w:numPr>
        <w:spacing w:after="80" w:line="276"/>
      </w:pPr>
      <w:r>
        <w:t xml:space="preserve">Enter the description, for example "Input GST 18% intra-state", and choose the tax type </w:t>
      </w:r>
      <w:r>
        <w:rPr>
          <w:b/>
          <w:bCs/>
        </w:rPr>
        <w:t xml:space="preserve">V</w:t>
      </w:r>
      <w:r>
        <w:t xml:space="preserve"> (input tax).</w:t>
      </w:r>
    </w:p>
    <w:p>
      <w:pPr>
        <w:pStyle w:val="ListParagraph"/>
        <w:numPr>
          <w:ilvl w:val="0"/>
          <w:numId w:val="5"/>
        </w:numPr>
        <w:spacing w:after="80" w:line="276"/>
      </w:pPr>
      <w:r>
        <w:t xml:space="preserve">In the rate screen, enter 9% for CGST (condition JICG) and 9% for SGST (condition JISG).</w:t>
      </w:r>
    </w:p>
    <w:p>
      <w:pPr>
        <w:pStyle w:val="ListParagraph"/>
        <w:numPr>
          <w:ilvl w:val="0"/>
          <w:numId w:val="5"/>
        </w:numPr>
        <w:spacing w:after="80" w:line="276"/>
      </w:pPr>
      <w:r>
        <w:t xml:space="preserve">Save. Then run </w:t>
      </w:r>
      <w:r>
        <w:rPr>
          <w:b/>
          <w:bCs/>
        </w:rPr>
        <w:t xml:space="preserve">OB40</w:t>
      </w:r>
      <w:r>
        <w:t xml:space="preserve"> and assign the input CGST and input SGST GL accounts to the tax code for the input tax transaction keys of the India procedure.</w:t>
      </w:r>
    </w:p>
    <w:p>
      <w:pPr>
        <w:pStyle w:val="ListParagraph"/>
        <w:numPr>
          <w:ilvl w:val="0"/>
          <w:numId w:val="5"/>
        </w:numPr>
        <w:spacing w:after="80" w:line="276"/>
      </w:pPr>
      <w:r>
        <w:t xml:space="preserve">Repeat for output taxes (tax type A), and for IGST codes used on inter-state purchases and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intra-state versus inter-state</w:t>
            </w:r>
          </w:p>
          <w:p>
            <w:pPr>
              <w:spacing w:after="60" w:line="270"/>
            </w:pPr>
            <w:r>
              <w:rPr>
                <w:sz w:val="20"/>
                <w:szCs w:val="20"/>
              </w:rPr>
              <w:t xml:space="preserve">GST law decides the tax by the </w:t>
            </w:r>
            <w:r>
              <w:rPr>
                <w:b/>
                <w:bCs/>
                <w:sz w:val="20"/>
                <w:szCs w:val="20"/>
              </w:rPr>
              <w:t xml:space="preserve">place of supply</w:t>
            </w:r>
            <w:r>
              <w:rPr>
                <w:sz w:val="20"/>
                <w:szCs w:val="20"/>
              </w:rPr>
              <w:t xml:space="preserve">: CGST plus SGST apply on supplies within a state, and IGST applies between states. In SAP this means you need separate tax codes for each case, and the system must pick the correct one by comparing the supplier or customer state with the business place state. Wrong determination is a common cause of GSTR-2B mismatches. Test both cases for every major transaction type.</w:t>
            </w:r>
          </w:p>
        </w:tc>
      </w:tr>
    </w:tbl>
    <w:p>
      <w:pPr>
        <w:spacing w:after="120"/>
      </w:pPr>
    </w:p>
    <w:p>
      <w:pPr>
        <w:spacing w:after="140" w:before="0" w:line="288"/>
      </w:pPr>
      <w:r>
        <w:t xml:space="preserve">Other GST-related configuration commonly needed: </w:t>
      </w:r>
      <w:r>
        <w:rPr>
          <w:b/>
          <w:bCs/>
        </w:rPr>
        <w:t xml:space="preserve">Business Places and Section Codes</w:t>
      </w:r>
      <w:r>
        <w:t xml:space="preserve"> (one per GSTIN), </w:t>
      </w:r>
      <w:r>
        <w:rPr>
          <w:b/>
          <w:bCs/>
        </w:rPr>
        <w:t xml:space="preserve">GSTIN</w:t>
      </w:r>
      <w:r>
        <w:t xml:space="preserve"> fields in vendor and customer masters, </w:t>
      </w:r>
      <w:r>
        <w:rPr>
          <w:b/>
          <w:bCs/>
        </w:rPr>
        <w:t xml:space="preserve">HSN/SAC</w:t>
      </w:r>
      <w:r>
        <w:t xml:space="preserve"> codes in material and service masters, and </w:t>
      </w:r>
      <w:r>
        <w:rPr>
          <w:b/>
          <w:bCs/>
        </w:rPr>
        <w:t xml:space="preserve">e-invoicing</w:t>
      </w:r>
      <w:r>
        <w:t xml:space="preserve"> and </w:t>
      </w:r>
      <w:r>
        <w:rPr>
          <w:b/>
          <w:bCs/>
        </w:rPr>
        <w:t xml:space="preserve">e-way bill</w:t>
      </w:r>
      <w:r>
        <w:t xml:space="preserve"> integration, usually through SAP's compliance solution or a certified add-on connected to the government portals.</w:t>
      </w:r>
    </w:p>
    <w:p>
      <w:pPr>
        <w:pStyle w:val="Heading2"/>
      </w:pPr>
      <w:r>
        <w:t xml:space="preserve">7.2 TDS (extended withholding tax) configuration</w:t>
      </w:r>
    </w:p>
    <w:p>
      <w:pPr>
        <w:spacing w:after="140" w:before="0" w:line="288"/>
      </w:pPr>
      <w:r>
        <w:t xml:space="preserve"/>
      </w:r>
      <w:r>
        <w:rPr>
          <w:b/>
          <w:bCs/>
        </w:rPr>
        <w:t xml:space="preserve">Purpose:</w:t>
      </w:r>
      <w:r>
        <w:t xml:space="preserve"> when the company pays a contractor, professional or landlord, the law requires deducting tax at a set rate and depositing it with the government. SAP calls this </w:t>
      </w:r>
      <w:r>
        <w:rPr>
          <w:b/>
          <w:bCs/>
        </w:rPr>
        <w:t xml:space="preserve">withholding tax</w:t>
      </w:r>
      <w:r>
        <w:t xml:space="preserve">. The </w:t>
      </w:r>
      <w:r>
        <w:rPr>
          <w:b/>
          <w:bCs/>
        </w:rPr>
        <w:t xml:space="preserve">Extended Withholding Tax</w:t>
      </w:r>
      <w:r>
        <w:t xml:space="preserve"> functionality handles several types at once and is the usual choice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Accounts Payable &gt; Business Transactions &gt; Withholding Tax &gt; Extended Withholding Tax</w:t>
            </w:r>
          </w:p>
          <w:p>
            <w:pPr>
              <w:spacing w:after="40" w:line="260"/>
            </w:pPr>
            <w:r>
              <w:rPr>
                <w:rFonts w:ascii="Consolas" w:cs="Consolas" w:eastAsia="Consolas" w:hAnsi="Consolas"/>
                <w:color w:val="1F2D3A"/>
                <w:sz w:val="19"/>
                <w:szCs w:val="19"/>
              </w:rPr>
              <w:t xml:space="preserve">Sub-steps: Basic Settings, Calculation, Posting, Reporting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Configuration element</w:t>
            </w:r>
          </w:p>
        </w:tc>
        <w:tc>
          <w:tcPr>
            <w:tcW w:type="dxa" w:w="65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you define</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Withholding tax type</w:t>
            </w:r>
          </w:p>
        </w:tc>
        <w:tc>
          <w:tcPr>
            <w:tcW w:type="dxa" w:w="6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The tax category and how it is posted (at invoice or at payment). Example: type "C2" for contractor payments.</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Withholding tax code</w:t>
            </w:r>
          </w:p>
        </w:tc>
        <w:tc>
          <w:tcPr>
            <w:tcW w:type="dxa" w:w="6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rate and base under the type. Example: code "C2" with 2% for company contractors; another code for individuals at 1%.</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Company code assignment</w:t>
            </w:r>
          </w:p>
        </w:tc>
        <w:tc>
          <w:tcPr>
            <w:tcW w:type="dxa" w:w="6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Activate extended withholding tax for company code 1000 and assign the types.</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Withholding tax accounts</w:t>
            </w:r>
          </w:p>
        </w:tc>
        <w:tc>
          <w:tcPr>
            <w:tcW w:type="dxa" w:w="6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GL account for TDS payable (example 220000), one per type if reporting requires.</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Vendor master data</w:t>
            </w:r>
          </w:p>
        </w:tc>
        <w:tc>
          <w:tcPr>
            <w:tcW w:type="dxa" w:w="6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Each vendor needs the correct withholding tax type, code and liability flag; this is master data, but wrong data causes wrong deduction.</w:t>
            </w:r>
          </w:p>
        </w:tc>
      </w:tr>
    </w:tbl>
    <w:p>
      <w:pPr>
        <w:spacing w:after="120"/>
      </w:pPr>
    </w:p>
    <w:p>
      <w:pPr>
        <w:spacing w:after="140" w:before="0" w:line="288"/>
      </w:pPr>
      <w:r>
        <w:t xml:space="preserve"/>
      </w:r>
      <w:r>
        <w:rPr>
          <w:b/>
          <w:bCs/>
        </w:rPr>
        <w:t xml:space="preserve">Example:</w:t>
      </w:r>
      <w:r>
        <w:t xml:space="preserve"> vendor invoice of ₹1,00,000 plus 18% GST for site services under a contract. TDS at 2% applies on the amount </w:t>
      </w:r>
      <w:r>
        <w:rPr>
          <w:b/>
          <w:bCs/>
        </w:rPr>
        <w:t xml:space="preserve">excluding GST</w:t>
      </w:r>
      <w:r>
        <w:t xml:space="preserve"> when GST is shown separately on the invoice, so TDS is ₹2,000. The vendor is paid ₹1,16,000 and ₹2,000 is held in TDS Payable until deposited.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cantSplit/>
        </w:trPr>
        <w:tc>
          <w:tcPr>
            <w:tcW w:type="dxa" w:w="5426"/>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pPr>
            <w:r>
              <w:rPr>
                <w:b/>
                <w:bCs/>
                <w:color w:val="FFFFFF"/>
                <w:sz w:val="19"/>
                <w:szCs w:val="19"/>
              </w:rPr>
              <w:t xml:space="preserve">Vendor invoice with GST and TDS (invoice-time deduction)</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Debit (₹)</w:t>
            </w:r>
          </w:p>
        </w:tc>
        <w:tc>
          <w:tcPr>
            <w:tcW w:type="dxa" w:w="1800"/>
            <w:tcBorders>
              <w:top w:val="single" w:color="C9D3DC" w:sz="4"/>
              <w:left w:val="single" w:color="C9D3DC" w:sz="4"/>
              <w:bottom w:val="single" w:color="C9D3DC" w:sz="4"/>
              <w:right w:val="single" w:color="C9D3DC" w:sz="4"/>
            </w:tcBorders>
            <w:shd w:fill="0A6ED1" w:color="auto" w:val="clear"/>
            <w:tcMar>
              <w:top w:type="dxa" w:w="70"/>
              <w:left w:type="dxa" w:w="110"/>
              <w:bottom w:type="dxa" w:w="70"/>
              <w:right w:type="dxa" w:w="110"/>
            </w:tcMar>
            <w:vAlign w:val="center"/>
          </w:tcPr>
          <w:p>
            <w:pPr>
              <w:spacing w:after="30" w:line="260"/>
              <w:jc w:val="right"/>
            </w:pPr>
            <w:r>
              <w:rPr>
                <w:b/>
                <w:bCs/>
                <w:color w:val="FFFFFF"/>
                <w:sz w:val="19"/>
                <w:szCs w:val="19"/>
              </w:rPr>
              <w:t xml:space="preserve">Credit (₹)</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Site Services Expense</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1,00,000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Dr Input CGST</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9,000</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Dr Input SGST</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9,000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r>
      <w:tr>
        <w:trPr>
          <w:cantSplit/>
        </w:trPr>
        <w:tc>
          <w:tcPr>
            <w:tcW w:type="dxa" w:w="5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sz w:val="19"/>
                <w:szCs w:val="19"/>
              </w:rPr>
              <w:t xml:space="preserve">    Cr Vendor (Trade Payable)</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sz w:val="19"/>
                <w:szCs w:val="19"/>
              </w:rPr>
              <w:t xml:space="preserve">1,16,000</w:t>
            </w:r>
          </w:p>
        </w:tc>
      </w:tr>
      <w:tr>
        <w:trPr>
          <w:cantSplit/>
        </w:trPr>
        <w:tc>
          <w:tcPr>
            <w:tcW w:type="dxa" w:w="5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sz w:val="19"/>
                <w:szCs w:val="19"/>
              </w:rPr>
              <w:t xml:space="preserve">    Cr TDS Payable</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sz w:val="19"/>
                <w:szCs w:val="19"/>
              </w:rPr>
              <w:t xml:space="preserve">2,000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0AB00" w:sz="28"/>
              <w:bottom w:val="none" w:color="FFFFFF" w:sz="0"/>
              <w:right w:val="none" w:color="FFFFFF" w:sz="0"/>
            </w:tcBorders>
            <w:shd w:fill="FFF6DB" w:color="auto" w:val="clear"/>
            <w:tcMar>
              <w:top w:type="dxa" w:w="110"/>
              <w:left w:type="dxa" w:w="200"/>
              <w:bottom w:type="dxa" w:w="90"/>
              <w:right w:type="dxa" w:w="160"/>
            </w:tcMar>
          </w:tcPr>
          <w:p>
            <w:pPr>
              <w:spacing w:after="60"/>
            </w:pPr>
            <w:r>
              <w:rPr>
                <w:b/>
                <w:bCs/>
                <w:color w:val="F0AB00"/>
                <w:sz w:val="21"/>
                <w:szCs w:val="21"/>
              </w:rPr>
              <w:t xml:space="preserve">Compliance note: verify section references</w:t>
            </w:r>
          </w:p>
          <w:p>
            <w:pPr>
              <w:spacing w:after="60" w:line="270"/>
            </w:pPr>
            <w:r>
              <w:rPr>
                <w:sz w:val="20"/>
                <w:szCs w:val="20"/>
              </w:rPr>
              <w:t xml:space="preserve">Rates and section numbers such as 194C (contractors) and 194J (professional fees) belong to the Income-tax Act, 1961. India has enacted a new Income-tax Act, 2025, effective from 1 April 2026, which re-numbers provisions. Always confirm the current section, rate and threshold on the Income Tax Department portal before configuring or auditing a withholding tax code. This is a good example of why configuration needs a regular review cycle.</w:t>
            </w:r>
          </w:p>
        </w:tc>
      </w:tr>
    </w:tbl>
    <w:p>
      <w:pPr>
        <w:pStyle w:val="Heading1"/>
      </w:pPr>
      <w:r>
        <w:t xml:space="preserve">8. Step 5: Accounts Payable</w:t>
      </w:r>
    </w:p>
    <w:p>
      <w:pPr>
        <w:spacing w:after="140" w:before="0" w:line="288"/>
      </w:pPr>
      <w:r>
        <w:t xml:space="preserve">Accounts Payable configuration prepares the system to create vendors, post invoices correctly and pay on time. The main settings are vendor account groups, number ranges, payment terms and the automatic payment program.</w:t>
      </w:r>
    </w:p>
    <w:p>
      <w:pPr>
        <w:pStyle w:val="Heading2"/>
      </w:pPr>
      <w:r>
        <w:t xml:space="preserve">8.1 Vendor account groups and number ranges</w:t>
      </w:r>
    </w:p>
    <w:p>
      <w:pPr>
        <w:spacing w:after="140" w:before="0" w:line="288"/>
      </w:pPr>
      <w:r>
        <w:t xml:space="preserve"/>
      </w:r>
      <w:r>
        <w:rPr>
          <w:b/>
          <w:bCs/>
        </w:rPr>
        <w:t xml:space="preserve">Purpose:</w:t>
      </w:r>
      <w:r>
        <w:t xml:space="preserve"> an </w:t>
      </w:r>
      <w:r>
        <w:rPr>
          <w:b/>
          <w:bCs/>
        </w:rPr>
        <w:t xml:space="preserve">account group</w:t>
      </w:r>
      <w:r>
        <w:t xml:space="preserve"> classifies vendors (for example domestic suppliers, import suppliers, one-time vendors, employees) and controls which fields are required and which number range is used. In S/4HANA, vendor and customer masters are created as </w:t>
      </w:r>
      <w:r>
        <w:rPr>
          <w:b/>
          <w:bCs/>
        </w:rPr>
        <w:t xml:space="preserve">Business Partners</w:t>
      </w:r>
      <w:r>
        <w:t xml:space="preserve"> and the equivalent settings are the BP groupings and number ranges.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Accounts Receivable and Accounts Payable &gt; Vendor Accounts &gt; Master Data &gt; Preparations for Creating Vendor Master Data</w:t>
            </w:r>
          </w:p>
          <w:p>
            <w:pPr>
              <w:spacing w:after="40" w:line="260"/>
            </w:pPr>
            <w:r>
              <w:rPr>
                <w:rFonts w:ascii="Consolas" w:cs="Consolas" w:eastAsia="Consolas" w:hAnsi="Consolas"/>
                <w:color w:val="1F2D3A"/>
                <w:sz w:val="19"/>
                <w:szCs w:val="19"/>
              </w:rPr>
              <w:t xml:space="preserve">T-codes: OBD3 (vendor account groups), XKN1 (vendor number ranges, classic)</w:t>
            </w:r>
          </w:p>
          <w:p>
            <w:pPr>
              <w:spacing w:after="40" w:line="260"/>
            </w:pPr>
            <w:r>
              <w:rPr>
                <w:rFonts w:ascii="Consolas" w:cs="Consolas" w:eastAsia="Consolas" w:hAnsi="Consolas"/>
                <w:color w:val="1F2D3A"/>
                <w:sz w:val="19"/>
                <w:szCs w:val="19"/>
              </w:rPr>
              <w:t xml:space="preserve">S/4HANA: SPRO &gt; Cross-Application Components &gt; SAP Business Partner &gt; Business Partner &gt; Basic Settings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cantSplit/>
          <w:tblHeader/>
        </w:trPr>
        <w:tc>
          <w:tcPr>
            <w:tcW w:type="dxa" w:w="1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Account group</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Use</w:t>
            </w:r>
          </w:p>
        </w:tc>
        <w:tc>
          <w:tcPr>
            <w:tcW w:type="dxa" w:w="4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Setting notes</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KRED / domestic</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Regular suppliers with GSTIN and PAN</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PAN and GSTIN mandatory; TDS data required</w:t>
            </w:r>
          </w:p>
        </w:tc>
      </w:tr>
      <w:tr>
        <w:trPr>
          <w:cantSplit/>
        </w:trPr>
        <w:tc>
          <w:tcPr>
            <w:tcW w:type="dxa" w:w="1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IMPT</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Import vendors</w:t>
            </w:r>
          </w:p>
        </w:tc>
        <w:tc>
          <w:tcPr>
            <w:tcW w:type="dxa" w:w="4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Foreign currency, no GSTIN; different tax treatment</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CPD</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One-time vendors</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Name and bank entered per invoice; used sparingly, because TDS and PAN control are weaker</w:t>
            </w:r>
          </w:p>
        </w:tc>
      </w:tr>
      <w:tr>
        <w:trPr>
          <w:cantSplit/>
        </w:trPr>
        <w:tc>
          <w:tcPr>
            <w:tcW w:type="dxa" w:w="1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EMPL</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Employees (reimbursements)</w:t>
            </w:r>
          </w:p>
        </w:tc>
        <w:tc>
          <w:tcPr>
            <w:tcW w:type="dxa" w:w="4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Link to HR master; payable through payroll</w:t>
            </w:r>
          </w:p>
        </w:tc>
      </w:tr>
    </w:tbl>
    <w:p>
      <w:pPr>
        <w:spacing w:after="120"/>
      </w:pPr>
    </w:p>
    <w:p>
      <w:pPr>
        <w:pStyle w:val="Heading2"/>
      </w:pPr>
      <w:r>
        <w:t xml:space="preserve">8.2 Payment terms</w:t>
      </w:r>
    </w:p>
    <w:p>
      <w:pPr>
        <w:spacing w:after="140" w:before="0" w:line="288"/>
      </w:pPr>
      <w:r>
        <w:t xml:space="preserve"/>
      </w:r>
      <w:r>
        <w:rPr>
          <w:b/>
          <w:bCs/>
        </w:rPr>
        <w:t xml:space="preserve">Purpose:</w:t>
      </w:r>
      <w:r>
        <w:t xml:space="preserve"> define when and how a vendor or customer should be paid and whether a cash discount applies. They work like credit period terms on a purchase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Accounts Receivable and Accounts Payable &gt; Business Transactions &gt; Incoming Invoices/Credit Memos &gt; Maintain Terms of Payment</w:t>
            </w:r>
          </w:p>
          <w:p>
            <w:pPr>
              <w:spacing w:after="40" w:line="260"/>
            </w:pPr>
            <w:r>
              <w:rPr>
                <w:rFonts w:ascii="Consolas" w:cs="Consolas" w:eastAsia="Consolas" w:hAnsi="Consolas"/>
                <w:color w:val="1F2D3A"/>
                <w:sz w:val="19"/>
                <w:szCs w:val="19"/>
              </w:rPr>
              <w:t xml:space="preserve">T-code: OBB8</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Key</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Terms</w:t>
            </w:r>
          </w:p>
        </w:tc>
        <w:tc>
          <w:tcPr>
            <w:tcW w:type="dxa" w:w="42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Z030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Net 30 days</w:t>
            </w:r>
          </w:p>
        </w:tc>
        <w:tc>
          <w:tcPr>
            <w:tcW w:type="dxa" w:w="4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Payment due 30 days after baseline date</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Z045</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Net 45 days</w:t>
            </w:r>
          </w:p>
        </w:tc>
        <w:tc>
          <w:tcPr>
            <w:tcW w:type="dxa" w:w="4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Common for large contractors</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Z210</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2% in 10 days, net 30</w:t>
            </w:r>
          </w:p>
        </w:tc>
        <w:tc>
          <w:tcPr>
            <w:tcW w:type="dxa" w:w="4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Cash discount of 2% if paid within 10 days; otherwise full amount by day 30</w:t>
            </w:r>
          </w:p>
        </w:tc>
      </w:tr>
    </w:tbl>
    <w:p>
      <w:pPr>
        <w:spacing w:after="120"/>
      </w:pPr>
    </w:p>
    <w:p>
      <w:pPr>
        <w:pStyle w:val="Heading2"/>
      </w:pPr>
      <w:r>
        <w:t xml:space="preserve">8.3 Automatic payment program (F110)</w:t>
      </w:r>
    </w:p>
    <w:p>
      <w:pPr>
        <w:spacing w:after="140" w:before="0" w:line="288"/>
      </w:pPr>
      <w:r>
        <w:t xml:space="preserve"/>
      </w:r>
      <w:r>
        <w:rPr>
          <w:b/>
          <w:bCs/>
        </w:rPr>
        <w:t xml:space="preserve">Purpose:</w:t>
      </w:r>
      <w:r>
        <w:t xml:space="preserve"> instead of paying invoices one by one, the </w:t>
      </w:r>
      <w:r>
        <w:rPr>
          <w:b/>
          <w:bCs/>
        </w:rPr>
        <w:t xml:space="preserve">payment program</w:t>
      </w:r>
      <w:r>
        <w:t xml:space="preserve"> selects all due invoices, proposes payments and creates the payment documents and bank files in one run. Configuration is done once in </w:t>
      </w:r>
      <w:r>
        <w:rPr>
          <w:b/>
          <w:bCs/>
        </w:rPr>
        <w:t xml:space="preserve">FBZP</w:t>
      </w:r>
      <w:r>
        <w:t xml:space="preserve"> (all-in-one screen) and has five parts. Understanding the five parts is the key to this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Accounts Receivable and Accounts Payable &gt; Business Transactions &gt; Outgoing Payments &gt; Automatic Outgoing Payments &gt; Payment Method/Bank Selection for Payment Program</w:t>
            </w:r>
          </w:p>
          <w:p>
            <w:pPr>
              <w:spacing w:after="40" w:line="260"/>
            </w:pPr>
            <w:r>
              <w:rPr>
                <w:rFonts w:ascii="Consolas" w:cs="Consolas" w:eastAsia="Consolas" w:hAnsi="Consolas"/>
                <w:color w:val="1F2D3A"/>
                <w:sz w:val="19"/>
                <w:szCs w:val="19"/>
              </w:rPr>
              <w:t xml:space="preserve">T-code: FBZP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FBZP part</w:t>
            </w:r>
          </w:p>
        </w:tc>
        <w:tc>
          <w:tcPr>
            <w:tcW w:type="dxa" w:w="6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you configure</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All company codes</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Which company codes are in the payment program, and settings such as cash discount, tolerance days and special GL transactions allowed</w:t>
            </w:r>
          </w:p>
        </w:tc>
      </w:tr>
      <w:tr>
        <w:trPr>
          <w:cantSplit/>
        </w:trPr>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Paying company codes</w:t>
            </w:r>
          </w:p>
        </w:tc>
        <w:tc>
          <w:tcPr>
            <w:tcW w:type="dxa" w:w="6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Company code that pays, minimum amount for payment, forms and the payment method supplement</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Payment methods in country</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Methods available in India, such as cheque, NEFT, RTGS, with whether it needs bank details and which document types it uses</w:t>
            </w:r>
          </w:p>
        </w:tc>
      </w:tr>
      <w:tr>
        <w:trPr>
          <w:cantSplit/>
        </w:trPr>
        <w:tc>
          <w:tcPr>
            <w:tcW w:type="dxa" w:w="2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Payment methods in company code</w:t>
            </w:r>
          </w:p>
        </w:tc>
        <w:tc>
          <w:tcPr>
            <w:tcW w:type="dxa" w:w="6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Minimum and maximum amounts per method, for example RTGS only above ₹2,00,000</w:t>
            </w:r>
          </w:p>
        </w:tc>
      </w:tr>
      <w:tr>
        <w:trPr>
          <w:cantSplit/>
        </w:trPr>
        <w:tc>
          <w:tcPr>
            <w:tcW w:type="dxa" w:w="2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Bank determination</w:t>
            </w:r>
          </w:p>
        </w:tc>
        <w:tc>
          <w:tcPr>
            <w:tcW w:type="dxa" w:w="6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House banks, bank accounts, ranking order and available amounts for each payment method</w:t>
            </w:r>
          </w:p>
        </w:tc>
      </w:tr>
    </w:tbl>
    <w:p>
      <w:pPr>
        <w:spacing w:after="120"/>
      </w:pPr>
    </w:p>
    <w:p>
      <w:pPr>
        <w:spacing w:after="140" w:before="0" w:line="288"/>
      </w:pPr>
      <w:r>
        <w:t xml:space="preserve"/>
      </w:r>
      <w:r>
        <w:rPr>
          <w:b/>
          <w:bCs/>
        </w:rPr>
        <w:t xml:space="preserve">House bank and bank accounts (FI12):</w:t>
      </w:r>
      <w:r>
        <w:t xml:space="preserve"> before FBZP works, define the house bank (for example SBI) with its bank key (IFSC), then create the bank account ID (for example SBI01) and link it to the bank GL account 113100. This link is how a payment run knows which GL account to credit.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T-code: FI12 (house banks and bank accounts)</w:t>
            </w:r>
          </w:p>
          <w:p>
            <w:pPr>
              <w:spacing w:after="40" w:line="260"/>
            </w:pPr>
            <w:r>
              <w:rPr>
                <w:rFonts w:ascii="Consolas" w:cs="Consolas" w:eastAsia="Consolas" w:hAnsi="Consolas"/>
                <w:color w:val="1F2D3A"/>
                <w:sz w:val="19"/>
                <w:szCs w:val="19"/>
              </w:rPr>
              <w:t xml:space="preserve">Run payments: F110 (parameters, proposal, payment run)</w:t>
            </w:r>
          </w:p>
        </w:tc>
      </w:tr>
    </w:tbl>
    <w:p>
      <w:pPr>
        <w:spacing w:after="80"/>
      </w:pPr>
    </w:p>
    <w:p>
      <w:pPr>
        <w:spacing w:after="140" w:before="0" w:line="288"/>
      </w:pPr>
      <w:r>
        <w:t xml:space="preserve"/>
      </w:r>
      <w:r>
        <w:rPr>
          <w:b/>
          <w:bCs/>
        </w:rPr>
        <w:t xml:space="preserve">How a payment run works:</w:t>
      </w:r>
      <w:r>
        <w:t xml:space="preserve"> in F110 you enter a run date and an identification, set the parameters (company code, payment methods, vendor range, next payment date), create a </w:t>
      </w:r>
      <w:r>
        <w:rPr>
          <w:b/>
          <w:bCs/>
        </w:rPr>
        <w:t xml:space="preserve">proposal</w:t>
      </w:r>
      <w:r>
        <w:t xml:space="preserve">, review it, and then </w:t>
      </w:r>
      <w:r>
        <w:rPr>
          <w:b/>
          <w:bCs/>
        </w:rPr>
        <w:t xml:space="preserve">schedule the payment run</w:t>
      </w:r>
      <w:r>
        <w:t xml:space="preserve">. SAP posts the payment documents (type KZ) and creates the payment medium file for the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control point</w:t>
            </w:r>
          </w:p>
          <w:p>
            <w:pPr>
              <w:spacing w:after="60" w:line="270"/>
            </w:pPr>
            <w:r>
              <w:rPr>
                <w:sz w:val="20"/>
                <w:szCs w:val="20"/>
              </w:rPr>
              <w:t xml:space="preserve">The payment run is a high-risk process because it releases cash. Good design separates duties: one person maintains vendor bank data, another creates the proposal, a third approves the run. Many frauds in practice involve changing a vendor's bank account just before a payment run. SAP supports this with change documents for master data and dual-control workflows.</w:t>
            </w:r>
          </w:p>
        </w:tc>
      </w:tr>
    </w:tbl>
    <w:p>
      <w:pPr>
        <w:spacing w:after="120"/>
      </w:pPr>
    </w:p>
    <w:p>
      <w:pPr>
        <w:pStyle w:val="Heading1"/>
      </w:pPr>
      <w:r>
        <w:t xml:space="preserve">9. Step 6: Accounts Receivable</w:t>
      </w:r>
    </w:p>
    <w:p>
      <w:pPr>
        <w:spacing w:after="140" w:before="0" w:line="288"/>
      </w:pPr>
      <w:r>
        <w:t xml:space="preserve">Accounts Receivable configuration mirrors payables, with additional topics for collections: dunning, interest on overdue amounts and credit control.</w:t>
      </w:r>
    </w:p>
    <w:p>
      <w:pPr>
        <w:pStyle w:val="Heading2"/>
      </w:pPr>
      <w:r>
        <w:t xml:space="preserve">9.1 Customer account groups and number ranges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Accounts Receivable and Accounts Payable &gt; Customer Accounts &gt; Master Data &gt; Preparations for Creating Customer Master Data</w:t>
            </w:r>
          </w:p>
          <w:p>
            <w:pPr>
              <w:spacing w:after="40" w:line="260"/>
            </w:pPr>
            <w:r>
              <w:rPr>
                <w:rFonts w:ascii="Consolas" w:cs="Consolas" w:eastAsia="Consolas" w:hAnsi="Consolas"/>
                <w:color w:val="1F2D3A"/>
                <w:sz w:val="19"/>
                <w:szCs w:val="19"/>
              </w:rPr>
              <w:t xml:space="preserve">T-codes: OBD2 (customer account groups), XDN1 (number ranges, classic)</w:t>
            </w:r>
          </w:p>
        </w:tc>
      </w:tr>
    </w:tbl>
    <w:p>
      <w:pPr>
        <w:spacing w:after="80"/>
      </w:pPr>
    </w:p>
    <w:p>
      <w:pPr>
        <w:spacing w:after="140" w:before="0" w:line="288"/>
      </w:pPr>
      <w:r>
        <w:t xml:space="preserve">Typical customer groups for an Indian business are </w:t>
      </w:r>
      <w:r>
        <w:rPr>
          <w:b/>
          <w:bCs/>
        </w:rPr>
        <w:t xml:space="preserve">domestic dealers</w:t>
      </w:r>
      <w:r>
        <w:t xml:space="preserve"> (GSTIN mandatory), </w:t>
      </w:r>
      <w:r>
        <w:rPr>
          <w:b/>
          <w:bCs/>
        </w:rPr>
        <w:t xml:space="preserve">government customers</w:t>
      </w:r>
      <w:r>
        <w:t xml:space="preserve"> (tender references), </w:t>
      </w:r>
      <w:r>
        <w:rPr>
          <w:b/>
          <w:bCs/>
        </w:rPr>
        <w:t xml:space="preserve">export customers</w:t>
      </w:r>
      <w:r>
        <w:t xml:space="preserve"> (foreign currency, no GST) and </w:t>
      </w:r>
      <w:r>
        <w:rPr>
          <w:b/>
          <w:bCs/>
        </w:rPr>
        <w:t xml:space="preserve">one-time customers</w:t>
      </w:r>
      <w:r>
        <w:t xml:space="preserve">. As with vendors, S/4HANA uses Business Partner groupings.</w:t>
      </w:r>
    </w:p>
    <w:p>
      <w:pPr>
        <w:pStyle w:val="Heading2"/>
      </w:pPr>
      <w:r>
        <w:t xml:space="preserve">9.2 Dunning</w:t>
      </w:r>
    </w:p>
    <w:p>
      <w:pPr>
        <w:spacing w:after="140" w:before="0" w:line="288"/>
      </w:pPr>
      <w:r>
        <w:t xml:space="preserve"/>
      </w:r>
      <w:r>
        <w:rPr>
          <w:b/>
          <w:bCs/>
        </w:rPr>
        <w:t xml:space="preserve">Purpose:</w:t>
      </w:r>
      <w:r>
        <w:t xml:space="preserve"> dunning automatically reminds customers of overdue invoices. A </w:t>
      </w:r>
      <w:r>
        <w:rPr>
          <w:b/>
          <w:bCs/>
        </w:rPr>
        <w:t xml:space="preserve">dunning procedure</w:t>
      </w:r>
      <w:r>
        <w:t xml:space="preserve"> defines how many days overdue trigger each level, and what text goes in each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Accounts Receivable and Accounts Payable &gt; Business Transactions &gt; Dunning</w:t>
            </w:r>
          </w:p>
          <w:p>
            <w:pPr>
              <w:spacing w:after="40" w:line="260"/>
            </w:pPr>
            <w:r>
              <w:rPr>
                <w:rFonts w:ascii="Consolas" w:cs="Consolas" w:eastAsia="Consolas" w:hAnsi="Consolas"/>
                <w:color w:val="1F2D3A"/>
                <w:sz w:val="19"/>
                <w:szCs w:val="19"/>
              </w:rPr>
              <w:t xml:space="preserve">T-codes: FBMP (maintain dunning procedure), F150 (dunning run)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cantSplit/>
          <w:tblHeader/>
        </w:trPr>
        <w:tc>
          <w:tcPr>
            <w:tcW w:type="dxa" w:w="1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Level</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Days overdue</w:t>
            </w:r>
          </w:p>
        </w:tc>
        <w:tc>
          <w:tcPr>
            <w:tcW w:type="dxa" w:w="5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Action</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Level 1</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 days</w:t>
            </w:r>
          </w:p>
        </w:tc>
        <w:tc>
          <w:tcPr>
            <w:tcW w:type="dxa" w:w="5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Friendly reminder letter or email</w:t>
            </w:r>
          </w:p>
        </w:tc>
      </w:tr>
      <w:tr>
        <w:trPr>
          <w:cantSplit/>
        </w:trPr>
        <w:tc>
          <w:tcPr>
            <w:tcW w:type="dxa" w:w="1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Level 2</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25 days</w:t>
            </w:r>
          </w:p>
        </w:tc>
        <w:tc>
          <w:tcPr>
            <w:tcW w:type="dxa" w:w="5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Formal reminder asking for payment date</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Level 3</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45 days</w:t>
            </w:r>
          </w:p>
        </w:tc>
        <w:tc>
          <w:tcPr>
            <w:tcW w:type="dxa" w:w="5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Final notice; flag customer for sales order block and legal review</w:t>
            </w:r>
          </w:p>
        </w:tc>
      </w:tr>
    </w:tbl>
    <w:p>
      <w:pPr>
        <w:spacing w:after="120"/>
      </w:pPr>
    </w:p>
    <w:p>
      <w:pPr>
        <w:spacing w:after="140" w:before="0" w:line="288"/>
      </w:pPr>
      <w:r>
        <w:t xml:space="preserve">You assign the dunning procedure to the customer master (company code data) and run </w:t>
      </w:r>
      <w:r>
        <w:rPr>
          <w:b/>
          <w:bCs/>
        </w:rPr>
        <w:t xml:space="preserve">F150</w:t>
      </w:r>
      <w:r>
        <w:t xml:space="preserve"> periodically. The values above are examples: choose the days to match your credit policy.</w:t>
      </w:r>
    </w:p>
    <w:p>
      <w:pPr>
        <w:pStyle w:val="Heading2"/>
      </w:pPr>
      <w:r>
        <w:t xml:space="preserve">9.3 Credit management</w:t>
      </w:r>
    </w:p>
    <w:p>
      <w:pPr>
        <w:spacing w:after="140" w:before="0" w:line="288"/>
      </w:pPr>
      <w:r>
        <w:t xml:space="preserve">Credit management limits how much a customer may owe. In classic ECC, credit is configured per </w:t>
      </w:r>
      <w:r>
        <w:rPr>
          <w:b/>
          <w:bCs/>
        </w:rPr>
        <w:t xml:space="preserve">credit control area</w:t>
      </w:r>
      <w:r>
        <w:t xml:space="preserve"> (OB45) and checked in sales order creation. In S/4HANA, SAP Credit Management (part of FSCM) is the strategic solution. Either way, the finance team defines the credit limit, and SD blocks orders that exceed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cost of overdue receivables</w:t>
            </w:r>
          </w:p>
          <w:p>
            <w:pPr>
              <w:spacing w:after="60" w:line="270"/>
            </w:pPr>
            <w:r>
              <w:rPr>
                <w:sz w:val="20"/>
                <w:szCs w:val="20"/>
              </w:rPr>
              <w:t xml:space="preserve">Suppose a company has ₹2 crore in receivables overdue by an average of 40 days and borrows at 11% a year. The financing cost of that delay is about ₹2,00,00,000 × 11% × 40/365 = ₹2.41 lakh. Good dunning and credit control configuration pays for itself if it shortens collection by even a week.</w:t>
            </w:r>
          </w:p>
        </w:tc>
      </w:tr>
    </w:tbl>
    <w:p>
      <w:pPr>
        <w:spacing w:after="120"/>
      </w:pPr>
    </w:p>
    <w:p>
      <w:pPr>
        <w:pStyle w:val="Heading1"/>
      </w:pPr>
      <w:r>
        <w:t xml:space="preserve">10. Step 7: Asset Accounting</w:t>
      </w:r>
    </w:p>
    <w:p>
      <w:pPr>
        <w:spacing w:after="140" w:before="0" w:line="288"/>
      </w:pPr>
      <w:r>
        <w:t xml:space="preserve">Asset Accounting configuration decides how fixed assets are grouped, how depreciation is calculated and how asset transactions post to the GL. It must be configured carefully, because asset values and depreciation affect profit for many years.</w:t>
      </w:r>
    </w:p>
    <w:p>
      <w:pPr>
        <w:pStyle w:val="Heading2"/>
      </w:pPr>
      <w:r>
        <w:t xml:space="preserve">10.1 Chart of depreciation and depreciation areas</w:t>
      </w:r>
    </w:p>
    <w:p>
      <w:pPr>
        <w:spacing w:after="140" w:before="0" w:line="288"/>
      </w:pPr>
      <w:r>
        <w:t xml:space="preserve">A </w:t>
      </w:r>
      <w:r>
        <w:rPr>
          <w:b/>
          <w:bCs/>
        </w:rPr>
        <w:t xml:space="preserve">chart of depreciation</w:t>
      </w:r>
      <w:r>
        <w:t xml:space="preserve"> is a list of depreciation areas for a country. A </w:t>
      </w:r>
      <w:r>
        <w:rPr>
          <w:b/>
          <w:bCs/>
        </w:rPr>
        <w:t xml:space="preserve">depreciation area</w:t>
      </w:r>
      <w:r>
        <w:t xml:space="preserve"> is a separate set of values for one purpose. SAP delivers a reference chart for India with the usual areas (book depreciation and income tax depreciation). You copy it and assign it to the company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Asset Accounting &gt; Organizational Structures</w:t>
            </w:r>
          </w:p>
          <w:p>
            <w:pPr>
              <w:spacing w:after="40" w:line="260"/>
            </w:pPr>
            <w:r>
              <w:rPr>
                <w:rFonts w:ascii="Consolas" w:cs="Consolas" w:eastAsia="Consolas" w:hAnsi="Consolas"/>
                <w:color w:val="1F2D3A"/>
                <w:sz w:val="19"/>
                <w:szCs w:val="19"/>
              </w:rPr>
              <w:t xml:space="preserve">T-codes: EC08 (copy reference chart of depreciation), OAOB (assign chart to company code)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cantSplit/>
          <w:tblHeader/>
        </w:trPr>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Depreciation area</w:t>
            </w:r>
          </w:p>
        </w:tc>
        <w:tc>
          <w:tcPr>
            <w:tcW w:type="dxa" w:w="24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Purpose</w:t>
            </w:r>
          </w:p>
        </w:tc>
        <w:tc>
          <w:tcPr>
            <w:tcW w:type="dxa" w:w="4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Posts to GL?</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01 Book depreciation</w:t>
            </w:r>
          </w:p>
        </w:tc>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Statutory books (Companies Act, Ind AS)</w:t>
            </w:r>
          </w:p>
        </w:tc>
        <w:tc>
          <w:tcPr>
            <w:tcW w:type="dxa" w:w="4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Yes, this is the leading area</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15 Income tax depreciation</w:t>
            </w:r>
          </w:p>
        </w:tc>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Tax books</w:t>
            </w:r>
          </w:p>
        </w:tc>
        <w:tc>
          <w:tcPr>
            <w:tcW w:type="dxa" w:w="4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No, it is used for tax computation and reporting (or a parallel ledger if required)</w:t>
            </w:r>
          </w:p>
        </w:tc>
      </w:tr>
    </w:tbl>
    <w:p>
      <w:pPr>
        <w:spacing w:after="120"/>
      </w:pPr>
    </w:p>
    <w:p>
      <w:pPr>
        <w:pStyle w:val="Heading2"/>
      </w:pPr>
      <w:r>
        <w:t xml:space="preserve">10.2 Asset classes and account determination</w:t>
      </w:r>
    </w:p>
    <w:p>
      <w:pPr>
        <w:spacing w:after="140" w:before="0" w:line="288"/>
      </w:pPr>
      <w:r>
        <w:t xml:space="preserve"/>
      </w:r>
      <w:r>
        <w:rPr>
          <w:b/>
          <w:bCs/>
        </w:rPr>
        <w:t xml:space="preserve">Asset classes</w:t>
      </w:r>
      <w:r>
        <w:t xml:space="preserve"> group similar assets (land, buildings, plant and machinery, computers, vehicles, furniture). The class controls default depreciation keys, number ranges and, through </w:t>
      </w:r>
      <w:r>
        <w:rPr>
          <w:b/>
          <w:bCs/>
        </w:rPr>
        <w:t xml:space="preserve">account determination</w:t>
      </w:r>
      <w:r>
        <w:t xml:space="preserve">, which GL accounts are posted.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Asset Accounting &gt; Asset Data &gt; Asset Classes</w:t>
            </w:r>
          </w:p>
          <w:p>
            <w:pPr>
              <w:spacing w:after="40" w:line="260"/>
            </w:pPr>
            <w:r>
              <w:rPr>
                <w:rFonts w:ascii="Consolas" w:cs="Consolas" w:eastAsia="Consolas" w:hAnsi="Consolas"/>
                <w:color w:val="1F2D3A"/>
                <w:sz w:val="19"/>
                <w:szCs w:val="19"/>
              </w:rPr>
              <w:t xml:space="preserve">T-codes: AOAA (define asset classes), AO90 (assign GL accounts), AS01 (create asset master)</w:t>
            </w:r>
          </w:p>
        </w:tc>
      </w:tr>
    </w:tbl>
    <w:p>
      <w:pPr>
        <w:spacing w:after="80"/>
      </w:pPr>
    </w:p>
    <w:p>
      <w:pPr>
        <w:spacing w:after="140" w:before="0" w:line="288"/>
      </w:pPr>
      <w:r>
        <w:t xml:space="preserve"/>
      </w:r>
      <w:r>
        <w:rPr>
          <w:b/>
          <w:bCs/>
        </w:rPr>
        <w:t xml:space="preserve">Account determination (AO90)</w:t>
      </w:r>
      <w:r>
        <w:t xml:space="preserve"> links each asset class to three types of GL account per chart of depreciation: the cost account (Balance Sheet), the accumulated depreciation account, and the depreciation expense account. This is the bridge between sub-ledger (asset register) and GL.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rPr>
          <w:cantSplit/>
          <w:tblHeader/>
        </w:trPr>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Asset class</w:t>
            </w:r>
          </w:p>
        </w:tc>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Acquisition cost</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Accumulated depreciation</w:t>
            </w:r>
          </w:p>
        </w:tc>
        <w:tc>
          <w:tcPr>
            <w:tcW w:type="dxa" w:w="2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Depreciation expense</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3000 Plant and Machinery</w:t>
            </w:r>
          </w:p>
        </w:tc>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160000</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165000</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530000</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3100 Computers</w:t>
            </w:r>
          </w:p>
        </w:tc>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161000</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166000</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530100</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3200 Vehicles</w:t>
            </w:r>
          </w:p>
        </w:tc>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162000</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167000</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530200</w:t>
            </w:r>
          </w:p>
        </w:tc>
      </w:tr>
      <w:tr>
        <w:trPr>
          <w:cantSplit/>
        </w:trPr>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3300 Furniture</w:t>
            </w:r>
          </w:p>
        </w:tc>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163000</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168000</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530300</w:t>
            </w:r>
          </w:p>
        </w:tc>
      </w:tr>
    </w:tbl>
    <w:p>
      <w:pPr>
        <w:spacing w:after="120"/>
      </w:pPr>
    </w:p>
    <w:p>
      <w:pPr>
        <w:pStyle w:val="Heading2"/>
      </w:pPr>
      <w:r>
        <w:t xml:space="preserve">10.3 Depreciation keys</w:t>
      </w:r>
    </w:p>
    <w:p>
      <w:pPr>
        <w:spacing w:after="140" w:before="0" w:line="288"/>
      </w:pPr>
      <w:r>
        <w:t xml:space="preserve">A </w:t>
      </w:r>
      <w:r>
        <w:rPr>
          <w:b/>
          <w:bCs/>
        </w:rPr>
        <w:t xml:space="preserve">depreciation key</w:t>
      </w:r>
      <w:r>
        <w:t xml:space="preserve"> defines the calculation method. SAP provides keys for straight-line (for example LINR, based on useful life) and declining balance methods. For the tax area, you use a declining-balance key with the Income Tax Act rates; for the book area you use straight-line over the useful life in Schedule II of the Companies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T-code: AFAMA (define depreciation keys)</w:t>
            </w:r>
          </w:p>
          <w:p>
            <w:pPr>
              <w:spacing w:after="40" w:line="260"/>
            </w:pPr>
            <w:r>
              <w:rPr>
                <w:rFonts w:ascii="Consolas" w:cs="Consolas" w:eastAsia="Consolas" w:hAnsi="Consolas"/>
                <w:color w:val="1F2D3A"/>
                <w:sz w:val="19"/>
                <w:szCs w:val="19"/>
              </w:rPr>
              <w:t xml:space="preserve">Depreciation run: AFAB</w:t>
            </w:r>
          </w:p>
        </w:tc>
      </w:tr>
    </w:tbl>
    <w:p>
      <w:pPr>
        <w:spacing w:after="80"/>
      </w:pPr>
    </w:p>
    <w:p>
      <w:pPr>
        <w:pStyle w:val="Heading2"/>
      </w:pPr>
      <w:r>
        <w:t xml:space="preserve">10.4 Depreciation example with analysis</w:t>
      </w:r>
    </w:p>
    <w:p>
      <w:pPr>
        <w:spacing w:after="140" w:before="0" w:line="288"/>
      </w:pPr>
      <w:r>
        <w:t xml:space="preserve">A machine costing ₹10,00,000 is bought and capitalised on the first day of the year. Book depreciation uses straight-line over 15 years with a 5% residual value. Tax depreciation uses 15% written-down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626"/>
      </w:tblGrid>
      <w:tr>
        <w:trPr>
          <w:cantSplit/>
          <w:tblHeader/>
        </w:trPr>
        <w:tc>
          <w:tcPr>
            <w:tcW w:type="dxa" w:w="18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Year</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Book depreciation (area 01)</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Tax depreciation (area 15)</w:t>
            </w:r>
          </w:p>
        </w:tc>
        <w:tc>
          <w:tcPr>
            <w:tcW w:type="dxa" w:w="26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Difference (tax minus book)</w:t>
            </w:r>
          </w:p>
        </w:tc>
      </w:tr>
      <w:tr>
        <w:trPr>
          <w:cantSplit/>
        </w:trPr>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Year 1</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63,333</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1,50,000</w:t>
            </w:r>
          </w:p>
        </w:tc>
        <w:tc>
          <w:tcPr>
            <w:tcW w:type="dxa" w:w="2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86,667</w:t>
            </w:r>
          </w:p>
        </w:tc>
      </w:tr>
      <w:tr>
        <w:trPr>
          <w:cantSplit/>
        </w:trPr>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Year 2</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63,333</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1,27,500</w:t>
            </w:r>
          </w:p>
        </w:tc>
        <w:tc>
          <w:tcPr>
            <w:tcW w:type="dxa" w:w="2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64,167</w:t>
            </w:r>
          </w:p>
        </w:tc>
      </w:tr>
      <w:tr>
        <w:trPr>
          <w:cantSplit/>
        </w:trPr>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Year 3</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63,333</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1,08,375</w:t>
            </w:r>
          </w:p>
        </w:tc>
        <w:tc>
          <w:tcPr>
            <w:tcW w:type="dxa" w:w="2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jc w:val="right"/>
            </w:pPr>
            <w:r>
              <w:rPr>
                <w:b w:val="false"/>
                <w:bCs w:val="false"/>
                <w:sz w:val="19"/>
                <w:szCs w:val="19"/>
              </w:rPr>
              <w:t xml:space="preserve">45,042</w:t>
            </w:r>
          </w:p>
        </w:tc>
      </w:tr>
    </w:tbl>
    <w:p>
      <w:pPr>
        <w:spacing w:after="120"/>
      </w:pPr>
    </w:p>
    <w:p>
      <w:pPr>
        <w:spacing w:after="140" w:before="0" w:line="288"/>
      </w:pPr>
      <w:r>
        <w:t xml:space="preserve"/>
      </w:r>
      <w:r>
        <w:rPr>
          <w:b/>
          <w:bCs/>
        </w:rPr>
        <w:t xml:space="preserve">Analysis:</w:t>
      </w:r>
      <w:r>
        <w:t xml:space="preserve"> in the early years, tax depreciation is higher than book depreciation, so taxable profit is lower than accounting profit. This creates a </w:t>
      </w:r>
      <w:r>
        <w:rPr>
          <w:b/>
          <w:bCs/>
        </w:rPr>
        <w:t xml:space="preserve">timing difference</w:t>
      </w:r>
      <w:r>
        <w:t xml:space="preserve">. With an illustrative 25% tax rate, the deferred tax liability at the end of Year 1 is about ₹86,667 × 25% = ₹21,667, and by the end of Year 2 the cumulative difference of ₹1,50,833 gives about ₹37,708. Because SAP holds both depreciation areas for the same asset, the finance team gets both figures from one asset record, without a parallel spreadsheet. This is a clear business reason for configuring depreciation areas correctly.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capitalisation errors</w:t>
            </w:r>
          </w:p>
          <w:p>
            <w:pPr>
              <w:spacing w:after="60" w:line="270"/>
            </w:pPr>
            <w:r>
              <w:rPr>
                <w:sz w:val="20"/>
                <w:szCs w:val="20"/>
              </w:rPr>
              <w:t xml:space="preserve">The most common asset configuration error is a wrong account determination in AO90, which sends depreciation to a cost account that is not a cost element or has no required cost centre. The depreciation run (AFAB) then fails with errors for every asset in that class. Test AFAB with one asset per class before go-live.</w:t>
            </w:r>
          </w:p>
        </w:tc>
      </w:tr>
    </w:tbl>
    <w:p>
      <w:pPr>
        <w:spacing w:after="120"/>
      </w:pPr>
    </w:p>
    <w:p>
      <w:pPr>
        <w:pStyle w:val="Heading1"/>
      </w:pPr>
      <w:r>
        <w:t xml:space="preserve">11. Step 8: Bank Accounting</w:t>
      </w:r>
    </w:p>
    <w:p>
      <w:pPr>
        <w:spacing w:after="140" w:before="0" w:line="288"/>
      </w:pPr>
      <w:r>
        <w:t xml:space="preserve">Bank Accounting configures house banks, bank accounts, cheque handling and the electronic bank statement. This is the SAP counterpart of the bank reconciliation work that accountants do every month.</w:t>
      </w:r>
    </w:p>
    <w:p>
      <w:pPr>
        <w:pStyle w:val="Heading2"/>
      </w:pPr>
      <w:r>
        <w:t xml:space="preserve">11.1 House banks and bank GL accounts</w:t>
      </w:r>
    </w:p>
    <w:p>
      <w:pPr>
        <w:spacing w:after="140" w:before="0" w:line="288"/>
      </w:pPr>
      <w:r>
        <w:t xml:space="preserve">As described in Section 8.3, a </w:t>
      </w:r>
      <w:r>
        <w:rPr>
          <w:b/>
          <w:bCs/>
        </w:rPr>
        <w:t xml:space="preserve">house bank</w:t>
      </w:r>
      <w:r>
        <w:t xml:space="preserve"> is a bank where the company keeps an account. Each house bank has one or more </w:t>
      </w:r>
      <w:r>
        <w:rPr>
          <w:b/>
          <w:bCs/>
        </w:rPr>
        <w:t xml:space="preserve">account IDs</w:t>
      </w:r>
      <w:r>
        <w:t xml:space="preserve">, each linked to a GL account. A good design uses a </w:t>
      </w:r>
      <w:r>
        <w:rPr>
          <w:b/>
          <w:bCs/>
        </w:rPr>
        <w:t xml:space="preserve">main GL account</w:t>
      </w:r>
      <w:r>
        <w:t xml:space="preserve"> and </w:t>
      </w:r>
      <w:r>
        <w:rPr>
          <w:b/>
          <w:bCs/>
        </w:rPr>
        <w:t xml:space="preserve">sub-accounts</w:t>
      </w:r>
      <w:r>
        <w:t xml:space="preserve"> for clearing.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GL account</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Name</w:t>
            </w:r>
          </w:p>
        </w:tc>
        <w:tc>
          <w:tcPr>
            <w:tcW w:type="dxa" w:w="4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Purpose</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113100</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SBI Current Account (main)</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Actual bank balance as per statement</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113110</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SBI Outgoing Cheques Clearing</w:t>
            </w:r>
          </w:p>
        </w:tc>
        <w:tc>
          <w:tcPr>
            <w:tcW w:type="dxa" w:w="4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Payments issued but not yet presented</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113120</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SBI Incoming Cheques Clearing</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Receipts deposited but not yet credited</w:t>
            </w:r>
          </w:p>
        </w:tc>
      </w:tr>
    </w:tbl>
    <w:p>
      <w:pPr>
        <w:spacing w:after="120"/>
      </w:pPr>
    </w:p>
    <w:p>
      <w:pPr>
        <w:spacing w:after="140" w:before="0" w:line="288"/>
      </w:pPr>
      <w:r>
        <w:t xml:space="preserve"/>
      </w:r>
      <w:r>
        <w:rPr>
          <w:b/>
          <w:bCs/>
        </w:rPr>
        <w:t xml:space="preserve">Why use clearing accounts?</w:t>
      </w:r>
      <w:r>
        <w:t xml:space="preserve"> When a payment run issues cheques, SAP credits the clearing account. When the bank statement is posted later, it clears the clearing account and credits the main account. Any balance in the clearing accounts is exactly the list of </w:t>
      </w:r>
      <w:r>
        <w:rPr>
          <w:b/>
          <w:bCs/>
        </w:rPr>
        <w:t xml:space="preserve">cheques not yet presented</w:t>
      </w:r>
      <w:r>
        <w:t xml:space="preserve">, which is the reconciling item in a BRS. This turns a monthly manual reconciliation into a standard report.</w:t>
      </w:r>
    </w:p>
    <w:p>
      <w:pPr>
        <w:pStyle w:val="Heading2"/>
      </w:pPr>
      <w:r>
        <w:t xml:space="preserve">11.2 Electronic bank statement</w:t>
      </w:r>
    </w:p>
    <w:p>
      <w:pPr>
        <w:spacing w:after="140" w:before="0" w:line="288"/>
      </w:pPr>
      <w:r>
        <w:t xml:space="preserve"/>
      </w:r>
      <w:r>
        <w:rPr>
          <w:b/>
          <w:bCs/>
        </w:rPr>
        <w:t xml:space="preserve">Purpose:</w:t>
      </w:r>
      <w:r>
        <w:t xml:space="preserve"> import the bank's statement file and post entries automatically, such as bank charges, interest, and customer receipts, and match payments against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Financial Accounting &gt; Bank Accounting &gt; Business Transactions &gt; Payment Transactions &gt; Electronic Bank Statement</w:t>
            </w:r>
          </w:p>
          <w:p>
            <w:pPr>
              <w:spacing w:after="40" w:line="260"/>
            </w:pPr>
            <w:r>
              <w:rPr>
                <w:rFonts w:ascii="Consolas" w:cs="Consolas" w:eastAsia="Consolas" w:hAnsi="Consolas"/>
                <w:color w:val="1F2D3A"/>
                <w:sz w:val="19"/>
                <w:szCs w:val="19"/>
              </w:rPr>
              <w:t xml:space="preserve">Manual statement entry: FF67; processing: FEBA</w:t>
            </w:r>
          </w:p>
        </w:tc>
      </w:tr>
    </w:tbl>
    <w:p>
      <w:pPr>
        <w:spacing w:after="80"/>
      </w:pPr>
    </w:p>
    <w:p>
      <w:pPr>
        <w:spacing w:after="140" w:before="0" w:line="288"/>
      </w:pPr>
      <w:r>
        <w:t xml:space="preserve">Configuration includes </w:t>
      </w:r>
      <w:r>
        <w:rPr>
          <w:b/>
          <w:bCs/>
        </w:rPr>
        <w:t xml:space="preserve">account symbols</w:t>
      </w:r>
      <w:r>
        <w:t xml:space="preserve"> (names for GL accounts used in posting rules), </w:t>
      </w:r>
      <w:r>
        <w:rPr>
          <w:b/>
          <w:bCs/>
        </w:rPr>
        <w:t xml:space="preserve">keys for posting rules</w:t>
      </w:r>
      <w:r>
        <w:t xml:space="preserve"> and </w:t>
      </w:r>
      <w:r>
        <w:rPr>
          <w:b/>
          <w:bCs/>
        </w:rPr>
        <w:t xml:space="preserve">external transaction types</w:t>
      </w:r>
      <w:r>
        <w:t xml:space="preserve"> that map the bank's transaction codes, for example "NEFT credit" or "bank charges", to posting rules. Each posting rule says which GL accounts to debit and credit, or which sub-ledger to clear.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reconciliation gains</w:t>
            </w:r>
          </w:p>
          <w:p>
            <w:pPr>
              <w:spacing w:after="60" w:line="270"/>
            </w:pPr>
            <w:r>
              <w:rPr>
                <w:sz w:val="20"/>
                <w:szCs w:val="20"/>
              </w:rPr>
              <w:t xml:space="preserve">If a company processes 2,000 bank lines a month and an accountant needs 1 minute per line manually, that is about 33 hours. With a well-configured electronic bank statement, perhaps 80% of lines post automatically, leaving about 7 hours for exceptions. The configuration work is substantial, but the monthly saving continues for years.</w:t>
            </w:r>
          </w:p>
        </w:tc>
      </w:tr>
    </w:tbl>
    <w:p>
      <w:pPr>
        <w:spacing w:after="120"/>
      </w:pPr>
    </w:p>
    <w:p>
      <w:pPr>
        <w:pStyle w:val="Heading1"/>
      </w:pPr>
      <w:r>
        <w:t xml:space="preserve">12. Step 9: Controlling (CO)</w:t>
      </w:r>
    </w:p>
    <w:p>
      <w:pPr>
        <w:spacing w:after="140" w:before="0" w:line="288"/>
      </w:pPr>
      <w:r>
        <w:t xml:space="preserve">Controlling configuration builds the management accounting layer on top of FI. The first task is the controlling area, because every cost centre, profit centre and internal order belongs to one.</w:t>
      </w:r>
    </w:p>
    <w:p>
      <w:pPr>
        <w:pStyle w:val="Heading2"/>
      </w:pPr>
      <w:r>
        <w:t xml:space="preserve">12.1 Controlling area</w:t>
      </w:r>
    </w:p>
    <w:p>
      <w:pPr>
        <w:spacing w:after="140" w:before="0" w:line="288"/>
      </w:pPr>
      <w:r>
        <w:t xml:space="preserve"/>
      </w:r>
      <w:r>
        <w:rPr>
          <w:b/>
          <w:bCs/>
        </w:rPr>
        <w:t xml:space="preserve">Purpose:</w:t>
      </w:r>
      <w:r>
        <w:t xml:space="preserve"> a controlling area is the organisational unit for which costs and revenues are managed. It can include one or more company codes, provided they share the same chart of accounts and fiscal year 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Enterprise Structure &gt; Definition &gt; Controlling &gt; Maintain Controlling Area</w:t>
            </w:r>
          </w:p>
          <w:p>
            <w:pPr>
              <w:spacing w:after="40" w:line="260"/>
            </w:pPr>
            <w:r>
              <w:rPr>
                <w:rFonts w:ascii="Consolas" w:cs="Consolas" w:eastAsia="Consolas" w:hAnsi="Consolas"/>
                <w:color w:val="1F2D3A"/>
                <w:sz w:val="19"/>
                <w:szCs w:val="19"/>
              </w:rPr>
              <w:t xml:space="preserve">T-codes: OKKP (maintain controlling area), OX19 (assign company code)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Field</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w:t>
            </w:r>
          </w:p>
        </w:tc>
        <w:tc>
          <w:tcPr>
            <w:tcW w:type="dxa" w:w="4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Explanation</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Controlling area</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Four-character key</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Name</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Utkal Infra Controlling</w:t>
            </w:r>
          </w:p>
        </w:tc>
        <w:tc>
          <w:tcPr>
            <w:tcW w:type="dxa" w:w="4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Description</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Currency type</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 (company code currency)</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Controlling area uses the same currency as the company code</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Currency</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INR</w:t>
            </w:r>
          </w:p>
        </w:tc>
        <w:tc>
          <w:tcPr>
            <w:tcW w:type="dxa" w:w="4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Controlling area currency</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Chart of accounts</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YCOA</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Must match the company code</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Fiscal year variant</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V3</w:t>
            </w:r>
          </w:p>
        </w:tc>
        <w:tc>
          <w:tcPr>
            <w:tcW w:type="dxa" w:w="4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Must match the company code</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Cost centre standard hierarchy</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1000</w:t>
            </w:r>
          </w:p>
        </w:tc>
        <w:tc>
          <w:tcPr>
            <w:tcW w:type="dxa" w:w="4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Top node under which all cost centres are placed</w:t>
            </w:r>
          </w:p>
        </w:tc>
      </w:tr>
    </w:tbl>
    <w:p>
      <w:pPr>
        <w:spacing w:after="120"/>
      </w:pPr>
    </w:p>
    <w:p>
      <w:pPr>
        <w:spacing w:after="140" w:before="0" w:line="288"/>
      </w:pPr>
      <w:r>
        <w:t xml:space="preserve">Then use </w:t>
      </w:r>
      <w:r>
        <w:rPr>
          <w:b/>
          <w:bCs/>
        </w:rPr>
        <w:t xml:space="preserve">OX19</w:t>
      </w:r>
      <w:r>
        <w:t xml:space="preserve"> to assign company code 1000 to controlling area 1000. In the activation steps, switch on the components you need: cost centre accounting, internal orders, profit centre accounting and, if relevant, project system integration.</w:t>
      </w:r>
    </w:p>
    <w:p>
      <w:pPr>
        <w:pStyle w:val="Heading2"/>
      </w:pPr>
      <w:r>
        <w:t xml:space="preserve">12.2 Cost elements</w:t>
      </w:r>
    </w:p>
    <w:p>
      <w:pPr>
        <w:spacing w:after="140" w:before="0" w:line="288"/>
      </w:pPr>
      <w:r>
        <w:t xml:space="preserve">A </w:t>
      </w:r>
      <w:r>
        <w:rPr>
          <w:b/>
          <w:bCs/>
        </w:rPr>
        <w:t xml:space="preserve">cost element</w:t>
      </w:r>
      <w:r>
        <w:t xml:space="preserve"> shows the type of cost (salary, rent, electricity). In S/4HANA there is </w:t>
      </w:r>
      <w:r>
        <w:rPr>
          <w:b/>
          <w:bCs/>
        </w:rPr>
        <w:t xml:space="preserve">no separate cost element master</w:t>
      </w:r>
      <w:r>
        <w:t xml:space="preserve">: a </w:t>
      </w:r>
      <w:r>
        <w:rPr>
          <w:b/>
          <w:bCs/>
        </w:rPr>
        <w:t xml:space="preserve">primary cost element</w:t>
      </w:r>
      <w:r>
        <w:t xml:space="preserve"> is simply a GL account of type "Primary Costs or Revenue", and a </w:t>
      </w:r>
      <w:r>
        <w:rPr>
          <w:b/>
          <w:bCs/>
        </w:rPr>
        <w:t xml:space="preserve">secondary cost element</w:t>
      </w:r>
      <w:r>
        <w:t xml:space="preserve"> (used for internal allocations) is a GL account of type "Secondary Costs" created in </w:t>
      </w:r>
      <w:r>
        <w:rPr>
          <w:b/>
          <w:bCs/>
        </w:rPr>
        <w:t xml:space="preserve">FS00</w:t>
      </w:r>
      <w:r>
        <w:t xml:space="preserve">. In older ECC systems cost elements were created in KA01 and KA06.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cantSplit/>
          <w:tblHeader/>
        </w:trPr>
        <w:tc>
          <w:tcPr>
            <w:tcW w:type="dxa" w:w="1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Category</w:t>
            </w:r>
          </w:p>
        </w:tc>
        <w:tc>
          <w:tcPr>
            <w:tcW w:type="dxa" w:w="3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c>
          <w:tcPr>
            <w:tcW w:type="dxa" w:w="36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Example</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w:t>
            </w:r>
          </w:p>
        </w:tc>
        <w:tc>
          <w:tcPr>
            <w:tcW w:type="dxa" w:w="3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Primary cost</w:t>
            </w:r>
          </w:p>
        </w:tc>
        <w:tc>
          <w:tcPr>
            <w:tcW w:type="dxa" w:w="3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Salary, power, rent</w:t>
            </w:r>
          </w:p>
        </w:tc>
      </w:tr>
      <w:tr>
        <w:trPr>
          <w:cantSplit/>
        </w:trPr>
        <w:tc>
          <w:tcPr>
            <w:tcW w:type="dxa" w:w="1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11</w:t>
            </w:r>
          </w:p>
        </w:tc>
        <w:tc>
          <w:tcPr>
            <w:tcW w:type="dxa" w:w="3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Revenue</w:t>
            </w:r>
          </w:p>
        </w:tc>
        <w:tc>
          <w:tcPr>
            <w:tcW w:type="dxa" w:w="3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Contract revenue</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42</w:t>
            </w:r>
          </w:p>
        </w:tc>
        <w:tc>
          <w:tcPr>
            <w:tcW w:type="dxa" w:w="3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Assessment</w:t>
            </w:r>
          </w:p>
        </w:tc>
        <w:tc>
          <w:tcPr>
            <w:tcW w:type="dxa" w:w="3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Allocation of canteen costs by percentage</w:t>
            </w:r>
          </w:p>
        </w:tc>
      </w:tr>
      <w:tr>
        <w:trPr>
          <w:cantSplit/>
        </w:trPr>
        <w:tc>
          <w:tcPr>
            <w:tcW w:type="dxa" w:w="1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43</w:t>
            </w:r>
          </w:p>
        </w:tc>
        <w:tc>
          <w:tcPr>
            <w:tcW w:type="dxa" w:w="3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Internal activity allocation</w:t>
            </w:r>
          </w:p>
        </w:tc>
        <w:tc>
          <w:tcPr>
            <w:tcW w:type="dxa" w:w="3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Machine hour charged from the machinery pool to project sites</w:t>
            </w:r>
          </w:p>
        </w:tc>
      </w:tr>
    </w:tbl>
    <w:p>
      <w:pPr>
        <w:spacing w:after="120"/>
      </w:pPr>
    </w:p>
    <w:p>
      <w:pPr>
        <w:pStyle w:val="Heading2"/>
      </w:pPr>
      <w:r>
        <w:t xml:space="preserve">12.3 Cost centres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T-codes: OKEON (standard hierarchy), OKA2 (cost centre categories), KS01 (create cost centre), KSH1 (cost centre groups)</w:t>
            </w:r>
          </w:p>
        </w:tc>
      </w:tr>
    </w:tbl>
    <w:p>
      <w:pPr>
        <w:spacing w:after="80"/>
      </w:pPr>
    </w:p>
    <w:p>
      <w:pPr>
        <w:spacing w:after="140" w:before="0" w:line="288"/>
      </w:pPr>
      <w:r>
        <w:t xml:space="preserve">Steps: set the </w:t>
      </w:r>
      <w:r>
        <w:rPr>
          <w:b/>
          <w:bCs/>
        </w:rPr>
        <w:t xml:space="preserve">standard hierarchy</w:t>
      </w:r>
      <w:r>
        <w:t xml:space="preserve"> (the tree in which every cost centre must appear), define </w:t>
      </w:r>
      <w:r>
        <w:rPr>
          <w:b/>
          <w:bCs/>
        </w:rPr>
        <w:t xml:space="preserve">cost centre categories</w:t>
      </w:r>
      <w:r>
        <w:t xml:space="preserve"> (for example production, administration, project site), then create cost centres in </w:t>
      </w:r>
      <w:r>
        <w:rPr>
          <w:b/>
          <w:bCs/>
        </w:rPr>
        <w:t xml:space="preserve">KS01</w:t>
      </w:r>
      <w:r>
        <w:t xml:space="preserve"> with a responsible person, a category, a hierarchy node and the company code and profit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200"/>
        <w:gridCol w:w="23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Cost centre</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Name</w:t>
            </w:r>
          </w:p>
        </w:tc>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Category</w:t>
            </w:r>
          </w:p>
        </w:tc>
        <w:tc>
          <w:tcPr>
            <w:tcW w:type="dxa" w:w="2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Hierarchy node</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1100</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Head Office Administration</w:t>
            </w:r>
          </w:p>
        </w:tc>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Administration</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Head Office</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1200</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Site Odisha Road Project</w:t>
            </w:r>
          </w:p>
        </w:tc>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Project site</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Sites</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1210</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Site Bihar Bridge Project</w:t>
            </w:r>
          </w:p>
        </w:tc>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Project site</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Sites</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1300</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Machinery Pool</w:t>
            </w:r>
          </w:p>
        </w:tc>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Service</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Shared services</w:t>
            </w:r>
          </w:p>
        </w:tc>
      </w:tr>
    </w:tbl>
    <w:p>
      <w:pPr>
        <w:spacing w:after="120"/>
      </w:pPr>
    </w:p>
    <w:p>
      <w:pPr>
        <w:pStyle w:val="Heading2"/>
      </w:pPr>
      <w:r>
        <w:t xml:space="preserve">12.4 Profit centres and internal orders</w:t>
      </w:r>
    </w:p>
    <w:p>
      <w:pPr>
        <w:spacing w:after="140" w:before="0" w:line="288"/>
      </w:pPr>
      <w:r>
        <w:t xml:space="preserve"/>
      </w:r>
      <w:r>
        <w:rPr>
          <w:b/>
          <w:bCs/>
        </w:rPr>
        <w:t xml:space="preserve">Profit centres</w:t>
      </w:r>
      <w:r>
        <w:t xml:space="preserve"> (created in </w:t>
      </w:r>
      <w:r>
        <w:rPr>
          <w:b/>
          <w:bCs/>
        </w:rPr>
        <w:t xml:space="preserve">KE51</w:t>
      </w:r>
      <w:r>
        <w:t xml:space="preserve">) measure the profit of a unit, for example a division such as Roads and Buildings. In S/4HANA profit centre accounting is part of the Universal Journal, so it is always active and updated in real time.</w:t>
      </w:r>
    </w:p>
    <w:p>
      <w:pPr>
        <w:spacing w:after="140" w:before="0" w:line="288"/>
      </w:pPr>
      <w:r>
        <w:t xml:space="preserve"/>
      </w:r>
      <w:r>
        <w:rPr>
          <w:b/>
          <w:bCs/>
        </w:rPr>
        <w:t xml:space="preserve">Internal orders</w:t>
      </w:r>
      <w:r>
        <w:t xml:space="preserve"> track costs of specific jobs or events. You define </w:t>
      </w:r>
      <w:r>
        <w:rPr>
          <w:b/>
          <w:bCs/>
        </w:rPr>
        <w:t xml:space="preserve">order types</w:t>
      </w:r>
      <w:r>
        <w:t xml:space="preserve"> (</w:t>
      </w:r>
      <w:r>
        <w:rPr>
          <w:b/>
          <w:bCs/>
        </w:rPr>
        <w:t xml:space="preserve">KOT2</w:t>
      </w:r>
      <w:r>
        <w:t xml:space="preserve">), </w:t>
      </w:r>
      <w:r>
        <w:rPr>
          <w:b/>
          <w:bCs/>
        </w:rPr>
        <w:t xml:space="preserve">settlement profiles</w:t>
      </w:r>
      <w:r>
        <w:t xml:space="preserve"> (</w:t>
      </w:r>
      <w:r>
        <w:rPr>
          <w:b/>
          <w:bCs/>
        </w:rPr>
        <w:t xml:space="preserve">OKO7</w:t>
      </w:r>
      <w:r>
        <w:t xml:space="preserve">), and number ranges. Orders are created in </w:t>
      </w:r>
      <w:r>
        <w:rPr>
          <w:b/>
          <w:bCs/>
        </w:rPr>
        <w:t xml:space="preserve">KO01</w:t>
      </w:r>
      <w:r>
        <w:t xml:space="preserve"> and settled to a cost centre or asset when the job ends.</w:t>
      </w:r>
    </w:p>
    <w:p>
      <w:pPr>
        <w:pStyle w:val="Heading2"/>
      </w:pPr>
      <w:r>
        <w:t xml:space="preserve">12.5 Allocations and planning</w:t>
      </w:r>
    </w:p>
    <w:p>
      <w:pPr>
        <w:pStyle w:val="ListParagraph"/>
        <w:numPr>
          <w:ilvl w:val="0"/>
          <w:numId w:val="2"/>
        </w:numPr>
        <w:spacing w:after="80" w:line="276"/>
      </w:pPr>
      <w:r>
        <w:t xml:space="preserve"/>
      </w:r>
      <w:r>
        <w:rPr>
          <w:b/>
          <w:bCs/>
        </w:rPr>
        <w:t xml:space="preserve">Assessment (KSU5):</w:t>
      </w:r>
      <w:r>
        <w:t xml:space="preserve"> distributes costs from a sender cost centre to receivers using fixed percentages or statistical keys. Used for shared costs such as head office costs charged to sites.</w:t>
      </w:r>
    </w:p>
    <w:p>
      <w:pPr>
        <w:pStyle w:val="ListParagraph"/>
        <w:numPr>
          <w:ilvl w:val="0"/>
          <w:numId w:val="2"/>
        </w:numPr>
        <w:spacing w:after="80" w:line="276"/>
      </w:pPr>
      <w:r>
        <w:t xml:space="preserve"/>
      </w:r>
      <w:r>
        <w:rPr>
          <w:b/>
          <w:bCs/>
        </w:rPr>
        <w:t xml:space="preserve">Distribution (KSV5):</w:t>
      </w:r>
      <w:r>
        <w:t xml:space="preserve"> similar, but keeps the original cost element, so the receiver sees salary, rent and so on, not a general "allocation" element.</w:t>
      </w:r>
    </w:p>
    <w:p>
      <w:pPr>
        <w:pStyle w:val="ListParagraph"/>
        <w:numPr>
          <w:ilvl w:val="0"/>
          <w:numId w:val="2"/>
        </w:numPr>
        <w:spacing w:after="80" w:line="276"/>
      </w:pPr>
      <w:r>
        <w:t xml:space="preserve"/>
      </w:r>
      <w:r>
        <w:rPr>
          <w:b/>
          <w:bCs/>
        </w:rPr>
        <w:t xml:space="preserve">Activity types (KL01) and prices:</w:t>
      </w:r>
      <w:r>
        <w:t xml:space="preserve"> charge internal services in units, such as machine hours.</w:t>
      </w:r>
    </w:p>
    <w:p>
      <w:pPr>
        <w:pStyle w:val="ListParagraph"/>
        <w:numPr>
          <w:ilvl w:val="0"/>
          <w:numId w:val="2"/>
        </w:numPr>
        <w:spacing w:after="80" w:line="276"/>
      </w:pPr>
      <w:r>
        <w:t xml:space="preserve"/>
      </w:r>
      <w:r>
        <w:rPr>
          <w:b/>
          <w:bCs/>
        </w:rPr>
        <w:t xml:space="preserve">Planning (KP06 for cost, KP26 for activity prices):</w:t>
      </w:r>
      <w:r>
        <w:t xml:space="preserve"> enter the budget so that actual costs can be compared against plan in reports such as S_ALR_87013611.</w:t>
      </w:r>
    </w:p>
    <w:p>
      <w:pPr>
        <w:pStyle w:val="Heading2"/>
      </w:pPr>
      <w:r>
        <w:t xml:space="preserve">12.6 Profitability analysis and product costing (overview)</w:t>
      </w:r>
    </w:p>
    <w:p>
      <w:pPr>
        <w:spacing w:after="140" w:before="0" w:line="288"/>
      </w:pPr>
      <w:r>
        <w:t xml:space="preserve"/>
      </w:r>
      <w:r>
        <w:rPr>
          <w:b/>
          <w:bCs/>
        </w:rPr>
        <w:t xml:space="preserve">CO-PA</w:t>
      </w:r>
      <w:r>
        <w:t xml:space="preserve"> is set up with an </w:t>
      </w:r>
      <w:r>
        <w:rPr>
          <w:b/>
          <w:bCs/>
        </w:rPr>
        <w:t xml:space="preserve">operating concern</w:t>
      </w:r>
      <w:r>
        <w:t xml:space="preserve"> (</w:t>
      </w:r>
      <w:r>
        <w:rPr>
          <w:b/>
          <w:bCs/>
        </w:rPr>
        <w:t xml:space="preserve">KEA0</w:t>
      </w:r>
      <w:r>
        <w:t xml:space="preserve">) assigned to controlling area (</w:t>
      </w:r>
      <w:r>
        <w:rPr>
          <w:b/>
          <w:bCs/>
        </w:rPr>
        <w:t xml:space="preserve">KEKK</w:t>
      </w:r>
      <w:r>
        <w:t xml:space="preserve">). In S/4HANA the default is </w:t>
      </w:r>
      <w:r>
        <w:rPr>
          <w:b/>
          <w:bCs/>
        </w:rPr>
        <w:t xml:space="preserve">account-based CO-PA</w:t>
      </w:r>
      <w:r>
        <w:t xml:space="preserve"> (also called margin analysis), which reads from the Universal Journal; </w:t>
      </w:r>
      <w:r>
        <w:rPr>
          <w:b/>
          <w:bCs/>
        </w:rPr>
        <w:t xml:space="preserve">costing-based CO-PA</w:t>
      </w:r>
      <w:r>
        <w:t xml:space="preserve"> can be added when value fields are needed for detailed analysis. </w:t>
      </w:r>
      <w:r>
        <w:rPr>
          <w:b/>
          <w:bCs/>
        </w:rPr>
        <w:t xml:space="preserve">Product costing</w:t>
      </w:r>
      <w:r>
        <w:t xml:space="preserve"> needs costing variants, costing sheets and material master costing views, and is normally configured together with the production planning team (cost estimate with </w:t>
      </w:r>
      <w:r>
        <w:rPr>
          <w:b/>
          <w:bCs/>
        </w:rPr>
        <w:t xml:space="preserve">CK11N</w:t>
      </w:r>
      <w:r>
        <w:t xml:space="preserve">, costing run with </w:t>
      </w:r>
      <w:r>
        <w:rPr>
          <w:b/>
          <w:bCs/>
        </w:rPr>
        <w:t xml:space="preserve">CK40N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the controlling area decision</w:t>
            </w:r>
          </w:p>
          <w:p>
            <w:pPr>
              <w:spacing w:after="60" w:line="270"/>
            </w:pPr>
            <w:r>
              <w:rPr>
                <w:sz w:val="20"/>
                <w:szCs w:val="20"/>
              </w:rPr>
              <w:t xml:space="preserve">Design the controlling area </w:t>
            </w:r>
            <w:r>
              <w:rPr>
                <w:b/>
                <w:bCs/>
                <w:sz w:val="20"/>
                <w:szCs w:val="20"/>
              </w:rPr>
              <w:t xml:space="preserve">before</w:t>
            </w:r>
            <w:r>
              <w:rPr>
                <w:sz w:val="20"/>
                <w:szCs w:val="20"/>
              </w:rPr>
              <w:t xml:space="preserve"> go-live. If a group has five company codes with the same chart of accounts and fiscal year variant, one controlling area simplifies cross-company allocations and reporting. But if the company codes need different charts or different year-ends, you need separate controlling areas, which makes cross-company allocation harder. This decision should be made in the design workshop with finance and cost accounting heads.</w:t>
            </w:r>
          </w:p>
        </w:tc>
      </w:tr>
    </w:tbl>
    <w:p>
      <w:pPr>
        <w:spacing w:after="120"/>
      </w:pPr>
    </w:p>
    <w:p>
      <w:pPr>
        <w:pStyle w:val="Heading1"/>
      </w:pPr>
      <w:r>
        <w:t xml:space="preserve">13. Step 10: Integration and Account Determination</w:t>
      </w:r>
    </w:p>
    <w:p>
      <w:pPr>
        <w:spacing w:after="140" w:before="0" w:line="288"/>
      </w:pPr>
      <w:r>
        <w:t xml:space="preserve">This is the step that connects FICO with the rest of SAP. When a warehouse clerk posts a goods receipt or a sales billing document is released, </w:t>
      </w:r>
      <w:r>
        <w:rPr>
          <w:b/>
          <w:bCs/>
        </w:rPr>
        <w:t xml:space="preserve">no accountant types an entry</w:t>
      </w:r>
      <w:r>
        <w:t xml:space="preserve">. SAP decides the GL accounts using </w:t>
      </w:r>
      <w:r>
        <w:rPr>
          <w:b/>
          <w:bCs/>
        </w:rPr>
        <w:t xml:space="preserve">account determination</w:t>
      </w:r>
      <w:r>
        <w:t xml:space="preserve"> rules that you configure. If these rules are wrong, every posting from MM or SD is wrong, so this is the most important testing area.</w:t>
      </w:r>
    </w:p>
    <w:p>
      <w:pPr>
        <w:spacing w:after="160" w:before="120"/>
        <w:jc w:val="center"/>
      </w:pPr>
      <w:r>
        <w:drawing>
          <wp:inline distT="0" distB="0" distL="0" distR="0">
            <wp:extent cx="5715000" cy="3228975"/>
            <wp:effectExtent t="0" r="0" b="0" l="0"/>
            <wp:docPr id="1" name="Integration flow" descr="Integration flow" title="Integ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i/>
          <w:iCs/>
          <w:color w:val="5B6770"/>
          <w:sz w:val="19"/>
          <w:szCs w:val="19"/>
        </w:rPr>
        <w:t xml:space="preserve">Figure 3: Account determination connects business events to GL accounts</w:t>
      </w:r>
    </w:p>
    <w:p>
      <w:pPr>
        <w:pStyle w:val="Heading2"/>
      </w:pPr>
      <w:r>
        <w:t xml:space="preserve">13.1 MM to FI: valuation classes and OBYC</w:t>
      </w:r>
    </w:p>
    <w:p>
      <w:pPr>
        <w:spacing w:after="140" w:before="0" w:line="288"/>
      </w:pPr>
      <w:r>
        <w:t xml:space="preserve">Each material has a </w:t>
      </w:r>
      <w:r>
        <w:rPr>
          <w:b/>
          <w:bCs/>
        </w:rPr>
        <w:t xml:space="preserve">material type</w:t>
      </w:r>
      <w:r>
        <w:t xml:space="preserve"> and a </w:t>
      </w:r>
      <w:r>
        <w:rPr>
          <w:b/>
          <w:bCs/>
        </w:rPr>
        <w:t xml:space="preserve">valuation class</w:t>
      </w:r>
      <w:r>
        <w:t xml:space="preserve">. The valuation class groups materials for accounting purposes, for example raw materials (class 3000), trading goods (3100), semi-finished goods (7900), finished goods (7920). </w:t>
      </w:r>
      <w:r>
        <w:rPr>
          <w:b/>
          <w:bCs/>
        </w:rPr>
        <w:t xml:space="preserve">OBYC</w:t>
      </w:r>
      <w:r>
        <w:t xml:space="preserve"> then maps a </w:t>
      </w:r>
      <w:r>
        <w:rPr>
          <w:b/>
          <w:bCs/>
        </w:rPr>
        <w:t xml:space="preserve">transaction key</w:t>
      </w:r>
      <w:r>
        <w:t xml:space="preserve"> plus the valuation class to a GL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Materials Management &gt; Valuation and Account Assignment &gt; Account Determination</w:t>
            </w:r>
          </w:p>
          <w:p>
            <w:pPr>
              <w:spacing w:after="40" w:line="260"/>
            </w:pPr>
            <w:r>
              <w:rPr>
                <w:rFonts w:ascii="Consolas" w:cs="Consolas" w:eastAsia="Consolas" w:hAnsi="Consolas"/>
                <w:color w:val="1F2D3A"/>
                <w:sz w:val="19"/>
                <w:szCs w:val="19"/>
              </w:rPr>
              <w:t xml:space="preserve">T-codes: OMSK (valuation classes), OBYC (automatic postings), OX14 (activate valuation area)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200"/>
        <w:gridCol w:w="2326"/>
      </w:tblGrid>
      <w:tr>
        <w:trPr>
          <w:cantSplit/>
          <w:tblHeader/>
        </w:trPr>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Transaction key</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c>
          <w:tcPr>
            <w:tcW w:type="dxa" w:w="22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Valuation class / modifier</w:t>
            </w:r>
          </w:p>
        </w:tc>
        <w:tc>
          <w:tcPr>
            <w:tcW w:type="dxa" w:w="2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GL account</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BSX</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Inventory posting</w:t>
            </w:r>
          </w:p>
        </w:tc>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3000 Raw materials</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130000 Raw Material Inventory</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BSX</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Inventory posting</w:t>
            </w:r>
          </w:p>
        </w:tc>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7920 Finished goods</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135000 Finished Goods Inventory</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WRX</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GR/IR clearing</w:t>
            </w:r>
          </w:p>
        </w:tc>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All classes</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210000 GR/IR Clearing</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GBB</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Offsetting entry for goods issue</w:t>
            </w:r>
          </w:p>
        </w:tc>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VBR (consumption for cost centre)</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510000 Site Labour and Material Consumption</w:t>
            </w:r>
          </w:p>
        </w:tc>
      </w:tr>
      <w:tr>
        <w:trPr>
          <w:cantSplit/>
        </w:trPr>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GBB</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Offsetting entry for goods issue</w:t>
            </w:r>
          </w:p>
        </w:tc>
        <w:tc>
          <w:tcPr>
            <w:tcW w:type="dxa" w:w="22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VAX (issue to sales order)</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500000 Cost of Goods Sold</w:t>
            </w:r>
          </w:p>
        </w:tc>
      </w:tr>
      <w:tr>
        <w:trPr>
          <w:cantSplit/>
        </w:trPr>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PRD</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Price differences</w:t>
            </w:r>
          </w:p>
        </w:tc>
        <w:tc>
          <w:tcPr>
            <w:tcW w:type="dxa" w:w="22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All classes</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505000 Purchase Price Variance</w:t>
            </w:r>
          </w:p>
        </w:tc>
      </w:tr>
    </w:tbl>
    <w:p>
      <w:pPr>
        <w:spacing w:after="120"/>
      </w:pPr>
    </w:p>
    <w:p>
      <w:pPr>
        <w:spacing w:after="140" w:before="0" w:line="288"/>
      </w:pPr>
      <w:r>
        <w:t xml:space="preserve"/>
      </w:r>
      <w:r>
        <w:rPr>
          <w:b/>
          <w:bCs/>
        </w:rPr>
        <w:t xml:space="preserve">How to read the table:</w:t>
      </w:r>
      <w:r>
        <w:t xml:space="preserve"> when a goods receipt is posted for a raw material (valuation class 3000), SAP debits the account found under </w:t>
      </w:r>
      <w:r>
        <w:rPr>
          <w:b/>
          <w:bCs/>
        </w:rPr>
        <w:t xml:space="preserve">BSX</w:t>
      </w:r>
      <w:r>
        <w:t xml:space="preserve"> for class 3000 and credits the account found under </w:t>
      </w:r>
      <w:r>
        <w:rPr>
          <w:b/>
          <w:bCs/>
        </w:rPr>
        <w:t xml:space="preserve">WRX</w:t>
      </w:r>
      <w:r>
        <w:t xml:space="preserve">. When the same material is issued to a cost centre, SAP credits </w:t>
      </w:r>
      <w:r>
        <w:rPr>
          <w:b/>
          <w:bCs/>
        </w:rPr>
        <w:t xml:space="preserve">BSX</w:t>
      </w:r>
      <w:r>
        <w:t xml:space="preserve"> and debits </w:t>
      </w:r>
      <w:r>
        <w:rPr>
          <w:b/>
          <w:bCs/>
        </w:rPr>
        <w:t xml:space="preserve">GBB-VBR</w:t>
      </w:r>
      <w:r>
        <w:t xml:space="preserve">. A single missing row in this table causes the posting to fail with an "account not found" message, which is easy to catch. A wrong row posts silently to the wrong account, which is far more dangerous (see Case Study 2).</w:t>
      </w:r>
    </w:p>
    <w:p>
      <w:pPr>
        <w:pStyle w:val="Heading2"/>
      </w:pPr>
      <w:r>
        <w:t xml:space="preserve">13.2 SD to FI: revenue account determination (VKOA)</w:t>
      </w:r>
    </w:p>
    <w:p>
      <w:pPr>
        <w:spacing w:after="140" w:before="0" w:line="288"/>
      </w:pPr>
      <w:r>
        <w:t xml:space="preserve">When SD releases a billing document, SAP finds the revenue account by combining the </w:t>
      </w:r>
      <w:r>
        <w:rPr>
          <w:b/>
          <w:bCs/>
        </w:rPr>
        <w:t xml:space="preserve">sales organisation</w:t>
      </w:r>
      <w:r>
        <w:t xml:space="preserve">, the </w:t>
      </w:r>
      <w:r>
        <w:rPr>
          <w:b/>
          <w:bCs/>
        </w:rPr>
        <w:t xml:space="preserve">customer account assignment group</w:t>
      </w:r>
      <w:r>
        <w:t xml:space="preserve">, the </w:t>
      </w:r>
      <w:r>
        <w:rPr>
          <w:b/>
          <w:bCs/>
        </w:rPr>
        <w:t xml:space="preserve">material account assignment group</w:t>
      </w:r>
      <w:r>
        <w:t xml:space="preserve"> and an </w:t>
      </w:r>
      <w:r>
        <w:rPr>
          <w:b/>
          <w:bCs/>
        </w:rPr>
        <w:t xml:space="preserve">account key</w:t>
      </w:r>
      <w:r>
        <w:t xml:space="preserve"> (for example ERL for revenue, ERS for sales deductions). Taxes are determined through the pricing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B2A4A" w:sz="28"/>
              <w:bottom w:val="none" w:color="FFFFFF" w:sz="0"/>
              <w:right w:val="none" w:color="FFFFFF" w:sz="0"/>
            </w:tcBorders>
            <w:shd w:fill="F0F2F4" w:color="auto" w:val="clear"/>
            <w:tcMar>
              <w:top w:type="dxa" w:w="90"/>
              <w:left w:type="dxa" w:w="200"/>
              <w:bottom w:type="dxa" w:w="80"/>
              <w:right w:type="dxa" w:w="160"/>
            </w:tcMar>
          </w:tcPr>
          <w:p>
            <w:pPr>
              <w:spacing w:after="50"/>
            </w:pPr>
            <w:r>
              <w:rPr>
                <w:b/>
                <w:bCs/>
                <w:color w:val="0B2A4A"/>
                <w:spacing w:val="30"/>
                <w:sz w:val="17"/>
                <w:szCs w:val="17"/>
              </w:rPr>
              <w:t xml:space="preserve">WHERE TO CONFIGURE</w:t>
            </w:r>
          </w:p>
          <w:p>
            <w:pPr>
              <w:spacing w:after="40" w:line="260"/>
            </w:pPr>
            <w:r>
              <w:rPr>
                <w:rFonts w:ascii="Consolas" w:cs="Consolas" w:eastAsia="Consolas" w:hAnsi="Consolas"/>
                <w:color w:val="1F2D3A"/>
                <w:sz w:val="19"/>
                <w:szCs w:val="19"/>
              </w:rPr>
              <w:t xml:space="preserve">SPRO &gt; Sales and Distribution &gt; Basic Functions &gt; Account Assignment/Costing &gt; Revenue Account Determination</w:t>
            </w:r>
          </w:p>
          <w:p>
            <w:pPr>
              <w:spacing w:after="40" w:line="260"/>
            </w:pPr>
            <w:r>
              <w:rPr>
                <w:rFonts w:ascii="Consolas" w:cs="Consolas" w:eastAsia="Consolas" w:hAnsi="Consolas"/>
                <w:color w:val="1F2D3A"/>
                <w:sz w:val="19"/>
                <w:szCs w:val="19"/>
              </w:rPr>
              <w:t xml:space="preserve">T-code: VKOA</w:t>
            </w:r>
          </w:p>
          <w:p>
            <w:pPr>
              <w:spacing w:after="40" w:line="260"/>
            </w:pPr>
            <w:r>
              <w:rPr>
                <w:rFonts w:ascii="Consolas" w:cs="Consolas" w:eastAsia="Consolas" w:hAnsi="Consolas"/>
                <w:color w:val="1F2D3A"/>
                <w:sz w:val="19"/>
                <w:szCs w:val="19"/>
              </w:rPr>
              <w:t xml:space="preserve">Billing type to accounting document type: VOFA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500"/>
        <w:gridCol w:w="2326"/>
      </w:tblGrid>
      <w:tr>
        <w:trPr>
          <w:cantSplit/>
          <w:tblHeader/>
        </w:trPr>
        <w:tc>
          <w:tcPr>
            <w:tcW w:type="dxa" w:w="14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Sales org.</w:t>
            </w:r>
          </w:p>
        </w:tc>
        <w:tc>
          <w:tcPr>
            <w:tcW w:type="dxa" w:w="18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Customer group</w:t>
            </w:r>
          </w:p>
        </w:tc>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Material group</w:t>
            </w:r>
          </w:p>
        </w:tc>
        <w:tc>
          <w:tcPr>
            <w:tcW w:type="dxa" w:w="1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Account key</w:t>
            </w:r>
          </w:p>
        </w:tc>
        <w:tc>
          <w:tcPr>
            <w:tcW w:type="dxa" w:w="2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GL account</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01 Domestic</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01 Construction material</w:t>
            </w:r>
          </w:p>
        </w:tc>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ERL</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400000 Contract Revenue</w:t>
            </w:r>
          </w:p>
        </w:tc>
      </w:tr>
      <w:tr>
        <w:trPr>
          <w:cantSplit/>
        </w:trPr>
        <w:tc>
          <w:tcPr>
            <w:tcW w:type="dxa" w:w="1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1000</w:t>
            </w:r>
          </w:p>
        </w:tc>
        <w:tc>
          <w:tcPr>
            <w:tcW w:type="dxa" w:w="1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02 Export</w:t>
            </w:r>
          </w:p>
        </w:tc>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01 Construction material</w:t>
            </w:r>
          </w:p>
        </w:tc>
        <w:tc>
          <w:tcPr>
            <w:tcW w:type="dxa" w:w="1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ERL</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400100 Export Revenue</w:t>
            </w:r>
          </w:p>
        </w:tc>
      </w:tr>
      <w:tr>
        <w:trPr>
          <w:cantSplit/>
        </w:trPr>
        <w:tc>
          <w:tcPr>
            <w:tcW w:type="dxa" w:w="1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1000</w:t>
            </w:r>
          </w:p>
        </w:tc>
        <w:tc>
          <w:tcPr>
            <w:tcW w:type="dxa" w:w="1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All</w:t>
            </w:r>
          </w:p>
        </w:tc>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All</w:t>
            </w:r>
          </w:p>
        </w:tc>
        <w:tc>
          <w:tcPr>
            <w:tcW w:type="dxa" w:w="1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ERS</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410000 Sales Discounts and Returns</w:t>
            </w:r>
          </w:p>
        </w:tc>
      </w:tr>
    </w:tbl>
    <w:p>
      <w:pPr>
        <w:spacing w:after="120"/>
      </w:pPr>
    </w:p>
    <w:p>
      <w:pPr>
        <w:pStyle w:val="Heading2"/>
      </w:pPr>
      <w:r>
        <w:t xml:space="preserve">13.3 HR to FI and other modules</w:t>
      </w:r>
    </w:p>
    <w:p>
      <w:pPr>
        <w:spacing w:after="140" w:before="0" w:line="288"/>
      </w:pPr>
      <w:r>
        <w:t xml:space="preserve"/>
      </w:r>
      <w:r>
        <w:rPr>
          <w:b/>
          <w:bCs/>
        </w:rPr>
        <w:t xml:space="preserve">Payroll:</w:t>
      </w:r>
      <w:r>
        <w:t xml:space="preserve"> the HR payroll run creates a posting summary. The mapping of wage types to GL accounts is done through </w:t>
      </w:r>
      <w:r>
        <w:rPr>
          <w:b/>
          <w:bCs/>
        </w:rPr>
        <w:t xml:space="preserve">symbolic accounts</w:t>
      </w:r>
      <w:r>
        <w:t xml:space="preserve">. Gross salary goes to salary expense with the right cost centre, PF/ESI and professional tax go to payable accounts, and TDS on salary goes to its own payable account.</w:t>
      </w:r>
    </w:p>
    <w:p>
      <w:pPr>
        <w:spacing w:after="140" w:before="0" w:line="288"/>
      </w:pPr>
      <w:r>
        <w:t xml:space="preserve"/>
      </w:r>
      <w:r>
        <w:rPr>
          <w:b/>
          <w:bCs/>
        </w:rPr>
        <w:t xml:space="preserve">Production (PP):</w:t>
      </w:r>
      <w:r>
        <w:t xml:space="preserve"> the production order collects material, labour and machine costs. Settlement rules and variance categories send the result to finished goods inventory and variance accounts. </w:t>
      </w:r>
      <w:r>
        <w:rPr>
          <w:b/>
          <w:bCs/>
        </w:rPr>
        <w:t xml:space="preserve">Project System (PS):</w:t>
      </w:r>
      <w:r>
        <w:t xml:space="preserve"> WBS elements collect project costs; settlement rules post to work-in-progress or to asset under construction. For a construction company such as our case company, the PS and FI link is the heart of project profitability.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Analyst note: the integration test matrix</w:t>
            </w:r>
          </w:p>
          <w:p>
            <w:pPr>
              <w:spacing w:after="60" w:line="270"/>
            </w:pPr>
            <w:r>
              <w:rPr>
                <w:sz w:val="20"/>
                <w:szCs w:val="20"/>
              </w:rPr>
              <w:t xml:space="preserve">For each module integration, test at least one example of every movement type, billing type and tax code the business will use. A practical approach is a matrix where rows are business events (GR for PO, GR for free-of-charge, scrap, return to vendor, inter-state sale, export sale, credit note) and columns record the expected GL accounts, the actual accounts posted and a pass or fail result. This matrix becomes the proof of testing for the auditors.</w:t>
            </w:r>
          </w:p>
        </w:tc>
      </w:tr>
    </w:tbl>
    <w:p>
      <w:pPr>
        <w:spacing w:after="120"/>
      </w:pPr>
    </w:p>
    <w:p>
      <w:pPr>
        <w:pStyle w:val="Heading1"/>
      </w:pPr>
      <w:r>
        <w:t xml:space="preserve">14. Configuration in S/4HANA: What Changes and Why</w:t>
      </w:r>
    </w:p>
    <w:p>
      <w:pPr>
        <w:spacing w:after="140" w:before="0" w:line="288"/>
      </w:pPr>
      <w:r>
        <w:t xml:space="preserve">Most new SAP FICO projects run on S/4HANA. For a configuration specialist the question is not only "what is new?" but "</w:t>
      </w:r>
      <w:r>
        <w:rPr>
          <w:b/>
          <w:bCs/>
        </w:rPr>
        <w:t xml:space="preserve">what do I now configure differently, and what risk does that create?</w:t>
      </w:r>
      <w:r>
        <w:t xml:space="preserve">" The table analyses the main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00"/>
        <w:gridCol w:w="2326"/>
      </w:tblGrid>
      <w:tr>
        <w:trPr>
          <w:cantSplit/>
          <w:tblHeader/>
        </w:trPr>
        <w:tc>
          <w:tcPr>
            <w:tcW w:type="dxa" w:w="19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Area</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ECC approach</w:t>
            </w:r>
          </w:p>
        </w:tc>
        <w:tc>
          <w:tcPr>
            <w:tcW w:type="dxa" w:w="2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S/4HANA approach</w:t>
            </w:r>
          </w:p>
        </w:tc>
        <w:tc>
          <w:tcPr>
            <w:tcW w:type="dxa" w:w="23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Configuration impact</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Accounting data model</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Separate tables for GL, CO, assets, profitability; reconciliation required</w:t>
            </w:r>
          </w:p>
        </w:tc>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Universal Journal (ACDOCA) holds one line item for all views</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No FI-CO reconciliation configuration; ledgers and currency types are set in ledger configuration</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Cost elements</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Separate master data (KA01)</w:t>
            </w:r>
          </w:p>
        </w:tc>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Part of the GL account (FS00), with account type for primary or secondary costs</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Create cost elements as GL accounts; cost element groups still used for reporting</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Customers and vendors</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Separate master data and number ranges</w:t>
            </w:r>
          </w:p>
        </w:tc>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Business Partner is mandatory; customer and vendor roles</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Configure BP groupings, number ranges and customer-vendor integration (CVI) mapping</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Asset Accounting</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Classic asset accounting with its own tables</w:t>
            </w:r>
          </w:p>
        </w:tc>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New Asset Accounting posts through the Universal Journal; depreciation areas map to ledgers</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Review depreciation area and ledger assignments; parallel valuation through ledgers</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Material valuation</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Material Ledger optional</w:t>
            </w:r>
          </w:p>
        </w:tc>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Material Ledger mandatory</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Activate and configure currency types for valuation, and test costing impact</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CO-PA</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Costing-based default</w:t>
            </w:r>
          </w:p>
        </w:tc>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Account-based (margin analysis) default</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Decide value fields only if costing-based analysis is also needed</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Totals and index tables</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GLT0, BSIS, BSID, etc. as physical tables</w:t>
            </w:r>
          </w:p>
        </w:tc>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Replaced by compatibility views reading the Universal Journal</w:t>
            </w:r>
          </w:p>
        </w:tc>
        <w:tc>
          <w:tcPr>
            <w:tcW w:type="dxa" w:w="23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Custom reports using the old tables may need rework</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User interface</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SAP GUI T-codes</w:t>
            </w:r>
          </w:p>
        </w:tc>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Fiori apps for many tasks; SAP GUI still available</w:t>
            </w:r>
          </w:p>
        </w:tc>
        <w:tc>
          <w:tcPr>
            <w:tcW w:type="dxa" w:w="23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Role design (catalogues and groups) becomes part of finance configuration</w:t>
            </w:r>
          </w:p>
        </w:tc>
      </w:tr>
    </w:tbl>
    <w:p>
      <w:pPr>
        <w:spacing w:after="120"/>
      </w:pPr>
    </w:p>
    <w:p>
      <w:pPr>
        <w:pStyle w:val="Heading2"/>
      </w:pPr>
      <w:r>
        <w:t xml:space="preserve">14.1 Analysis: why the Universal Journal matters to configuration</w:t>
      </w:r>
    </w:p>
    <w:p>
      <w:pPr>
        <w:spacing w:after="140" w:before="0" w:line="288"/>
      </w:pPr>
      <w:r>
        <w:t xml:space="preserve">In ECC, a vendor invoice for site electricity of ₹50,000 created a document in FI and a separate CO document for the cost centre. At month-end, the controller ran a reconciliation (transaction KALC) to prove that FI and CO totals agreed. Differences came from timing, settings or manual corrections. In S/4HANA the account </w:t>
      </w:r>
      <w:r>
        <w:rPr>
          <w:b/>
          <w:bCs/>
        </w:rPr>
        <w:t xml:space="preserve">and</w:t>
      </w:r>
      <w:r>
        <w:t xml:space="preserve"> the cost centre sit on the same line item of the same document, so the reconciliation step disappears. The configuration lesson is that </w:t>
      </w:r>
      <w:r>
        <w:rPr>
          <w:b/>
          <w:bCs/>
        </w:rPr>
        <w:t xml:space="preserve">the quality of the cost object assignment is decided at posting time</w:t>
      </w:r>
      <w:r>
        <w:t xml:space="preserve">: the field status of the GL account (cost centre required or not) now directly determines the quality of both the legal and the management view. Weak field status settings leave expenses with no cost centre, and those expenses are hard to allocate afterwards.</w:t>
      </w:r>
    </w:p>
    <w:p>
      <w:pPr>
        <w:pStyle w:val="Heading2"/>
      </w:pPr>
      <w:r>
        <w:t xml:space="preserve">14.2 Analysis: migration approaches and their configuration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126"/>
      </w:tblGrid>
      <w:tr>
        <w:trPr>
          <w:cantSplit/>
          <w:tblHeader/>
        </w:trPr>
        <w:tc>
          <w:tcPr>
            <w:tcW w:type="dxa" w:w="19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Approach</w:t>
            </w:r>
          </w:p>
        </w:tc>
        <w:tc>
          <w:tcPr>
            <w:tcW w:type="dxa" w:w="2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What it means</w:t>
            </w:r>
          </w:p>
        </w:tc>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Configuration effort</w:t>
            </w:r>
          </w:p>
        </w:tc>
        <w:tc>
          <w:tcPr>
            <w:tcW w:type="dxa" w:w="21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Best suited for</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Greenfield (new implementation)</w:t>
            </w:r>
          </w:p>
        </w:tc>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Build a new system and migrate selected data</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High: redesign chart of accounts and processes</w:t>
            </w:r>
          </w:p>
        </w:tc>
        <w:tc>
          <w:tcPr>
            <w:tcW w:type="dxa" w:w="21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Companies with messy legacy design or major changes in business model</w:t>
            </w:r>
          </w:p>
        </w:tc>
      </w:tr>
      <w:tr>
        <w:trPr>
          <w:cantSplit/>
        </w:trPr>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Brownfield (system conversion)</w:t>
            </w:r>
          </w:p>
        </w:tc>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Convert the existing ECC system in place</w:t>
            </w:r>
          </w:p>
        </w:tc>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Medium: mostly adapt existing settings to S/4HANA simplifications</w:t>
            </w:r>
          </w:p>
        </w:tc>
        <w:tc>
          <w:tcPr>
            <w:tcW w:type="dxa" w:w="21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Companies happy with current processes who want speed and history</w:t>
            </w:r>
          </w:p>
        </w:tc>
      </w:tr>
      <w:tr>
        <w:trPr>
          <w:cantSplit/>
        </w:trPr>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Selective data transition</w:t>
            </w:r>
          </w:p>
        </w:tc>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Migrate selected company codes or history to a new system</w:t>
            </w:r>
          </w:p>
        </w:tc>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Medium to high: depends on scope</w:t>
            </w:r>
          </w:p>
        </w:tc>
        <w:tc>
          <w:tcPr>
            <w:tcW w:type="dxa" w:w="21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Groups with several entities migrating in phases</w:t>
            </w:r>
          </w:p>
        </w:tc>
      </w:tr>
    </w:tbl>
    <w:p>
      <w:pPr>
        <w:spacing w:after="120"/>
      </w:pPr>
    </w:p>
    <w:p>
      <w:pPr>
        <w:pStyle w:val="Heading2"/>
      </w:pPr>
      <w:r>
        <w:t xml:space="preserve">14.3 Typical S/4HANA configuration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cantSplit/>
          <w:tblHeader/>
        </w:trPr>
        <w:tc>
          <w:tcPr>
            <w:tcW w:type="dxa" w:w="25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Challenge</w:t>
            </w:r>
          </w:p>
        </w:tc>
        <w:tc>
          <w:tcPr>
            <w:tcW w:type="dxa" w:w="3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Real-world example</w:t>
            </w:r>
          </w:p>
        </w:tc>
        <w:tc>
          <w:tcPr>
            <w:tcW w:type="dxa" w:w="29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How to reduce risk</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Business Partner conversion</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 vendor with three GSTINs and two bank accounts exists as three separate vendor records</w:t>
            </w:r>
          </w:p>
        </w:tc>
        <w:tc>
          <w:tcPr>
            <w:tcW w:type="dxa" w:w="29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Cleanse and merge duplicates before conversion; map roles correctly</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Custom code that reads old tables</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 Z-report built for bank reconciliation reads BSIS and gives wrong totals</w:t>
            </w:r>
          </w:p>
        </w:tc>
        <w:tc>
          <w:tcPr>
            <w:tcW w:type="dxa" w:w="29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Run the S/4HANA custom code check, rewrite using standard views</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Differences between ledgers</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Ind AS and tax depreciation do not match expectations after migration</w:t>
            </w:r>
          </w:p>
        </w:tc>
        <w:tc>
          <w:tcPr>
            <w:tcW w:type="dxa" w:w="29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Reconcile depreciation by area before and after, sign-off per asset class</w:t>
            </w:r>
          </w:p>
        </w:tc>
      </w:tr>
      <w:tr>
        <w:trPr>
          <w:cantSplit/>
        </w:trPr>
        <w:tc>
          <w:tcPr>
            <w:tcW w:type="dxa" w:w="25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Change in user experience</w:t>
            </w:r>
          </w:p>
        </w:tc>
        <w:tc>
          <w:tcPr>
            <w:tcW w:type="dxa" w:w="3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Accountants used to FB60 are unsure of the Fiori app for supplier invoices</w:t>
            </w:r>
          </w:p>
        </w:tc>
        <w:tc>
          <w:tcPr>
            <w:tcW w:type="dxa" w:w="29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Role-based training and a short list of equivalent T-codes for the transition</w:t>
            </w:r>
          </w:p>
        </w:tc>
      </w:tr>
      <w:tr>
        <w:trPr>
          <w:cantSplit/>
        </w:trPr>
        <w:tc>
          <w:tcPr>
            <w:tcW w:type="dxa" w:w="25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Cloud and on-premise differences</w:t>
            </w:r>
          </w:p>
        </w:tc>
        <w:tc>
          <w:tcPr>
            <w:tcW w:type="dxa" w:w="3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In public cloud editions, some IMG activities are limited and are done in guided configuration apps</w:t>
            </w:r>
          </w:p>
        </w:tc>
        <w:tc>
          <w:tcPr>
            <w:tcW w:type="dxa" w:w="29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Confirm the deployment model early and design within the "clean core" principle</w:t>
            </w:r>
          </w:p>
        </w:tc>
      </w:tr>
    </w:tbl>
    <w:p>
      <w:pPr>
        <w:spacing w:after="120"/>
      </w:pPr>
    </w:p>
    <w:p>
      <w:pPr>
        <w:pStyle w:val="Heading1"/>
      </w:pPr>
      <w:r>
        <w:t xml:space="preserve">15. Testing, Data Migration and Go-Live</w:t>
      </w:r>
    </w:p>
    <w:p>
      <w:pPr>
        <w:pStyle w:val="Heading2"/>
      </w:pPr>
      <w:r>
        <w:t xml:space="preserve">15.1 Levels of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Test level</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Purpose</w:t>
            </w:r>
          </w:p>
        </w:tc>
        <w:tc>
          <w:tcPr>
            <w:tcW w:type="dxa" w:w="34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Who does it</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Unit test</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Check each configuration item alone, for example one tax code or one GL account</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Functional consultant</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Integration test</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Check end-to-end flows across modules, for example PO to payment</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Consultants from MM, SD, FI and CO together</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User acceptance test (UAT)</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Business users verify that the system suits their daily work</w:t>
            </w:r>
          </w:p>
        </w:tc>
        <w:tc>
          <w:tcPr>
            <w:tcW w:type="dxa" w:w="34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Key users from finance</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Regression test</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Check that new changes did not break earlier processes</w:t>
            </w:r>
          </w:p>
        </w:tc>
        <w:tc>
          <w:tcPr>
            <w:tcW w:type="dxa" w:w="34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Test team</w:t>
            </w:r>
          </w:p>
        </w:tc>
      </w:tr>
    </w:tbl>
    <w:p>
      <w:pPr>
        <w:spacing w:after="120"/>
      </w:pPr>
    </w:p>
    <w:p>
      <w:pPr>
        <w:pStyle w:val="Heading2"/>
      </w:pPr>
      <w:r>
        <w:t xml:space="preserve">15.2 Sample FI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226"/>
        <w:gridCol w:w="2100"/>
      </w:tblGrid>
      <w:tr>
        <w:trPr>
          <w:cantSplit/>
          <w:tblHeader/>
        </w:trPr>
        <w:tc>
          <w:tcPr>
            <w:tcW w:type="dxa" w:w="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No.</w:t>
            </w:r>
          </w:p>
        </w:tc>
        <w:tc>
          <w:tcPr>
            <w:tcW w:type="dxa" w:w="31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Test scenario</w:t>
            </w:r>
          </w:p>
        </w:tc>
        <w:tc>
          <w:tcPr>
            <w:tcW w:type="dxa" w:w="32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Expected accounting result</w:t>
            </w:r>
          </w:p>
        </w:tc>
        <w:tc>
          <w:tcPr>
            <w:tcW w:type="dxa" w:w="21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Status</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w:t>
            </w:r>
          </w:p>
        </w:tc>
        <w:tc>
          <w:tcPr>
            <w:tcW w:type="dxa" w:w="3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Vendor invoice ₹1,00,000 with 18% GST (intra-state)</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Dr Expense 1,00,000; Dr Input CGST 9,000; Dr Input SGST 9,000; Cr Vendor 1,18,000</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w:t>
            </w:r>
          </w:p>
        </w:tc>
        <w:tc>
          <w:tcPr>
            <w:tcW w:type="dxa" w:w="3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Same invoice with TDS at 2%</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Cr Vendor 1,16,000; Cr TDS Payable 2,000</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w:t>
            </w:r>
          </w:p>
        </w:tc>
        <w:tc>
          <w:tcPr>
            <w:tcW w:type="dxa" w:w="3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Customer invoice ₹2,00,000 with 18% IGST</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Dr Customer 2,36,000; Cr Revenue 2,00,000; Cr Output IGST 36,000</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w:t>
            </w:r>
          </w:p>
        </w:tc>
        <w:tc>
          <w:tcPr>
            <w:tcW w:type="dxa" w:w="3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Posting to a closed period</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System error: period not open (OB52 control works)</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5</w:t>
            </w:r>
          </w:p>
        </w:tc>
        <w:tc>
          <w:tcPr>
            <w:tcW w:type="dxa" w:w="3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Expense posting without cost centre</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System error: cost centre required (field status works)</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6</w:t>
            </w:r>
          </w:p>
        </w:tc>
        <w:tc>
          <w:tcPr>
            <w:tcW w:type="dxa" w:w="3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Payment run with two invoices</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Vendor items cleared; payment document type KZ; bank clearing account credited</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7</w:t>
            </w:r>
          </w:p>
        </w:tc>
        <w:tc>
          <w:tcPr>
            <w:tcW w:type="dxa" w:w="3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Depreciation run for one asset per class</w:t>
            </w:r>
          </w:p>
        </w:tc>
        <w:tc>
          <w:tcPr>
            <w:tcW w:type="dxa" w:w="3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Depreciation posted to correct expense accounts with cost centre</w:t>
            </w:r>
          </w:p>
        </w:tc>
        <w:tc>
          <w:tcPr>
            <w:tcW w:type="dxa" w:w="21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8</w:t>
            </w:r>
          </w:p>
        </w:tc>
        <w:tc>
          <w:tcPr>
            <w:tcW w:type="dxa" w:w="3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Goods receipt and invoice receipt for a raw material</w:t>
            </w:r>
          </w:p>
        </w:tc>
        <w:tc>
          <w:tcPr>
            <w:tcW w:type="dxa" w:w="3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GR/IR clears; inventory and tax accounts are correct</w:t>
            </w:r>
          </w:p>
        </w:tc>
        <w:tc>
          <w:tcPr>
            <w:tcW w:type="dxa" w:w="21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Pass or fail</w:t>
            </w:r>
          </w:p>
        </w:tc>
      </w:tr>
    </w:tbl>
    <w:p>
      <w:pPr>
        <w:spacing w:after="120"/>
      </w:pPr>
    </w:p>
    <w:p>
      <w:pPr>
        <w:pStyle w:val="Heading2"/>
      </w:pPr>
      <w:r>
        <w:t xml:space="preserve">15.3 Data migration and opening balances</w:t>
      </w:r>
    </w:p>
    <w:p>
      <w:pPr>
        <w:spacing w:after="140" w:before="0" w:line="288"/>
      </w:pPr>
      <w:r>
        <w:t xml:space="preserve">Before go-live, legacy data from Tally or another ERP must be loaded. The common approach is to freeze the books at a cut-off date and load balances as at that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Data</w:t>
            </w:r>
          </w:p>
        </w:tc>
        <w:tc>
          <w:tcPr>
            <w:tcW w:type="dxa" w:w="67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Approach</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GL balances</w:t>
            </w:r>
          </w:p>
        </w:tc>
        <w:tc>
          <w:tcPr>
            <w:tcW w:type="dxa" w:w="6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Load trial balance as at cut-off date, normally through a migration tool or a balance carry-forward document; check that debits equal credits and that the load matches the audited trial balance</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Vendor and customer open items</w:t>
            </w:r>
          </w:p>
        </w:tc>
        <w:tc>
          <w:tcPr>
            <w:tcW w:type="dxa" w:w="6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Load every open invoice with original dates, so that ageing and payment terms remain correct; offset in a migration clearing account that must end with zero balance</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Fixed assets</w:t>
            </w:r>
          </w:p>
        </w:tc>
        <w:tc>
          <w:tcPr>
            <w:tcW w:type="dxa" w:w="6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Load asset master with original cost, accumulated depreciation and depreciation start dates (legacy asset data transfer, T-code ABLDT, or migration cockpit)</w:t>
            </w:r>
          </w:p>
        </w:tc>
      </w:tr>
      <w:tr>
        <w:trPr>
          <w:cantSplit/>
        </w:trPr>
        <w:tc>
          <w:tcPr>
            <w:tcW w:type="dxa" w:w="2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Master data</w:t>
            </w:r>
          </w:p>
        </w:tc>
        <w:tc>
          <w:tcPr>
            <w:tcW w:type="dxa" w:w="67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Cleanse first: remove duplicates, validate GSTIN and PAN, fix bank details</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Tools</w:t>
            </w:r>
          </w:p>
        </w:tc>
        <w:tc>
          <w:tcPr>
            <w:tcW w:type="dxa" w:w="67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S/4HANA Migration Cockpit (Migrate Your Data app); older projects used LSMW</w:t>
            </w:r>
          </w:p>
        </w:tc>
      </w:tr>
    </w:tbl>
    <w:p>
      <w:pPr>
        <w:spacing w:after="120"/>
      </w:pPr>
    </w:p>
    <w:p>
      <w:pPr>
        <w:pStyle w:val="Heading2"/>
      </w:pPr>
      <w:r>
        <w:t xml:space="preserve">15.4 Go-live checklist</w:t>
      </w:r>
    </w:p>
    <w:p>
      <w:pPr>
        <w:pStyle w:val="ListParagraph"/>
        <w:numPr>
          <w:ilvl w:val="0"/>
          <w:numId w:val="2"/>
        </w:numPr>
        <w:spacing w:after="80" w:line="276"/>
      </w:pPr>
      <w:r>
        <w:t xml:space="preserve">All configuration transports imported to production in the agreed sequence.</w:t>
      </w:r>
    </w:p>
    <w:p>
      <w:pPr>
        <w:pStyle w:val="ListParagraph"/>
        <w:numPr>
          <w:ilvl w:val="0"/>
          <w:numId w:val="2"/>
        </w:numPr>
        <w:spacing w:after="80" w:line="276"/>
      </w:pPr>
      <w:r>
        <w:t xml:space="preserve">Posting periods opened for the first live month; old periods closed.</w:t>
      </w:r>
    </w:p>
    <w:p>
      <w:pPr>
        <w:pStyle w:val="ListParagraph"/>
        <w:numPr>
          <w:ilvl w:val="0"/>
          <w:numId w:val="2"/>
        </w:numPr>
        <w:spacing w:after="80" w:line="276"/>
      </w:pPr>
      <w:r>
        <w:t xml:space="preserve">Opening balances loaded and reconciled to the audited closing balance sheet.</w:t>
      </w:r>
    </w:p>
    <w:p>
      <w:pPr>
        <w:pStyle w:val="ListParagraph"/>
        <w:numPr>
          <w:ilvl w:val="0"/>
          <w:numId w:val="2"/>
        </w:numPr>
        <w:spacing w:after="80" w:line="276"/>
      </w:pPr>
      <w:r>
        <w:t xml:space="preserve">User roles and authorisations tested, including segregation of duties.</w:t>
      </w:r>
    </w:p>
    <w:p>
      <w:pPr>
        <w:pStyle w:val="ListParagraph"/>
        <w:numPr>
          <w:ilvl w:val="0"/>
          <w:numId w:val="2"/>
        </w:numPr>
        <w:spacing w:after="80" w:line="276"/>
      </w:pPr>
      <w:r>
        <w:t xml:space="preserve">Number ranges checked for the new fiscal year; backup of key settings saved.</w:t>
      </w:r>
    </w:p>
    <w:p>
      <w:pPr>
        <w:pStyle w:val="ListParagraph"/>
        <w:numPr>
          <w:ilvl w:val="0"/>
          <w:numId w:val="2"/>
        </w:numPr>
        <w:spacing w:after="80" w:line="276"/>
      </w:pPr>
      <w:r>
        <w:t xml:space="preserve">Support team and hypercare plan ready for the first month-end close.</w:t>
      </w:r>
    </w:p>
    <w:p>
      <w:pPr>
        <w:pStyle w:val="Heading1"/>
      </w:pPr>
      <w:r>
        <w:t xml:space="preserve">16. Case Studies and Real-World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A6ED1" w:sz="28"/>
              <w:bottom w:val="none" w:color="FFFFFF" w:sz="0"/>
              <w:right w:val="none" w:color="FFFFFF" w:sz="0"/>
            </w:tcBorders>
            <w:shd w:fill="EAF2FB" w:color="auto" w:val="clear"/>
            <w:tcMar>
              <w:top w:type="dxa" w:w="110"/>
              <w:left w:type="dxa" w:w="200"/>
              <w:bottom w:type="dxa" w:w="90"/>
              <w:right w:type="dxa" w:w="160"/>
            </w:tcMar>
          </w:tcPr>
          <w:p>
            <w:pPr>
              <w:spacing w:after="60"/>
            </w:pPr>
            <w:r>
              <w:rPr>
                <w:b/>
                <w:bCs/>
                <w:color w:val="0A6ED1"/>
                <w:sz w:val="21"/>
                <w:szCs w:val="21"/>
              </w:rPr>
              <w:t xml:space="preserve">How to read these cases</w:t>
            </w:r>
          </w:p>
          <w:p>
            <w:pPr>
              <w:spacing w:after="60" w:line="270"/>
            </w:pPr>
            <w:r>
              <w:rPr>
                <w:sz w:val="20"/>
                <w:szCs w:val="20"/>
              </w:rPr>
              <w:t xml:space="preserve">These are illustrative cases based on common situations in SAP FICO implementations in India. They are not records of a particular company. The figures are examples chosen to show the scale of the effect. Each case follows the same pattern: situation, decision or error, analysis, and lessons.</w:t>
            </w:r>
          </w:p>
        </w:tc>
      </w:tr>
    </w:tbl>
    <w:p>
      <w:pPr>
        <w:spacing w:after="120"/>
      </w:pPr>
    </w:p>
    <w:p>
      <w:pPr>
        <w:pStyle w:val="Heading2"/>
      </w:pPr>
      <w:r>
        <w:t xml:space="preserve">Case Study 1: One company code or three? (GST registrations in several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Aspect</w:t>
            </w:r>
          </w:p>
        </w:tc>
        <w:tc>
          <w:tcPr>
            <w:tcW w:type="dxa" w:w="7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Details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Situation</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Utkal Infra Projects Ltd has the same PAN but separate GST registrations in Odisha, Bihar and Jharkhand because it runs project sites in all three states. The project team debates: one company code per state, or one company code with several business places.</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Options</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
            </w:r>
            <w:r>
              <w:rPr>
                <w:b/>
                <w:bCs/>
                <w:sz w:val="19"/>
                <w:szCs w:val="19"/>
              </w:rPr>
              <w:t xml:space="preserve">Option A:</w:t>
            </w:r>
            <w:r>
              <w:rPr>
                <w:b w:val="false"/>
                <w:bCs w:val="false"/>
                <w:sz w:val="19"/>
                <w:szCs w:val="19"/>
              </w:rPr>
              <w:t xml:space="preserve"> three company codes, one per state. </w:t>
            </w:r>
            <w:r>
              <w:rPr>
                <w:b/>
                <w:bCs/>
                <w:sz w:val="19"/>
                <w:szCs w:val="19"/>
              </w:rPr>
              <w:t xml:space="preserve">Option B:</w:t>
            </w:r>
            <w:r>
              <w:rPr>
                <w:b w:val="false"/>
                <w:bCs w:val="false"/>
                <w:sz w:val="19"/>
                <w:szCs w:val="19"/>
              </w:rPr>
              <w:t xml:space="preserve"> one company code (1000) with three business places (OD01, BR01, JH01), each tied to a GSTIN.</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Analysis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With Option A, the three sets of books must be consolidated to get the single audited Balance Sheet required for the legal entity. Stock and fund transfers between states would be recorded as intercompany transactions that must be matched and eliminated every month. With Option B there is one set of books, one Balance Sheet and one set of ledgers, while GST returns are still prepared per GSTIN using the business place and section code on each document. Cost centres and profit centres give the state-wise profitability that management wants.</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Decision</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Option B: one company code and three business places.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Lessons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Design company codes around </w:t>
            </w:r>
            <w:r>
              <w:rPr>
                <w:b/>
                <w:bCs/>
                <w:sz w:val="19"/>
                <w:szCs w:val="19"/>
              </w:rPr>
              <w:t xml:space="preserve">legal entities and statutory books</w:t>
            </w:r>
            <w:r>
              <w:rPr>
                <w:b w:val="false"/>
                <w:bCs w:val="false"/>
                <w:sz w:val="19"/>
                <w:szCs w:val="19"/>
              </w:rPr>
              <w:t xml:space="preserve">, not around geography. Use business places for state-wise GST, and cost centres or profit centres for state-wise management reporting. Separate company codes are justified only when there are separate legal entities, different currencies, or different fiscal year or chart of accounts needs.</w:t>
            </w:r>
          </w:p>
        </w:tc>
      </w:tr>
    </w:tbl>
    <w:p>
      <w:pPr>
        <w:spacing w:after="120"/>
      </w:pPr>
    </w:p>
    <w:p>
      <w:pPr>
        <w:pStyle w:val="Heading2"/>
      </w:pPr>
      <w:r>
        <w:t xml:space="preserve">Case Study 2: Inventory shown as a negative balance (wrong BSX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Aspect</w:t>
            </w:r>
          </w:p>
        </w:tc>
        <w:tc>
          <w:tcPr>
            <w:tcW w:type="dxa" w:w="7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Details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Situation</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 trading division of the company started using a new valuation class 3100 (trading goods). In the first quarter, goods worth ₹40,00,000 were received into the warehouse and ₹28,00,000 worth were sold. At quarter-end, the finance team noticed that the inventory GL account 130000 had a </w:t>
            </w:r>
            <w:r>
              <w:rPr>
                <w:b/>
                <w:bCs/>
                <w:sz w:val="19"/>
                <w:szCs w:val="19"/>
              </w:rPr>
              <w:t xml:space="preserve">credit balance</w:t>
            </w:r>
            <w:r>
              <w:rPr>
                <w:b w:val="false"/>
                <w:bCs w:val="false"/>
                <w:sz w:val="19"/>
                <w:szCs w:val="19"/>
              </w:rPr>
              <w:t xml:space="preserve"> of ₹28,00,000 while the warehouse held stock worth ₹12,00,000.</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What went wrong</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 </w:t>
            </w:r>
            <w:r>
              <w:rPr>
                <w:b/>
                <w:bCs/>
                <w:sz w:val="19"/>
                <w:szCs w:val="19"/>
              </w:rPr>
              <w:t xml:space="preserve">OBYC</w:t>
            </w:r>
            <w:r>
              <w:rPr>
                <w:b w:val="false"/>
                <w:bCs w:val="false"/>
                <w:sz w:val="19"/>
                <w:szCs w:val="19"/>
              </w:rPr>
              <w:t xml:space="preserve">, the BSX entry for valuation class 3100 had been mapped by mistake to the purchase expense account 510000 instead of the inventory account. Every goods receipt debited </w:t>
            </w:r>
            <w:r>
              <w:rPr>
                <w:b/>
                <w:bCs/>
                <w:sz w:val="19"/>
                <w:szCs w:val="19"/>
              </w:rPr>
              <w:t xml:space="preserve">expense</w:t>
            </w:r>
            <w:r>
              <w:rPr>
                <w:b w:val="false"/>
                <w:bCs w:val="false"/>
                <w:sz w:val="19"/>
                <w:szCs w:val="19"/>
              </w:rPr>
              <w:t xml:space="preserve"> instead of inventory. Every goods issue (sale) still credited </w:t>
            </w:r>
            <w:r>
              <w:rPr>
                <w:b/>
                <w:bCs/>
                <w:sz w:val="19"/>
                <w:szCs w:val="19"/>
              </w:rPr>
              <w:t xml:space="preserve">inventory</w:t>
            </w:r>
            <w:r>
              <w:rPr>
                <w:b w:val="false"/>
                <w:bCs w:val="false"/>
                <w:sz w:val="19"/>
                <w:szCs w:val="19"/>
              </w:rPr>
              <w:t xml:space="preserve">, so inventory went negative.</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Effect on accounts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Expenses were overstated by ₹40,00,000 and profit understated. Inventory was understated by ₹40,00,000 less the ₹28,00,000 credited at sales, giving the negative ₹28,00,000 balance. COGS was correct, but the Balance Sheet and the P&amp;L were both wrong.</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How it was detected</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 comparison of the stock value report (MB5B, stock on posting date) with the GL balance (FS10N) showed a difference of ₹40,00,000 for the 3100 class. Inventory accounts should never have a credit balance, which is a useful quick check.</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Resolution</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The BSX mapping was corrected in OBYC (through a transport request). A correcting journal entry moved ₹40,00,000 from expense to inventory. The company then added the check "stock value equals GL balance" to its month-end checklist.</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Lessons</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Account determination errors are </w:t>
            </w:r>
            <w:r>
              <w:rPr>
                <w:b/>
                <w:bCs/>
                <w:sz w:val="19"/>
                <w:szCs w:val="19"/>
              </w:rPr>
              <w:t xml:space="preserve">silent</w:t>
            </w:r>
            <w:r>
              <w:rPr>
                <w:b w:val="false"/>
                <w:bCs w:val="false"/>
                <w:sz w:val="19"/>
                <w:szCs w:val="19"/>
              </w:rPr>
              <w:t xml:space="preserve">: SAP does not know your intention. Test every valuation class with a goods receipt, a goods issue and an invoice receipt before go-live. Add a monthly reconciliation of the stock report with the GL.</w:t>
            </w:r>
          </w:p>
        </w:tc>
      </w:tr>
    </w:tbl>
    <w:p>
      <w:pPr>
        <w:spacing w:after="120"/>
      </w:pPr>
    </w:p>
    <w:p>
      <w:pPr>
        <w:pStyle w:val="Heading2"/>
      </w:pPr>
      <w:r>
        <w:t xml:space="preserve">Case Study 3: TDS not deducted because of a master data and configuration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Aspect</w:t>
            </w:r>
          </w:p>
        </w:tc>
        <w:tc>
          <w:tcPr>
            <w:tcW w:type="dxa" w:w="7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Details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Situation</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During a quarter, the company posted 120 contractor invoices with an average value of ₹3,00,000 each, a total of ₹3.6 crore. The vendor master records of 40 contractors had no withholding tax type assigned, so the system deducted </w:t>
            </w:r>
            <w:r>
              <w:rPr>
                <w:b/>
                <w:bCs/>
                <w:sz w:val="19"/>
                <w:szCs w:val="19"/>
              </w:rPr>
              <w:t xml:space="preserve">no TDS</w:t>
            </w:r>
            <w:r>
              <w:rPr>
                <w:b w:val="false"/>
                <w:bCs w:val="false"/>
                <w:sz w:val="19"/>
                <w:szCs w:val="19"/>
              </w:rPr>
              <w:t xml:space="preserve"> on their invoices. Total missed TDS at 2% was about ₹7.2 lakh.</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Root cause</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vendor account group allowed saving without a withholding tax assignment, and no validation checked it. The error was found only when the TDS return preparation did not match the expense ledger.</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Potential impact</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Under the Income-tax Act, 1961, late or non-deduction attracts interest (1% per month from the date of deduction becoming due until it is deducted, and 1.5% per month from deduction until deposit), and a part of the expense (30%) can be disallowed in computing taxable income. On ₹3.6 crore, a 30% disallowance means ₹1.08 crore added to taxable income. At an illustrative 25% tax rate, this is about ₹27 lakh of extra tax. Provisions are re-numbered under the Income-tax Act, 2025, so the current position must be verified.</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Resolution</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40 vendor masters were corrected, TDS was recomputed for the open invoices, and the company deducted and deposited the tax. For the future, the withholding tax type was made a </w:t>
            </w:r>
            <w:r>
              <w:rPr>
                <w:b/>
                <w:bCs/>
                <w:sz w:val="19"/>
                <w:szCs w:val="19"/>
              </w:rPr>
              <w:t xml:space="preserve">required field</w:t>
            </w:r>
            <w:r>
              <w:rPr>
                <w:b w:val="false"/>
                <w:bCs w:val="false"/>
                <w:sz w:val="19"/>
                <w:szCs w:val="19"/>
              </w:rPr>
              <w:t xml:space="preserve"> for vendor account group KRED, and a </w:t>
            </w:r>
            <w:r>
              <w:rPr>
                <w:b/>
                <w:bCs/>
                <w:sz w:val="19"/>
                <w:szCs w:val="19"/>
              </w:rPr>
              <w:t xml:space="preserve">validation</w:t>
            </w:r>
            <w:r>
              <w:rPr>
                <w:b w:val="false"/>
                <w:bCs w:val="false"/>
                <w:sz w:val="19"/>
                <w:szCs w:val="19"/>
              </w:rPr>
              <w:t xml:space="preserve"> (transaction OB28) now blocks vendor invoice posting above ₹30,000 if no withholding tax data exists on the vendor.</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Lessons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Configuration and master data work together. Good design uses </w:t>
            </w:r>
            <w:r>
              <w:rPr>
                <w:b/>
                <w:bCs/>
                <w:sz w:val="19"/>
                <w:szCs w:val="19"/>
              </w:rPr>
              <w:t xml:space="preserve">required fields, validations and monthly reconciliations</w:t>
            </w:r>
            <w:r>
              <w:rPr>
                <w:b w:val="false"/>
                <w:bCs w:val="false"/>
                <w:sz w:val="19"/>
                <w:szCs w:val="19"/>
              </w:rPr>
              <w:t xml:space="preserve"> (TDS payable against the TDS return data) so that an error is caught in days, not after a quarter.</w:t>
            </w:r>
          </w:p>
        </w:tc>
      </w:tr>
    </w:tbl>
    <w:p>
      <w:pPr>
        <w:spacing w:after="120"/>
      </w:pPr>
    </w:p>
    <w:p>
      <w:pPr>
        <w:pStyle w:val="Heading2"/>
      </w:pPr>
      <w:r>
        <w:t xml:space="preserve">Case Study 4: A brownfield S/4HANA conversion for a mid-size manufacturer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Aspect</w:t>
            </w:r>
          </w:p>
        </w:tc>
        <w:tc>
          <w:tcPr>
            <w:tcW w:type="dxa" w:w="7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Details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Situation</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 manufacturing company with a 15-year-old ECC system and about 25,000 customer and vendor records decided to convert to S/4HANA to shorten month-end and use real-time profitability reporting. It chose </w:t>
            </w:r>
            <w:r>
              <w:rPr>
                <w:b/>
                <w:bCs/>
                <w:sz w:val="19"/>
                <w:szCs w:val="19"/>
              </w:rPr>
              <w:t xml:space="preserve">brownfield</w:t>
            </w:r>
            <w:r>
              <w:rPr>
                <w:b w:val="false"/>
                <w:bCs w:val="false"/>
                <w:sz w:val="19"/>
                <w:szCs w:val="19"/>
              </w:rPr>
              <w:t xml:space="preserve"> conversion to keep its history and processes.</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Findings from the preparation phase</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simplification checks found about 4,000 possible </w:t>
            </w:r>
            <w:r>
              <w:rPr>
                <w:b/>
                <w:bCs/>
                <w:sz w:val="19"/>
                <w:szCs w:val="19"/>
              </w:rPr>
              <w:t xml:space="preserve">duplicate</w:t>
            </w:r>
            <w:r>
              <w:rPr>
                <w:b w:val="false"/>
                <w:bCs w:val="false"/>
                <w:sz w:val="19"/>
                <w:szCs w:val="19"/>
              </w:rPr>
              <w:t xml:space="preserve"> business partners (the same GSTIN or PAN under different names). Of 63 custom reports, 18 read old financial tables (BSIS, BSID and the totals tables) and would give wrong results or need changes. The company also used the classic asset accounting, which had to move to new Asset Accounting.</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Analysis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Business Partner conversion is a </w:t>
            </w:r>
            <w:r>
              <w:rPr>
                <w:b/>
                <w:bCs/>
                <w:sz w:val="19"/>
                <w:szCs w:val="19"/>
              </w:rPr>
              <w:t xml:space="preserve">data quality exercise</w:t>
            </w:r>
            <w:r>
              <w:rPr>
                <w:b w:val="false"/>
                <w:bCs w:val="false"/>
                <w:sz w:val="19"/>
                <w:szCs w:val="19"/>
              </w:rPr>
              <w:t xml:space="preserve"> more than a technical one: merging duplicates after conversion is much harder because open items and history are attached. The 18 reports were rewritten to read the Universal Journal views. Depreciation was reconciled area by area before and after conversion, and differences were explained and signed off by the finance head.</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Outcome (illustrative)</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Reconciliation between FI and CO was no longer needed. The finance team reduced manual month-end tasks, such as FI-CO reconciliation and re-run reports, and used the time to analyse margins by customer and product.</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Lessons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Start with </w:t>
            </w:r>
            <w:r>
              <w:rPr>
                <w:b/>
                <w:bCs/>
                <w:sz w:val="19"/>
                <w:szCs w:val="19"/>
              </w:rPr>
              <w:t xml:space="preserve">data cleansing and custom code checks</w:t>
            </w:r>
            <w:r>
              <w:rPr>
                <w:b w:val="false"/>
                <w:bCs w:val="false"/>
                <w:sz w:val="19"/>
                <w:szCs w:val="19"/>
              </w:rPr>
              <w:t xml:space="preserve">. Choose the migration approach by asking: is our process design still good? If not, a greenfield approach may be better, even if it is slower.</w:t>
            </w:r>
          </w:p>
        </w:tc>
      </w:tr>
    </w:tbl>
    <w:p>
      <w:pPr>
        <w:spacing w:after="120"/>
      </w:pPr>
    </w:p>
    <w:p>
      <w:pPr>
        <w:pStyle w:val="Heading2"/>
      </w:pPr>
      <w:r>
        <w:t xml:space="preserve">Case Study 5: Controlling area with a different fiscal year 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Aspect</w:t>
            </w:r>
          </w:p>
        </w:tc>
        <w:tc>
          <w:tcPr>
            <w:tcW w:type="dxa" w:w="7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Details</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Situation</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While copying a sample controlling area, the team left the sample fiscal year variant K4 (calendar year) while company code 1000 used V3 (April to March).</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Symptoms</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During integration testing in April, expense postings with cost centres failed or landed in unexpected periods. Reports showed different months for the same document in FI and CO.</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Analysis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The controlling area and its company codes must use the same fiscal year variant, because every FI posting with a cost object creates a CO line in the same period. A difference causes period mismatches. Once postings exist in the controlling area, changing the variant is difficult and risky.</w:t>
            </w:r>
          </w:p>
        </w:tc>
      </w:tr>
      <w:tr>
        <w:trPr>
          <w:cantSplit/>
        </w:trPr>
        <w:tc>
          <w:tcPr>
            <w:tcW w:type="dxa" w:w="2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Resolution</w:t>
            </w:r>
          </w:p>
        </w:tc>
        <w:tc>
          <w:tcPr>
            <w:tcW w:type="dxa" w:w="7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Because the error was found in the test system before go-live, the controlling area was recreated with variant V3, and test data was reloaded.</w:t>
            </w:r>
          </w:p>
        </w:tc>
      </w:tr>
      <w:tr>
        <w:trPr>
          <w:cantSplit/>
        </w:trPr>
        <w:tc>
          <w:tcPr>
            <w:tcW w:type="dxa" w:w="2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Lessons</w:t>
            </w:r>
          </w:p>
        </w:tc>
        <w:tc>
          <w:tcPr>
            <w:tcW w:type="dxa" w:w="7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Use a </w:t>
            </w:r>
            <w:r>
              <w:rPr>
                <w:b/>
                <w:bCs/>
                <w:sz w:val="19"/>
                <w:szCs w:val="19"/>
              </w:rPr>
              <w:t xml:space="preserve">configuration checklist</w:t>
            </w:r>
            <w:r>
              <w:rPr>
                <w:b w:val="false"/>
                <w:bCs w:val="false"/>
                <w:sz w:val="19"/>
                <w:szCs w:val="19"/>
              </w:rPr>
              <w:t xml:space="preserve"> (Section 18) that verifies cross-assignments, such as chart of accounts and fiscal year variant of company code and controlling area, </w:t>
            </w:r>
            <w:r>
              <w:rPr>
                <w:b/>
                <w:bCs/>
                <w:sz w:val="19"/>
                <w:szCs w:val="19"/>
              </w:rPr>
              <w:t xml:space="preserve">before</w:t>
            </w:r>
            <w:r>
              <w:rPr>
                <w:b w:val="false"/>
                <w:bCs w:val="false"/>
                <w:sz w:val="19"/>
                <w:szCs w:val="19"/>
              </w:rPr>
              <w:t xml:space="preserve"> any posting is done.</w:t>
            </w:r>
          </w:p>
        </w:tc>
      </w:tr>
    </w:tbl>
    <w:p>
      <w:pPr>
        <w:spacing w:after="120"/>
      </w:pPr>
    </w:p>
    <w:p>
      <w:pPr>
        <w:pStyle w:val="Heading1"/>
      </w:pPr>
      <w:r>
        <w:t xml:space="preserve">17. Common Errors and Troubleshooting</w:t>
      </w:r>
    </w:p>
    <w:p>
      <w:pPr>
        <w:spacing w:after="140" w:before="0" w:line="288"/>
      </w:pPr>
      <w:r>
        <w:t xml:space="preserve">Every SAP professional spends time reading error messages. Learning to interpret them quickly is a core skill. The table lists typical situations, the likely cause and the first place to 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Symptom</w:t>
            </w:r>
          </w:p>
        </w:tc>
        <w:tc>
          <w:tcPr>
            <w:tcW w:type="dxa" w:w="33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Likely cause</w:t>
            </w:r>
          </w:p>
        </w:tc>
        <w:tc>
          <w:tcPr>
            <w:tcW w:type="dxa" w:w="30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Where to check</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Posting not possible: period not open</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Posting period closed for the account type</w:t>
            </w:r>
          </w:p>
        </w:tc>
        <w:tc>
          <w:tcPr>
            <w:tcW w:type="dxa" w:w="3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OB52 (period intervals), posting date</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Account does not exist in the chart of accounts or company code</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GL account created at chart level but not extended to the company code</w:t>
            </w:r>
          </w:p>
        </w:tc>
        <w:tc>
          <w:tcPr>
            <w:tcW w:type="dxa" w:w="3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FS00 (company code data), OB62 (chart assignment)</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Tax code not defined or no account found for tax</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Tax code not created or tax accounts not assigned</w:t>
            </w:r>
          </w:p>
        </w:tc>
        <w:tc>
          <w:tcPr>
            <w:tcW w:type="dxa" w:w="3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FTXP, OB40</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Account determination not possible for transaction key</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Missing entry in OBYC for the valuation class</w:t>
            </w:r>
          </w:p>
        </w:tc>
        <w:tc>
          <w:tcPr>
            <w:tcW w:type="dxa" w:w="3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OBYC, OMSK, material master accounting view</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Field required but not available</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Field status group conflict between GL account and variant</w:t>
            </w:r>
          </w:p>
        </w:tc>
        <w:tc>
          <w:tcPr>
            <w:tcW w:type="dxa" w:w="3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OBC4, GL account field status group</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Payment run: no payment method found</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Payment method not set up for country, company code or vendor</w:t>
            </w:r>
          </w:p>
        </w:tc>
        <w:tc>
          <w:tcPr>
            <w:tcW w:type="dxa" w:w="3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FBZP (all five parts), vendor master payment data</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Cost centre required but not entered</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Field status group requires cost centre on this account</w:t>
            </w:r>
          </w:p>
        </w:tc>
        <w:tc>
          <w:tcPr>
            <w:tcW w:type="dxa" w:w="3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FS00 field status group, OKB9 default account assignment</w:t>
            </w:r>
          </w:p>
        </w:tc>
      </w:tr>
      <w:tr>
        <w:trPr>
          <w:cantSplit/>
        </w:trPr>
        <w:tc>
          <w:tcPr>
            <w:tcW w:type="dxa" w:w="27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Depreciation run errors</w:t>
            </w:r>
          </w:p>
        </w:tc>
        <w:tc>
          <w:tcPr>
            <w:tcW w:type="dxa" w:w="33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Missing account determination, asset not capitalised or period closed</w:t>
            </w:r>
          </w:p>
        </w:tc>
        <w:tc>
          <w:tcPr>
            <w:tcW w:type="dxa" w:w="30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AO90, AFAMA, asset master dates, OB52</w:t>
            </w:r>
          </w:p>
        </w:tc>
      </w:tr>
      <w:tr>
        <w:trPr>
          <w:cantSplit/>
        </w:trPr>
        <w:tc>
          <w:tcPr>
            <w:tcW w:type="dxa" w:w="27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Document number range exhausted or not found</w:t>
            </w:r>
          </w:p>
        </w:tc>
        <w:tc>
          <w:tcPr>
            <w:tcW w:type="dxa" w:w="33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No number range for company code and fiscal year</w:t>
            </w:r>
          </w:p>
        </w:tc>
        <w:tc>
          <w:tcPr>
            <w:tcW w:type="dxa" w:w="30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FBN1 (check the interval for the year)</w:t>
            </w:r>
          </w:p>
        </w:tc>
      </w:tr>
    </w:tbl>
    <w:p>
      <w:pPr>
        <w:spacing w:after="120"/>
      </w:pPr>
    </w:p>
    <w:p>
      <w:pPr>
        <w:pStyle w:val="Heading2"/>
      </w:pPr>
      <w:r>
        <w:t xml:space="preserve">17.1 A simple problem-solving method</w:t>
      </w:r>
    </w:p>
    <w:p>
      <w:pPr>
        <w:pStyle w:val="ListParagraph"/>
        <w:numPr>
          <w:ilvl w:val="0"/>
          <w:numId w:val="6"/>
        </w:numPr>
        <w:spacing w:after="80" w:line="276"/>
      </w:pPr>
      <w:r>
        <w:t xml:space="preserve"/>
      </w:r>
      <w:r>
        <w:rPr>
          <w:b/>
          <w:bCs/>
        </w:rPr>
        <w:t xml:space="preserve">Read</w:t>
      </w:r>
      <w:r>
        <w:t xml:space="preserve"> the message and note the message class and number (long text button).</w:t>
      </w:r>
    </w:p>
    <w:p>
      <w:pPr>
        <w:pStyle w:val="ListParagraph"/>
        <w:numPr>
          <w:ilvl w:val="0"/>
          <w:numId w:val="6"/>
        </w:numPr>
        <w:spacing w:after="80" w:line="276"/>
      </w:pPr>
      <w:r>
        <w:t xml:space="preserve"/>
      </w:r>
      <w:r>
        <w:rPr>
          <w:b/>
          <w:bCs/>
        </w:rPr>
        <w:t xml:space="preserve">Reproduce</w:t>
      </w:r>
      <w:r>
        <w:t xml:space="preserve"> the error with the same data in the quality system.</w:t>
      </w:r>
    </w:p>
    <w:p>
      <w:pPr>
        <w:pStyle w:val="ListParagraph"/>
        <w:numPr>
          <w:ilvl w:val="0"/>
          <w:numId w:val="6"/>
        </w:numPr>
        <w:spacing w:after="80" w:line="276"/>
      </w:pPr>
      <w:r>
        <w:t xml:space="preserve"/>
      </w:r>
      <w:r>
        <w:rPr>
          <w:b/>
          <w:bCs/>
        </w:rPr>
        <w:t xml:space="preserve">Locate</w:t>
      </w:r>
      <w:r>
        <w:t xml:space="preserve"> the configuration area: master data, account determination, period control or tax.</w:t>
      </w:r>
    </w:p>
    <w:p>
      <w:pPr>
        <w:pStyle w:val="ListParagraph"/>
        <w:numPr>
          <w:ilvl w:val="0"/>
          <w:numId w:val="6"/>
        </w:numPr>
        <w:spacing w:after="80" w:line="276"/>
      </w:pPr>
      <w:r>
        <w:t xml:space="preserve"/>
      </w:r>
      <w:r>
        <w:rPr>
          <w:b/>
          <w:bCs/>
        </w:rPr>
        <w:t xml:space="preserve">Check</w:t>
      </w:r>
      <w:r>
        <w:t xml:space="preserve"> the actual table entries (display tables with SE16N if allowed) and compare with the design document.</w:t>
      </w:r>
    </w:p>
    <w:p>
      <w:pPr>
        <w:pStyle w:val="ListParagraph"/>
        <w:numPr>
          <w:ilvl w:val="0"/>
          <w:numId w:val="6"/>
        </w:numPr>
        <w:spacing w:after="80" w:line="276"/>
      </w:pPr>
      <w:r>
        <w:t xml:space="preserve"/>
      </w:r>
      <w:r>
        <w:rPr>
          <w:b/>
          <w:bCs/>
        </w:rPr>
        <w:t xml:space="preserve">Fix</w:t>
      </w:r>
      <w:r>
        <w:t xml:space="preserve"> in DEV, transport, test, and write a short note of the root cause.</w:t>
      </w:r>
    </w:p>
    <w:p>
      <w:pPr>
        <w:pStyle w:val="Heading1"/>
      </w:pPr>
      <w:r>
        <w:t xml:space="preserve">18. Master Configuration Checklist</w:t>
      </w:r>
    </w:p>
    <w:p>
      <w:pPr>
        <w:spacing w:after="140" w:before="0" w:line="288"/>
      </w:pPr>
      <w:r>
        <w:t xml:space="preserve">Use this checklist as a project tracker. Each row has the output you should be able to show.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900"/>
        <w:gridCol w:w="2526"/>
        <w:gridCol w:w="1000"/>
      </w:tblGrid>
      <w:tr>
        <w:trPr>
          <w:cantSplit/>
          <w:tblHeader/>
        </w:trPr>
        <w:tc>
          <w:tcPr>
            <w:tcW w:type="dxa" w:w="6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No.</w:t>
            </w:r>
          </w:p>
        </w:tc>
        <w:tc>
          <w:tcPr>
            <w:tcW w:type="dxa" w:w="3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Configuration task</w:t>
            </w:r>
          </w:p>
        </w:tc>
        <w:tc>
          <w:tcPr>
            <w:tcW w:type="dxa" w:w="19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T-code</w:t>
            </w:r>
          </w:p>
        </w:tc>
        <w:tc>
          <w:tcPr>
            <w:tcW w:type="dxa" w:w="25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Output to verify</w:t>
            </w:r>
          </w:p>
        </w:tc>
        <w:tc>
          <w:tcPr>
            <w:tcW w:type="dxa" w:w="10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Done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Define company</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OX15</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Company 1000 exists</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Define and copy company code, global parameters</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EC01, OX02, OBY6</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Company code 1000 with INR and country IN</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3</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Assign company code to company</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OX16</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Assignment visible</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4</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Fiscal year variant and assignment</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OB29, OB37</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V3 assigned</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5</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Posting period variant and open periods</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OBBO, OBBP, OB52</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Current month open</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6</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Document types and number ranges</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OBA7, FBN1</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Intervals exist for the year</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7</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Field status variant and groups</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OBC4</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Variant 1000 assigned</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8</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Chart of accounts, assignment, retained earnings</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OB13, OB62, OB53</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YCOA assigned; OB53 maintained</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9</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Create GL accounts (including reconciliation accounts)</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FS00</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All accounts in the design list</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10</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Tax codes and tax accounts (GST)</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FTXP, OB40</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Intra-state and inter-state tested</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11</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Withholding tax (TDS) types and codes</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IMG: Extended Withholding Tax</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Test invoice deducts TDS</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12</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Vendor and customer groups, number ranges, payment terms</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OBD3, OBD2, OBB8</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Test partner can be created</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13</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House bank, payment program</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FI12, FBZP, F110</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Test run produces payment file</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14</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Dunning procedure</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FBMP, F150</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Test customer receives dunning</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15</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Asset accounting setup</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EC08, OAOB, AOAA, AO90, AFAMA</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Test asset depreciates correctly</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16</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Controlling area and assignment</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OKKP, OX19</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Same chart and fiscal year variant as company code</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17</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Cost centres, profit centres, internal orders</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OKEON, KS01, KE51, KO01</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Test postings reach CO</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18</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MM-FI account determination</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OMSK, OBYC</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GR, GI, IR test cases pass</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19</w:t>
            </w:r>
          </w:p>
        </w:tc>
        <w:tc>
          <w:tcPr>
            <w:tcW w:type="dxa" w:w="3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SD-FI account determination</w:t>
            </w:r>
          </w:p>
        </w:tc>
        <w:tc>
          <w:tcPr>
            <w:tcW w:type="dxa" w:w="19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VKOA, VOFA</w:t>
            </w:r>
          </w:p>
        </w:tc>
        <w:tc>
          <w:tcPr>
            <w:tcW w:type="dxa" w:w="25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Billing posts revenue and tax correctly</w:t>
            </w:r>
          </w:p>
        </w:tc>
        <w:tc>
          <w:tcPr>
            <w:tcW w:type="dxa" w:w="10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r>
        <w:trPr>
          <w:cantSplit/>
        </w:trPr>
        <w:tc>
          <w:tcPr>
            <w:tcW w:type="dxa" w:w="6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20</w:t>
            </w:r>
          </w:p>
        </w:tc>
        <w:tc>
          <w:tcPr>
            <w:tcW w:type="dxa" w:w="3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Migration and go-live readiness</w:t>
            </w:r>
          </w:p>
        </w:tc>
        <w:tc>
          <w:tcPr>
            <w:tcW w:type="dxa" w:w="19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Migration cockpit, ABLDT</w:t>
            </w:r>
          </w:p>
        </w:tc>
        <w:tc>
          <w:tcPr>
            <w:tcW w:type="dxa" w:w="25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Balances reconcile to audited accounts</w:t>
            </w:r>
          </w:p>
        </w:tc>
        <w:tc>
          <w:tcPr>
            <w:tcW w:type="dxa" w:w="10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w:t>
            </w:r>
          </w:p>
        </w:tc>
      </w:tr>
    </w:tbl>
    <w:p>
      <w:pPr>
        <w:spacing w:after="120"/>
      </w:pPr>
    </w:p>
    <w:p>
      <w:pPr>
        <w:pStyle w:val="Heading1"/>
      </w:pPr>
      <w:r>
        <w:t xml:space="preserve">19. Hands-On Practice Labs</w:t>
      </w:r>
    </w:p>
    <w:p>
      <w:pPr>
        <w:spacing w:after="140" w:before="0" w:line="288"/>
      </w:pPr>
      <w:r>
        <w:t xml:space="preserve">If you have access to an SAP training or sandbox system, these labs help you convert reading into skill. Menu names may differ slightly in your system. Do not run them in a live company system.</w:t>
      </w:r>
    </w:p>
    <w:p>
      <w:pPr>
        <w:pStyle w:val="Heading2"/>
      </w:pPr>
      <w:r>
        <w:t xml:space="preserve">Lab 1: Create a GL account and post a journal entry</w:t>
      </w:r>
    </w:p>
    <w:p>
      <w:pPr>
        <w:pStyle w:val="ListParagraph"/>
        <w:numPr>
          <w:ilvl w:val="0"/>
          <w:numId w:val="7"/>
        </w:numPr>
        <w:spacing w:after="80" w:line="276"/>
      </w:pPr>
      <w:r>
        <w:t xml:space="preserve">Run </w:t>
      </w:r>
      <w:r>
        <w:rPr>
          <w:b/>
          <w:bCs/>
        </w:rPr>
        <w:t xml:space="preserve">FS00</w:t>
      </w:r>
      <w:r>
        <w:t xml:space="preserve">. Enter a new GL account number, for example 520000, and company code 1000. Click </w:t>
      </w:r>
      <w:r>
        <w:rPr>
          <w:b/>
          <w:bCs/>
        </w:rPr>
        <w:t xml:space="preserve">Create</w:t>
      </w:r>
      <w:r>
        <w:t xml:space="preserve">.</w:t>
      </w:r>
    </w:p>
    <w:p>
      <w:pPr>
        <w:pStyle w:val="ListParagraph"/>
        <w:numPr>
          <w:ilvl w:val="0"/>
          <w:numId w:val="7"/>
        </w:numPr>
        <w:spacing w:after="80" w:line="276"/>
      </w:pPr>
      <w:r>
        <w:t xml:space="preserve">On the </w:t>
      </w:r>
      <w:r>
        <w:rPr>
          <w:b/>
          <w:bCs/>
        </w:rPr>
        <w:t xml:space="preserve">Type/Description</w:t>
      </w:r>
      <w:r>
        <w:t xml:space="preserve"> tab, choose account group (expense), set it as a </w:t>
      </w:r>
      <w:r>
        <w:rPr>
          <w:b/>
          <w:bCs/>
        </w:rPr>
        <w:t xml:space="preserve">P&amp;L account</w:t>
      </w:r>
      <w:r>
        <w:t xml:space="preserve"> and enter the name "Electricity Expense".</w:t>
      </w:r>
    </w:p>
    <w:p>
      <w:pPr>
        <w:pStyle w:val="ListParagraph"/>
        <w:numPr>
          <w:ilvl w:val="0"/>
          <w:numId w:val="7"/>
        </w:numPr>
        <w:spacing w:after="80" w:line="276"/>
      </w:pPr>
      <w:r>
        <w:t xml:space="preserve">On the </w:t>
      </w:r>
      <w:r>
        <w:rPr>
          <w:b/>
          <w:bCs/>
        </w:rPr>
        <w:t xml:space="preserve">Create/bank/interest</w:t>
      </w:r>
      <w:r>
        <w:t xml:space="preserve"> tab, enter currency INR and a field status group. Keep line item display selected.</w:t>
      </w:r>
    </w:p>
    <w:p>
      <w:pPr>
        <w:pStyle w:val="ListParagraph"/>
        <w:numPr>
          <w:ilvl w:val="0"/>
          <w:numId w:val="7"/>
        </w:numPr>
        <w:spacing w:after="80" w:line="276"/>
      </w:pPr>
      <w:r>
        <w:t xml:space="preserve">Save. Then run </w:t>
      </w:r>
      <w:r>
        <w:rPr>
          <w:b/>
          <w:bCs/>
        </w:rPr>
        <w:t xml:space="preserve">FB50</w:t>
      </w:r>
      <w:r>
        <w:t xml:space="preserve">, enter the document date and posting date, and enter lines: Dr 520000 Electricity Expense ₹10,000 with a cost centre, Cr 100000 Cash in Hand ₹10,000.</w:t>
      </w:r>
    </w:p>
    <w:p>
      <w:pPr>
        <w:pStyle w:val="ListParagraph"/>
        <w:numPr>
          <w:ilvl w:val="0"/>
          <w:numId w:val="7"/>
        </w:numPr>
        <w:spacing w:after="80" w:line="276"/>
      </w:pPr>
      <w:r>
        <w:t xml:space="preserve">Use </w:t>
      </w:r>
      <w:r>
        <w:rPr>
          <w:b/>
          <w:bCs/>
        </w:rPr>
        <w:t xml:space="preserve">Simulate</w:t>
      </w:r>
      <w:r>
        <w:t xml:space="preserve"> to check the lines, then </w:t>
      </w:r>
      <w:r>
        <w:rPr>
          <w:b/>
          <w:bCs/>
        </w:rPr>
        <w:t xml:space="preserve">Post</w:t>
      </w:r>
      <w:r>
        <w:t xml:space="preserve">. Note the document number.</w:t>
      </w:r>
    </w:p>
    <w:p>
      <w:pPr>
        <w:pStyle w:val="ListParagraph"/>
        <w:numPr>
          <w:ilvl w:val="0"/>
          <w:numId w:val="7"/>
        </w:numPr>
        <w:spacing w:after="80" w:line="276"/>
      </w:pPr>
      <w:r>
        <w:t xml:space="preserve">Open </w:t>
      </w:r>
      <w:r>
        <w:rPr>
          <w:b/>
          <w:bCs/>
        </w:rPr>
        <w:t xml:space="preserve">FBL3N</w:t>
      </w:r>
      <w:r>
        <w:t xml:space="preserve"> for account 520000 and confirm that the line appears.</w:t>
      </w:r>
    </w:p>
    <w:p>
      <w:pPr>
        <w:spacing w:after="140" w:before="0" w:line="288"/>
      </w:pPr>
      <w:r>
        <w:t xml:space="preserve"/>
      </w:r>
      <w:r>
        <w:rPr>
          <w:b/>
          <w:bCs/>
        </w:rPr>
        <w:t xml:space="preserve">What you learn:</w:t>
      </w:r>
      <w:r>
        <w:t xml:space="preserve"> the relationship between GL master data, field status (cost centre required) and posting.</w:t>
      </w:r>
    </w:p>
    <w:p>
      <w:pPr>
        <w:pStyle w:val="Heading2"/>
      </w:pPr>
      <w:r>
        <w:t xml:space="preserve">Lab 2: Vendor invoice with GST and TDS</w:t>
      </w:r>
    </w:p>
    <w:p>
      <w:pPr>
        <w:pStyle w:val="ListParagraph"/>
        <w:numPr>
          <w:ilvl w:val="0"/>
          <w:numId w:val="8"/>
        </w:numPr>
        <w:spacing w:after="80" w:line="276"/>
      </w:pPr>
      <w:r>
        <w:t xml:space="preserve">Create a vendor with a withholding tax type and code in the vendor master (through the vendor or business partner transaction).</w:t>
      </w:r>
    </w:p>
    <w:p>
      <w:pPr>
        <w:pStyle w:val="ListParagraph"/>
        <w:numPr>
          <w:ilvl w:val="0"/>
          <w:numId w:val="8"/>
        </w:numPr>
        <w:spacing w:after="80" w:line="276"/>
      </w:pPr>
      <w:r>
        <w:t xml:space="preserve">Run </w:t>
      </w:r>
      <w:r>
        <w:rPr>
          <w:b/>
          <w:bCs/>
        </w:rPr>
        <w:t xml:space="preserve">FB60</w:t>
      </w:r>
      <w:r>
        <w:t xml:space="preserve">. Enter the vendor, invoice date, amount ₹1,18,000, tax code I1 and calculate tax.</w:t>
      </w:r>
    </w:p>
    <w:p>
      <w:pPr>
        <w:pStyle w:val="ListParagraph"/>
        <w:numPr>
          <w:ilvl w:val="0"/>
          <w:numId w:val="8"/>
        </w:numPr>
        <w:spacing w:after="80" w:line="276"/>
      </w:pPr>
      <w:r>
        <w:t xml:space="preserve">Enter an expense line for ₹1,00,000 with a cost centre. Check that the withholding tax amount is calculated.</w:t>
      </w:r>
    </w:p>
    <w:p>
      <w:pPr>
        <w:pStyle w:val="ListParagraph"/>
        <w:numPr>
          <w:ilvl w:val="0"/>
          <w:numId w:val="8"/>
        </w:numPr>
        <w:spacing w:after="80" w:line="276"/>
      </w:pPr>
      <w:r>
        <w:t xml:space="preserve">Simulate and compare with the expected result of Section 15.2 (test cases 1 and 2).</w:t>
      </w:r>
    </w:p>
    <w:p>
      <w:pPr>
        <w:pStyle w:val="ListParagraph"/>
        <w:numPr>
          <w:ilvl w:val="0"/>
          <w:numId w:val="8"/>
        </w:numPr>
        <w:spacing w:after="80" w:line="276"/>
      </w:pPr>
      <w:r>
        <w:t xml:space="preserve">Post, then open </w:t>
      </w:r>
      <w:r>
        <w:rPr>
          <w:b/>
          <w:bCs/>
        </w:rPr>
        <w:t xml:space="preserve">FBL1N</w:t>
      </w:r>
      <w:r>
        <w:t xml:space="preserve"> to see the open vendor item.</w:t>
      </w:r>
    </w:p>
    <w:p>
      <w:pPr>
        <w:pStyle w:val="Heading2"/>
      </w:pPr>
      <w:r>
        <w:t xml:space="preserve">Lab 3: Cost centre, assessment and report</w:t>
      </w:r>
    </w:p>
    <w:p>
      <w:pPr>
        <w:pStyle w:val="ListParagraph"/>
        <w:numPr>
          <w:ilvl w:val="0"/>
          <w:numId w:val="9"/>
        </w:numPr>
        <w:spacing w:after="80" w:line="276"/>
      </w:pPr>
      <w:r>
        <w:t xml:space="preserve">Create a cost centre with </w:t>
      </w:r>
      <w:r>
        <w:rPr>
          <w:b/>
          <w:bCs/>
        </w:rPr>
        <w:t xml:space="preserve">KS01</w:t>
      </w:r>
      <w:r>
        <w:t xml:space="preserve"> under the standard hierarchy.</w:t>
      </w:r>
    </w:p>
    <w:p>
      <w:pPr>
        <w:pStyle w:val="ListParagraph"/>
        <w:numPr>
          <w:ilvl w:val="0"/>
          <w:numId w:val="9"/>
        </w:numPr>
        <w:spacing w:after="80" w:line="276"/>
      </w:pPr>
      <w:r>
        <w:t xml:space="preserve">Post an expense to the cost centre using FB50.</w:t>
      </w:r>
    </w:p>
    <w:p>
      <w:pPr>
        <w:pStyle w:val="ListParagraph"/>
        <w:numPr>
          <w:ilvl w:val="0"/>
          <w:numId w:val="9"/>
        </w:numPr>
        <w:spacing w:after="80" w:line="276"/>
      </w:pPr>
      <w:r>
        <w:t xml:space="preserve">Display the line items with </w:t>
      </w:r>
      <w:r>
        <w:rPr>
          <w:b/>
          <w:bCs/>
        </w:rPr>
        <w:t xml:space="preserve">KSB1</w:t>
      </w:r>
      <w:r>
        <w:t xml:space="preserve">, and the planned versus actual report using </w:t>
      </w:r>
      <w:r>
        <w:rPr>
          <w:b/>
          <w:bCs/>
        </w:rPr>
        <w:t xml:space="preserve">S_ALR_87013611</w:t>
      </w:r>
      <w:r>
        <w:t xml:space="preserve">.</w:t>
      </w:r>
    </w:p>
    <w:p>
      <w:pPr>
        <w:pStyle w:val="ListParagraph"/>
        <w:numPr>
          <w:ilvl w:val="0"/>
          <w:numId w:val="9"/>
        </w:numPr>
        <w:spacing w:after="80" w:line="276"/>
      </w:pPr>
      <w:r>
        <w:t xml:space="preserve">Optionally create an assessment cycle with </w:t>
      </w:r>
      <w:r>
        <w:rPr>
          <w:b/>
          <w:bCs/>
        </w:rPr>
        <w:t xml:space="preserve">KSU5</w:t>
      </w:r>
      <w:r>
        <w:t xml:space="preserve"> to allocate a part of the cost to another cost centre.</w:t>
      </w:r>
    </w:p>
    <w:p>
      <w:pPr>
        <w:pStyle w:val="Heading2"/>
      </w:pPr>
      <w:r>
        <w:t xml:space="preserve">Lab 4: Asset and depreciation</w:t>
      </w:r>
    </w:p>
    <w:p>
      <w:pPr>
        <w:pStyle w:val="ListParagraph"/>
        <w:numPr>
          <w:ilvl w:val="0"/>
          <w:numId w:val="10"/>
        </w:numPr>
        <w:spacing w:after="80" w:line="276"/>
      </w:pPr>
      <w:r>
        <w:t xml:space="preserve">Create an asset with </w:t>
      </w:r>
      <w:r>
        <w:rPr>
          <w:b/>
          <w:bCs/>
        </w:rPr>
        <w:t xml:space="preserve">AS01</w:t>
      </w:r>
      <w:r>
        <w:t xml:space="preserve"> in a class such as Plant and Machinery.</w:t>
      </w:r>
    </w:p>
    <w:p>
      <w:pPr>
        <w:pStyle w:val="ListParagraph"/>
        <w:numPr>
          <w:ilvl w:val="0"/>
          <w:numId w:val="10"/>
        </w:numPr>
        <w:spacing w:after="80" w:line="276"/>
      </w:pPr>
      <w:r>
        <w:t xml:space="preserve">Post the acquisition (for example through FB60 with the asset as the account assignment) to capitalise the asset.</w:t>
      </w:r>
    </w:p>
    <w:p>
      <w:pPr>
        <w:pStyle w:val="ListParagraph"/>
        <w:numPr>
          <w:ilvl w:val="0"/>
          <w:numId w:val="10"/>
        </w:numPr>
        <w:spacing w:after="80" w:line="276"/>
      </w:pPr>
      <w:r>
        <w:t xml:space="preserve">Run depreciation in </w:t>
      </w:r>
      <w:r>
        <w:rPr>
          <w:b/>
          <w:bCs/>
        </w:rPr>
        <w:t xml:space="preserve">AFAB</w:t>
      </w:r>
      <w:r>
        <w:t xml:space="preserve"> in test mode, then check the posted amounts per depreciation area.</w:t>
      </w:r>
    </w:p>
    <w:p>
      <w:pPr>
        <w:pStyle w:val="Heading1"/>
      </w:pPr>
      <w:r>
        <w:t xml:space="preserve">20. Quick Revision and Glossary</w:t>
      </w:r>
    </w:p>
    <w:p>
      <w:pPr>
        <w:pStyle w:val="Heading2"/>
      </w:pPr>
      <w:r>
        <w:t xml:space="preserve">20.1 Revision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Question</w:t>
            </w:r>
          </w:p>
        </w:tc>
        <w:tc>
          <w:tcPr>
            <w:tcW w:type="dxa" w:w="52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Short answer</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What is configuration in SAP?</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Setting up rules and parameters in the IMG (SPRO) so that the system follows the company's business and legal requirements.</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Which is created first, company code or chart of accounts?</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The chart of accounts must exist before it is assigned to the company code; both come after the company in the enterprise structure sequence.</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Why copy company code 0001?</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The copy brings dependent settings such as number ranges, which saves time and avoids missing hidden settings.</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What is a field status group?</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 group of settings that decides which fields are required, optional or hidden when posting to a GL account.</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What is a reconciliation account?</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A control account in the GL for a sub-ledger such as vendors, customers or assets; no direct posting is allowed.</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What does OBYC do?</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Maintains automatic account determination for inventory-related postings from MM.</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What does FBZP configure?</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The payment program: paying company codes, payment methods, and bank determination.</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Why must the controlling area and company code share the fiscal year variant?</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Because FI postings with cost objects create CO items in the same period.</w:t>
            </w:r>
          </w:p>
        </w:tc>
      </w:tr>
      <w:tr>
        <w:trPr>
          <w:cantSplit/>
        </w:trPr>
        <w:tc>
          <w:tcPr>
            <w:tcW w:type="dxa" w:w="38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Name two main changes in S/4HANA for configuration</w:t>
            </w:r>
          </w:p>
        </w:tc>
        <w:tc>
          <w:tcPr>
            <w:tcW w:type="dxa" w:w="52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Business Partner replaces separate customer and vendor masters; cost elements are part of the GL account; Universal Journal removes FI-CO reconciliation.</w:t>
            </w:r>
          </w:p>
        </w:tc>
      </w:tr>
      <w:tr>
        <w:trPr>
          <w:cantSplit/>
        </w:trPr>
        <w:tc>
          <w:tcPr>
            <w:tcW w:type="dxa" w:w="38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Why should company codes not be created per state in India?</w:t>
            </w:r>
          </w:p>
        </w:tc>
        <w:tc>
          <w:tcPr>
            <w:tcW w:type="dxa" w:w="52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One legal entity has one set of books; states are handled by business places and section codes.</w:t>
            </w:r>
          </w:p>
        </w:tc>
      </w:tr>
    </w:tbl>
    <w:p>
      <w:pPr>
        <w:spacing w:after="120"/>
      </w:pPr>
    </w:p>
    <w:p>
      <w:pPr>
        <w:pStyle w:val="Heading2"/>
      </w:pPr>
      <w:r>
        <w:t xml:space="preserve">20.2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Term</w:t>
            </w:r>
          </w:p>
        </w:tc>
        <w:tc>
          <w:tcPr>
            <w:tcW w:type="dxa" w:w="6626"/>
            <w:tcBorders>
              <w:top w:val="single" w:color="C9D3DC" w:sz="4"/>
              <w:left w:val="single" w:color="C9D3DC" w:sz="4"/>
              <w:bottom w:val="single" w:color="C9D3DC" w:sz="4"/>
              <w:right w:val="single" w:color="C9D3DC" w:sz="4"/>
            </w:tcBorders>
            <w:shd w:fill="0B2A4A" w:color="auto" w:val="clear"/>
            <w:tcMar>
              <w:top w:type="dxa" w:w="70"/>
              <w:left w:type="dxa" w:w="110"/>
              <w:bottom w:type="dxa" w:w="70"/>
              <w:right w:type="dxa" w:w="110"/>
            </w:tcMar>
            <w:vAlign w:val="center"/>
          </w:tcPr>
          <w:p>
            <w:pPr>
              <w:spacing w:after="30" w:line="260"/>
            </w:pPr>
            <w:r>
              <w:rPr>
                <w:b/>
                <w:bCs/>
                <w:color w:val="FFFFFF"/>
                <w:sz w:val="19"/>
                <w:szCs w:val="19"/>
              </w:rPr>
              <w:t xml:space="preserve">Meaning</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IMG / SPRO</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Implementation Guide and the transaction that opens it; the menu of all configuration</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Client</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Top-level data unit in an SAP system, identified by a number</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Transport request</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Container that moves configuration changes from DEV to QAS and PRD</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Customizing</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Another word for configuration</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Company code</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Legal accounting entity inside SAP</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Chart of accounts</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List of GL accounts used by company codes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Fiscal year variant</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Defines the financial year and its posting periods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Posting period variant</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Defines which periods are open or closed for posting</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Field status group</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Controls fields on a posting screen for a GL account</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Account determination</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Rules that decide which GL accounts are posted by other modules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Transaction key</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Code used in account determination, such as BSX or WRX</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Valuation class</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Groups materials for accounting purposes</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Business Place</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Unit that carries a GSTIN in SAP India</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Depreciation area</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Separate set of asset values for one purpose such as book or tax</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Controlling area</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Organisational unit for cost accounting</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Universal Journal</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Single line item table in S/4HANA integrating FI, CO and asset data</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bCs/>
                <w:color w:val="0B2A4A"/>
                <w:sz w:val="19"/>
                <w:szCs w:val="19"/>
              </w:rPr>
              <w:t xml:space="preserve">Business Partner</w:t>
            </w:r>
          </w:p>
        </w:tc>
        <w:tc>
          <w:tcPr>
            <w:tcW w:type="dxa" w:w="6626"/>
            <w:tcBorders>
              <w:top w:val="single" w:color="C9D3DC" w:sz="4"/>
              <w:left w:val="single" w:color="C9D3DC" w:sz="4"/>
              <w:bottom w:val="single" w:color="C9D3DC" w:sz="4"/>
              <w:right w:val="single" w:color="C9D3DC" w:sz="4"/>
            </w:tcBorders>
            <w:shd w:fill="FFFFFF" w:color="auto" w:val="clear"/>
            <w:tcMar>
              <w:top w:type="dxa" w:w="70"/>
              <w:left w:type="dxa" w:w="110"/>
              <w:bottom w:type="dxa" w:w="70"/>
              <w:right w:type="dxa" w:w="110"/>
            </w:tcMar>
            <w:vAlign w:val="center"/>
          </w:tcPr>
          <w:p>
            <w:pPr>
              <w:spacing w:after="30" w:line="260"/>
            </w:pPr>
            <w:r>
              <w:rPr>
                <w:b w:val="false"/>
                <w:bCs w:val="false"/>
                <w:sz w:val="19"/>
                <w:szCs w:val="19"/>
              </w:rPr>
              <w:t xml:space="preserve">S/4HANA master data object that replaces customer and vendor masters</w:t>
            </w:r>
          </w:p>
        </w:tc>
      </w:tr>
      <w:tr>
        <w:trPr>
          <w:cantSplit/>
        </w:trPr>
        <w:tc>
          <w:tcPr>
            <w:tcW w:type="dxa" w:w="2400"/>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bCs/>
                <w:color w:val="0B2A4A"/>
                <w:sz w:val="19"/>
                <w:szCs w:val="19"/>
              </w:rPr>
              <w:t xml:space="preserve">Greenfield / Brownfield</w:t>
            </w:r>
          </w:p>
        </w:tc>
        <w:tc>
          <w:tcPr>
            <w:tcW w:type="dxa" w:w="6626"/>
            <w:tcBorders>
              <w:top w:val="single" w:color="C9D3DC" w:sz="4"/>
              <w:left w:val="single" w:color="C9D3DC" w:sz="4"/>
              <w:bottom w:val="single" w:color="C9D3DC" w:sz="4"/>
              <w:right w:val="single" w:color="C9D3DC" w:sz="4"/>
            </w:tcBorders>
            <w:shd w:fill="F5F6F7" w:color="auto" w:val="clear"/>
            <w:tcMar>
              <w:top w:type="dxa" w:w="70"/>
              <w:left w:type="dxa" w:w="110"/>
              <w:bottom w:type="dxa" w:w="70"/>
              <w:right w:type="dxa" w:w="110"/>
            </w:tcMar>
            <w:vAlign w:val="center"/>
          </w:tcPr>
          <w:p>
            <w:pPr>
              <w:spacing w:after="30" w:line="260"/>
            </w:pPr>
            <w:r>
              <w:rPr>
                <w:b w:val="false"/>
                <w:bCs w:val="false"/>
                <w:sz w:val="19"/>
                <w:szCs w:val="19"/>
              </w:rPr>
              <w:t xml:space="preserve">New implementation versus conversion of an existing system</w:t>
            </w:r>
          </w:p>
        </w:tc>
      </w:tr>
    </w:tbl>
    <w:p>
      <w:pPr>
        <w:spacing w:after="120"/>
      </w:pPr>
    </w:p>
    <w:p>
      <w:pPr>
        <w:pStyle w:val="Heading1"/>
      </w:pPr>
      <w:r>
        <w:t xml:space="preserve">21. References</w:t>
      </w:r>
    </w:p>
    <w:p>
      <w:pPr>
        <w:spacing w:after="140" w:before="0" w:line="288"/>
      </w:pPr>
      <w:r>
        <w:t xml:space="preserve">This guide is based on SAP's public learning and documentation resources, and on common Indian accounting and tax practice. SAP menu paths and T-codes can vary by release, so always verify in the current documentation and in your own system.</w:t>
      </w:r>
    </w:p>
    <w:p>
      <w:pPr>
        <w:pStyle w:val="ListParagraph"/>
        <w:numPr>
          <w:ilvl w:val="0"/>
          <w:numId w:val="2"/>
        </w:numPr>
        <w:spacing w:after="80" w:line="276"/>
      </w:pPr>
      <w:r>
        <w:t xml:space="preserve">SAP Help Portal (help.sap.com): documentation for SAP S/4HANA Finance, General Ledger Accounting, Accounts Payable and Receivable, Asset Accounting and Controlling.</w:t>
      </w:r>
    </w:p>
    <w:p>
      <w:pPr>
        <w:pStyle w:val="ListParagraph"/>
        <w:numPr>
          <w:ilvl w:val="0"/>
          <w:numId w:val="2"/>
        </w:numPr>
        <w:spacing w:after="80" w:line="276"/>
      </w:pPr>
      <w:r>
        <w:t xml:space="preserve">SAP Learning (learning.sap.com): learning journeys for financial and management accounting.</w:t>
      </w:r>
    </w:p>
    <w:p>
      <w:pPr>
        <w:pStyle w:val="ListParagraph"/>
        <w:numPr>
          <w:ilvl w:val="0"/>
          <w:numId w:val="2"/>
        </w:numPr>
        <w:spacing w:after="80" w:line="276"/>
      </w:pPr>
      <w:r>
        <w:t xml:space="preserve">openSAP (open.sap.com): free courses on SAP S/4HANA finance and migration.</w:t>
      </w:r>
    </w:p>
    <w:p>
      <w:pPr>
        <w:pStyle w:val="ListParagraph"/>
        <w:numPr>
          <w:ilvl w:val="0"/>
          <w:numId w:val="2"/>
        </w:numPr>
        <w:spacing w:after="80" w:line="276"/>
      </w:pPr>
      <w:r>
        <w:t xml:space="preserve">SAP Community (community.sap.com): consultant blogs and questions on configuration issues.</w:t>
      </w:r>
    </w:p>
    <w:p>
      <w:pPr>
        <w:pStyle w:val="ListParagraph"/>
        <w:numPr>
          <w:ilvl w:val="0"/>
          <w:numId w:val="2"/>
        </w:numPr>
        <w:spacing w:after="80" w:line="276"/>
      </w:pPr>
      <w:r>
        <w:t xml:space="preserve">GST Portal (gst.gov.in) and Income Tax Department (incometax.gov.in): for current GST and TDS rules, rates and section references.</w:t>
      </w:r>
    </w:p>
    <w:p>
      <w:pPr>
        <w:pStyle w:val="ListParagraph"/>
        <w:numPr>
          <w:ilvl w:val="0"/>
          <w:numId w:val="2"/>
        </w:numPr>
        <w:spacing w:after="80" w:line="276"/>
      </w:pPr>
      <w:r>
        <w:t xml:space="preserve">Companies Act, 2013, Schedule II: useful lives of assets for book depreciation.</w:t>
      </w:r>
    </w:p>
    <w:p>
      <w:pPr>
        <w:spacing w:after="200"/>
      </w:pPr>
    </w:p>
    <w:p>
      <w:pPr>
        <w:pBdr>
          <w:top w:val="single" w:color="0A6ED1" w:sz="8" w:space="8"/>
        </w:pBdr>
        <w:spacing w:before="200"/>
      </w:pPr>
      <w:r>
        <w:rPr>
          <w:i/>
          <w:iCs/>
          <w:color w:val="5B6770"/>
          <w:sz w:val="20"/>
          <w:szCs w:val="20"/>
        </w:rPr>
        <w:t xml:space="preserve">Prepared by Priyabrata Behera, SAP FICO Virtual Internship, Week 2</w:t>
      </w:r>
    </w:p>
    <w:sectPr>
      <w:headerReference w:type="default" r:id="rId7"/>
      <w:headerReference w:type="first" r:id="rId8"/>
      <w:footerReference w:type="default" r:id="rId9"/>
      <w:footerReference w:type="first" r:id="rId10"/>
      <w:pgSz w:w="11906" w:h="16838"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6" w:space="4"/>
      </w:pBdr>
      <w:tabs>
        <w:tab w:val="right" w:pos="9026"/>
      </w:tabs>
    </w:pPr>
    <w:r>
      <w:rPr>
        <w:color w:val="5B6770"/>
        <w:sz w:val="18"/>
        <w:szCs w:val="18"/>
      </w:rPr>
      <w:t xml:space="preserve">Priyabrata Behera</w:t>
    </w:r>
    <w:r>
      <w:rPr>
        <w:color w:val="5B6770"/>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6" w:space="4"/>
      </w:pBdr>
      <w:jc w:val="right"/>
    </w:pPr>
    <w:r>
      <w:rPr>
        <w:color w:val="5B6770"/>
        <w:sz w:val="18"/>
        <w:szCs w:val="18"/>
      </w:rPr>
      <w:t xml:space="preserve">SAP FICO Virtual Internship  |  Week 2: Configuration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A6ED1"/>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0A6ED1"/>
      </w:rPr>
    </w:lvl>
  </w:abstractNum>
  <w:abstractNum w:abstractNumId="4" w15:restartNumberingAfterBreak="0">
    <w:multiLevelType w:val="hybridMultilevel"/>
    <w:lvl w:ilvl="0" w15:tentative="1">
      <w:start w:val="1"/>
      <w:numFmt w:val="decimal"/>
      <w:lvlText w:val="%1."/>
      <w:lvlJc w:val="left"/>
      <w:pPr>
        <w:ind w:left="540" w:hanging="360"/>
      </w:pPr>
      <w:rPr>
        <w:b/>
        <w:bCs/>
        <w:color w:val="0A6ED1"/>
      </w:rPr>
    </w:lvl>
  </w:abstractNum>
  <w:abstractNum w:abstractNumId="5" w15:restartNumberingAfterBreak="0">
    <w:multiLevelType w:val="hybridMultilevel"/>
    <w:lvl w:ilvl="0" w15:tentative="1">
      <w:start w:val="1"/>
      <w:numFmt w:val="decimal"/>
      <w:lvlText w:val="%1."/>
      <w:lvlJc w:val="left"/>
      <w:pPr>
        <w:ind w:left="540" w:hanging="360"/>
      </w:pPr>
      <w:rPr>
        <w:b/>
        <w:bCs/>
        <w:color w:val="0A6ED1"/>
      </w:rPr>
    </w:lvl>
  </w:abstractNum>
  <w:abstractNum w:abstractNumId="6" w15:restartNumberingAfterBreak="0">
    <w:multiLevelType w:val="hybridMultilevel"/>
    <w:lvl w:ilvl="0" w15:tentative="1">
      <w:start w:val="1"/>
      <w:numFmt w:val="decimal"/>
      <w:lvlText w:val="%1."/>
      <w:lvlJc w:val="left"/>
      <w:pPr>
        <w:ind w:left="540" w:hanging="360"/>
      </w:pPr>
      <w:rPr>
        <w:b/>
        <w:bCs/>
        <w:color w:val="0A6ED1"/>
      </w:rPr>
    </w:lvl>
  </w:abstractNum>
  <w:abstractNum w:abstractNumId="7" w15:restartNumberingAfterBreak="0">
    <w:multiLevelType w:val="hybridMultilevel"/>
    <w:lvl w:ilvl="0" w15:tentative="1">
      <w:start w:val="1"/>
      <w:numFmt w:val="decimal"/>
      <w:lvlText w:val="%1."/>
      <w:lvlJc w:val="left"/>
      <w:pPr>
        <w:ind w:left="540" w:hanging="360"/>
      </w:pPr>
      <w:rPr>
        <w:b/>
        <w:bCs/>
        <w:color w:val="0A6ED1"/>
      </w:rPr>
    </w:lvl>
  </w:abstractNum>
  <w:abstractNum w:abstractNumId="8" w15:restartNumberingAfterBreak="0">
    <w:multiLevelType w:val="hybridMultilevel"/>
    <w:lvl w:ilvl="0" w15:tentative="1">
      <w:start w:val="1"/>
      <w:numFmt w:val="decimal"/>
      <w:lvlText w:val="%1."/>
      <w:lvlJc w:val="left"/>
      <w:pPr>
        <w:ind w:left="540" w:hanging="360"/>
      </w:pPr>
      <w:rPr>
        <w:b/>
        <w:bCs/>
        <w:color w:val="0A6ED1"/>
      </w:rPr>
    </w:lvl>
  </w:abstractNum>
  <w:abstractNum w:abstractNumId="9" w15:restartNumberingAfterBreak="0">
    <w:multiLevelType w:val="hybridMultilevel"/>
    <w:lvl w:ilvl="0" w15:tentative="1">
      <w:start w:val="1"/>
      <w:numFmt w:val="decimal"/>
      <w:lvlText w:val="%1."/>
      <w:lvlJc w:val="left"/>
      <w:pPr>
        <w:ind w:left="540" w:hanging="360"/>
      </w:pPr>
      <w:rPr>
        <w:b/>
        <w:bCs/>
        <w:color w:val="0A6ED1"/>
      </w:rPr>
    </w:lvl>
  </w:abstractNum>
  <w:abstractNum w:abstractNumId="10" w15:restartNumberingAfterBreak="0">
    <w:multiLevelType w:val="hybridMultilevel"/>
    <w:lvl w:ilvl="0" w15:tentative="1">
      <w:start w:val="1"/>
      <w:numFmt w:val="decimal"/>
      <w:lvlText w:val="%1."/>
      <w:lvlJc w:val="left"/>
      <w:pPr>
        <w:ind w:left="540" w:hanging="360"/>
      </w:pPr>
      <w:rPr>
        <w:b/>
        <w:bCs/>
        <w:color w:val="0A6ED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A6ED1" w:sz="12" w:space="4"/>
      </w:pBdr>
      <w:spacing w:after="160" w:before="360"/>
      <w:outlineLvl w:val="0"/>
    </w:pPr>
    <w:rPr>
      <w:rFonts w:ascii="Calibri" w:cs="Calibri" w:eastAsia="Calibri" w:hAnsi="Calibri"/>
      <w:b/>
      <w:bCs/>
      <w:color w:val="0B2A4A"/>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0A6ED1"/>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338957d095f0b2e087f5ed507849e0e72716b1c.png"/><Relationship Id="rId12" Type="http://schemas.openxmlformats.org/officeDocument/2006/relationships/image" Target="media/448adbb48e56b4754ae6b9650a220796fb5a251c.png"/><Relationship Id="rId13" Type="http://schemas.openxmlformats.org/officeDocument/2006/relationships/image" Target="media/8deb8c0acdd0984974f48bce91b36c2d6e4039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FICO Week 2 Configuration Guide</dc:title>
  <dc:creator>Priyabrata Behera</dc:creator>
  <cp:lastModifiedBy>Un-named</cp:lastModifiedBy>
  <cp:revision>1</cp:revision>
  <dcterms:created xsi:type="dcterms:W3CDTF">2026-10-16T11:28:36.848Z</dcterms:created>
  <dcterms:modified xsi:type="dcterms:W3CDTF">2026-10-16T11:28:36.852Z</dcterms:modified>
</cp:coreProperties>
</file>

<file path=docProps/custom.xml><?xml version="1.0" encoding="utf-8"?>
<Properties xmlns="http://schemas.openxmlformats.org/officeDocument/2006/custom-properties" xmlns:vt="http://schemas.openxmlformats.org/officeDocument/2006/docPropsVTypes"/>
</file>