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BarOptions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Omit&lt;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  <w:t xml:space="preserve">, "borderWidth"&gt;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r w:rsidDel="00000000" w:rsidR="00000000" w:rsidRPr="00000000">
        <w:rPr>
          <w:b w:val="1"/>
          <w:rtl w:val="0"/>
        </w:rPr>
        <w:t xml:space="preserve">BarOptions</w:t>
      </w:r>
    </w:p>
    <w:p w:rsidR="00000000" w:rsidDel="00000000" w:rsidP="00000000" w:rsidRDefault="00000000" w:rsidRPr="00000000" w14:paraId="000000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backgroundColor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backgroundColor</w:t>
      </w:r>
      <w:r w:rsidDel="00000000" w:rsidR="00000000" w:rsidRPr="00000000">
        <w:rPr>
          <w:rtl w:val="0"/>
        </w:rPr>
        <w:t xml:space="preserve">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Omit.backgroundColor</w:t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index.esm.d.ts:1696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base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base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base value for the bar in data units along the value axis.</w:t>
      </w:r>
    </w:p>
    <w:p w:rsidR="00000000" w:rsidDel="00000000" w:rsidP="00000000" w:rsidRDefault="00000000" w:rsidRPr="00000000" w14:paraId="000000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index.esm.d.ts:1990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borderColor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borderColor</w:t>
      </w:r>
      <w:r w:rsidDel="00000000" w:rsidR="00000000" w:rsidRPr="00000000">
        <w:rPr>
          <w:rtl w:val="0"/>
        </w:rPr>
        <w:t xml:space="preserve">: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Omit.borderColor</w:t>
      </w:r>
    </w:p>
    <w:p w:rsidR="00000000" w:rsidDel="00000000" w:rsidP="00000000" w:rsidRDefault="00000000" w:rsidRPr="00000000" w14:paraId="000000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index.esm.d.ts:1695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rdcrj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borderRadius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borderRadius</w:t>
      </w:r>
      <w:r w:rsidDel="00000000" w:rsidR="00000000" w:rsidRPr="00000000">
        <w:rPr>
          <w:rtl w:val="0"/>
        </w:rPr>
        <w:t xml:space="preserve">: number |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Border radius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9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index.esm.d.ts:2002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lnxbz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borderSkipped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borderSkipped</w:t>
      </w:r>
      <w:r w:rsidDel="00000000" w:rsidR="00000000" w:rsidRPr="00000000">
        <w:rPr>
          <w:rtl w:val="0"/>
        </w:rPr>
        <w:t xml:space="preserve">: boolean | "start" | "end" | "left" | "right" | "bottom" | "top" | "middle"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Skipped (excluded) border: 'start', 'end', 'left', 'right', 'bottom', 'top', 'middle', false (none) or true (all).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'start'</w:t>
      </w:r>
    </w:p>
    <w:p w:rsidR="00000000" w:rsidDel="00000000" w:rsidP="00000000" w:rsidRDefault="00000000" w:rsidRPr="00000000" w14:paraId="000000A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index.esm.d.ts:1996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ksv4u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borderWidth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borderWidth</w:t>
      </w:r>
      <w:r w:rsidDel="00000000" w:rsidR="00000000" w:rsidRPr="00000000">
        <w:rPr>
          <w:rtl w:val="0"/>
        </w:rPr>
        <w:t xml:space="preserve">: number | { bottom?: number ; left?: number ; right?: number ; top?: number }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Width of the border, number for all sides, object to specify width for each side specifically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A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index.esm.d.ts:2015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jxsxq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inflateAmount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inflateAmount</w:t>
      </w:r>
      <w:r w:rsidDel="00000000" w:rsidR="00000000" w:rsidRPr="00000000">
        <w:rPr>
          <w:rtl w:val="0"/>
        </w:rPr>
        <w:t xml:space="preserve">: number | "auto"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Amount to inflate the rectangle(s). This can be used to hide artifacts between bars. Unit is pixels. 'auto' translates to 0.33 pixels when barPercentage * categoryPercentage is 1, else 0.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'auto'</w:t>
      </w:r>
    </w:p>
    <w:p w:rsidR="00000000" w:rsidDel="00000000" w:rsidP="00000000" w:rsidRDefault="00000000" w:rsidRPr="00000000" w14:paraId="000000B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index.esm.d.ts:2009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 BarHoverOptions </w:t>
        </w:r>
      </w:hyperlink>
      <w:r w:rsidDel="00000000" w:rsidR="00000000" w:rsidRPr="00000000">
        <w:rPr>
          <w:rtl w:val="0"/>
        </w:rPr>
        <w:t xml:space="preserve">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 BarProps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interfaces/CommonElementOptions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141" Type="http://schemas.openxmlformats.org/officeDocument/2006/relationships/hyperlink" Target="http://docs.google.com/docs/3.9.1/api/interfaces/BarProps.html" TargetMode="External"/><Relationship Id="rId140" Type="http://schemas.openxmlformats.org/officeDocument/2006/relationships/hyperlink" Target="http://docs.google.com/docs/3.9.1/api/interfaces/BarHoverOption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s://github.com/chartjs/Chart.js/blob/5ea4b3a/types/index.esm.d.ts#L2009" TargetMode="External"/><Relationship Id="rId138" Type="http://schemas.openxmlformats.org/officeDocument/2006/relationships/hyperlink" Target="https://github.com/chartjs/Chart.js/blob/5ea4b3a/types/index.esm.d.ts#L2015" TargetMode="External"/><Relationship Id="rId137" Type="http://schemas.openxmlformats.org/officeDocument/2006/relationships/hyperlink" Target="https://github.com/chartjs/Chart.js/blob/5ea4b3a/types/index.esm.d.ts#L1996" TargetMode="External"/><Relationship Id="rId132" Type="http://schemas.openxmlformats.org/officeDocument/2006/relationships/hyperlink" Target="https://github.com/chartjs/Chart.js/blob/5ea4b3a/types/index.esm.d.ts#L1990" TargetMode="External"/><Relationship Id="rId131" Type="http://schemas.openxmlformats.org/officeDocument/2006/relationships/hyperlink" Target="https://github.com/chartjs/Chart.js/blob/5ea4b3a/types/index.esm.d.ts#L1696" TargetMode="External"/><Relationship Id="rId130" Type="http://schemas.openxmlformats.org/officeDocument/2006/relationships/hyperlink" Target="http://docs.google.com/docs/3.9.1/api/#color" TargetMode="External"/><Relationship Id="rId136" Type="http://schemas.openxmlformats.org/officeDocument/2006/relationships/hyperlink" Target="https://github.com/chartjs/Chart.js/blob/5ea4b3a/types/index.esm.d.ts#L2002" TargetMode="External"/><Relationship Id="rId135" Type="http://schemas.openxmlformats.org/officeDocument/2006/relationships/hyperlink" Target="http://docs.google.com/docs/3.9.1/api/interfaces/BorderRadius.html" TargetMode="External"/><Relationship Id="rId134" Type="http://schemas.openxmlformats.org/officeDocument/2006/relationships/hyperlink" Target="https://github.com/chartjs/Chart.js/blob/5ea4b3a/types/index.esm.d.ts#L1695" TargetMode="External"/><Relationship Id="rId133" Type="http://schemas.openxmlformats.org/officeDocument/2006/relationships/hyperlink" Target="http://docs.google.com/docs/3.9.1/api/#color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