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Cartesian</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Cartesian Axes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Category Axis</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Linear Axis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Logarithmic Axis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Time Cartesian Axis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Time Series Axis</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Radial</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Labeling Axes</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Linear Axis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linear scale is used to chart numerical data. It can be placed on either the x or y-axis. The scatter chart type automatically configures a line chart to use one of these scales for the x-axis. As the name suggests, linear interpolation is used to determine where a value lies on the axis.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240"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Configuration Options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Linear Axis specific options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beginAtZero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scale will include 0 if it is not already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number|string</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Percentage (string ending with %) or amount (number) for added room in the scale range above and below data. </w:t>
            </w:r>
            <w:hyperlink w:anchor="3znysh7">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cartesian axes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bounds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Determines the scale bounds. </w:t>
            </w:r>
            <w:hyperlink r:id="rId3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Position of the axis. </w:t>
            </w:r>
            <w:hyperlink r:id="rId3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group. Axes at the same position with same stack are stacked.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stackWeight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of the scale in stack group. Used to determine the amount of allocated space for the scale within the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type of axis this is. Possible values are: 'x', 'y'. If not set, this is inferred from the first character of the ID which should be 'x' or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extra space is added to the both edges and the axis is scaled to fit into the chart area. This is set to true for a bar chart by 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Scale title configuration. </w:t>
            </w:r>
            <w:hyperlink r:id="rId34">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axes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scale being employed. Custom scales can be created and registered with a string key. This allows changing the type of an axis for a chart.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alignToPixels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 pixel values to device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scale 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the axis global visibility (visible when true, hidden when false). When display: 'auto', the axis is visible only if at least one associated dataset is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Grid line configuration. </w:t>
            </w:r>
            <w:hyperlink r:id="rId3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minimum number for the scale, overrides minimum value from data. </w:t>
            </w:r>
            <w:hyperlink r:id="rId3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maximum number for the scale, overrides maximum value from data. </w:t>
            </w:r>
            <w:hyperlink r:id="rId38">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stacked</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 the data be stacked. </w:t>
            </w:r>
            <w:hyperlink r:id="rId39">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maximum data value. </w:t>
            </w:r>
            <w:hyperlink r:id="rId4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minimum data value. </w:t>
            </w:r>
            <w:hyperlink r:id="rId4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Tick configuration. </w:t>
            </w:r>
            <w:hyperlink r:id="rId4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weight used to sort the axis. Higher weights are further away from the chart area.</w:t>
            </w:r>
          </w:p>
        </w:tc>
      </w:tr>
    </w:tbl>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240" w:lineRule="auto"/>
        <w:rPr/>
      </w:pP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t xml:space="preserve"> Tick Configuration</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t xml:space="preserve"> Linear Axis specific tick options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ticks to generate. If specified, this overrides the automatic generation.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43">
              <w:r w:rsidDel="00000000" w:rsidR="00000000" w:rsidRPr="00000000">
                <w:rPr>
                  <w:color w:val="0000ee"/>
                  <w:u w:val="single"/>
                  <w:rtl w:val="0"/>
                </w:rPr>
                <w:t xml:space="preserve">Intl.NumberFormat (opens new window)</w:t>
              </w:r>
            </w:hyperlink>
            <w:r w:rsidDel="00000000" w:rsidR="00000000" w:rsidRPr="00000000">
              <w:rPr>
                <w:rtl w:val="0"/>
              </w:rPr>
              <w:t xml:space="preserve"> options used by the default label formatter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precision</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defined and stepSize is not specified, the step size will be rounded to this many decimal places.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stepSize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User-defined fixed step size for the scale. </w:t>
            </w:r>
            <w:hyperlink w:anchor="4d34og8">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pP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cartesian axes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tick alignment along the axis. Can be 'start', 'center', 'end', or 'inner'. inner alignment means align start for first tick and end for the last tick of horizontal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crossAlign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tick alignment perpendicular to the axis. Can be 'near', 'center', or 'far'. See </w:t>
            </w:r>
            <w:hyperlink r:id="rId44">
              <w:r w:rsidDel="00000000" w:rsidR="00000000" w:rsidRPr="00000000">
                <w:rPr>
                  <w:color w:val="0000ee"/>
                  <w:u w:val="single"/>
                  <w:rtl w:val="0"/>
                </w:rPr>
                <w:t xml:space="preserve">Tick Alignment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sampleSize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ticks.length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ticks to examine when deciding how many labels will fit. Setting a smaller value will be faster, but may be less accurate when there is large variability in label length.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automatically calculates how many labels can be shown and hides labels accordingly. Labels will be rotated up to maxRotation before skipping any. Turn autoSkip off to show all labels no matter what.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autoSkipPadding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ticks on the horizontal axis when autoSkip is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includeBounds</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defined min and max values be presented as ticks even if they are not "nice".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labelOffset</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Distance in pixels to offset the label from the centre point of the tick (in the x-direction for the x-axis, and the y-direction for the y-axis). </w:t>
            </w:r>
            <w:r w:rsidDel="00000000" w:rsidR="00000000" w:rsidRPr="00000000">
              <w:rPr>
                <w:i w:val="1"/>
                <w:rtl w:val="0"/>
              </w:rPr>
              <w:t xml:space="preserve">Note: this can cause labels at the edges to be cropped by the edge of the canvas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maxRotation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Maximum rotation for tick labels when rotating to condense labels. Note: Rotation doesn't occur until necessary.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minRotation</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Minimum rotation for tick labels.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Flips tick labels around axis, displaying the labels inside the chart instead of outside. </w:t>
            </w:r>
            <w:r w:rsidDel="00000000" w:rsidR="00000000" w:rsidRPr="00000000">
              <w:rPr>
                <w:i w:val="1"/>
                <w:rtl w:val="0"/>
              </w:rPr>
              <w:t xml:space="preserve">Note: Only applicable to vertical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 label and the axis. When set on a vertical axis, this applies in the horizontal (X) direction. When set on a horizontal axis, this applies in the vertical (Y) direction.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maxTicksLimit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ticks and gridlines to show.</w:t>
            </w:r>
          </w:p>
        </w:tc>
      </w:tr>
    </w:tbl>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pP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axes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backdropColor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'rgba(255, 255, 255, 0.75)'</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label backdrops.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backdropPadding</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Padding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of label backdrop.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representation of the tick value as it should be displayed on the chart. See </w:t>
            </w:r>
            <w:hyperlink r:id="rId47">
              <w:r w:rsidDel="00000000" w:rsidR="00000000" w:rsidRPr="00000000">
                <w:rPr>
                  <w:color w:val="0000ee"/>
                  <w:u w:val="single"/>
                  <w:rtl w:val="0"/>
                </w:rPr>
                <w:t xml:space="preserve">callback</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show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Chart.defaults.color</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ticks.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Chart.defaults.font</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49">
              <w:r w:rsidDel="00000000" w:rsidR="00000000" w:rsidRPr="00000000">
                <w:rPr>
                  <w:color w:val="0000ee"/>
                  <w:u w:val="single"/>
                  <w:rtl w:val="0"/>
                </w:rPr>
                <w:t xml:space="preserve">Fonts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Major ticks configuration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offset of the tick labels from the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showLabelBackdrop</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radial scale, false otherwise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a background behind the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textStrokeColor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stroke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textStrokeWidth</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z-index of tick layer. Useful when ticks are drawn on chart area. Values &lt;= 0 are drawn under datasets, &gt; 0 on top.</w:t>
            </w:r>
          </w:p>
        </w:tc>
      </w:tr>
    </w:tbl>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rPr/>
      </w:pP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t xml:space="preserve"> Step Size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the scale ticks will be enumerated by multiple of stepSize, having one tick per increment. If not set, the ticks are labeled automatically using the nice numbers algorithm.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sets up a chart with a y axis that creates ticks at 0, 0.5, 1, 1.5, 2, 2.5, 3, 3.5, 4, 4.5, 5.</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options = {</w:t>
        <w:br w:type="textWrapping"/>
        <w:t xml:space="preserve">    scales: {</w:t>
        <w:br w:type="textWrapping"/>
        <w:t xml:space="preserve">        y: {</w:t>
        <w:br w:type="textWrapping"/>
        <w:t xml:space="preserve">            max: 5,</w:t>
        <w:br w:type="textWrapping"/>
        <w:t xml:space="preserve">            min: 0,</w:t>
        <w:br w:type="textWrapping"/>
        <w:t xml:space="preserve">            ticks: {</w:t>
        <w:br w:type="textWrapping"/>
        <w:t xml:space="preserve">                stepSize: 0.5</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Grace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value is string ending with %, its treat as percentage. If number, its treat as value. The value is added to the maximum data value and subtracted from the minimum data. This extends the scale range as if the data values were that much greater.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'bar', data, options: { scales: { y: { type: 'linear', grace: '5%' } }, plugins: { legend: false } }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'bar',</w:t>
        <w:br w:type="textWrapping"/>
        <w:t xml:space="preserve">  data,</w:t>
        <w:br w:type="textWrapping"/>
        <w:t xml:space="preserve">  options: {</w:t>
        <w:br w:type="textWrapping"/>
        <w:t xml:space="preserve">    scales: {</w:t>
        <w:br w:type="textWrapping"/>
        <w:t xml:space="preserve">      y: {</w:t>
        <w:br w:type="textWrapping"/>
        <w:t xml:space="preserve">        type: 'linear',</w:t>
        <w:br w:type="textWrapping"/>
        <w:t xml:space="preserve">        grace: '5%'</w:t>
        <w:br w:type="textWrapping"/>
        <w:t xml:space="preserve">      }</w:t>
        <w:br w:type="textWrapping"/>
        <w:t xml:space="preserve">    },</w:t>
        <w:br w:type="textWrapping"/>
        <w:t xml:space="preserve">    plugins: {</w:t>
        <w:br w:type="textWrapping"/>
        <w:t xml:space="preserve">      legend: false</w:t>
        <w:br w:type="textWrapping"/>
        <w:t xml:space="preserve">    }</w:t>
        <w:br w:type="textWrapping"/>
        <w:t xml:space="preserve">  }</w:t>
        <w:br w:type="textWrapping"/>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['Positive', 'Negative'], datasets: [{ data: [100, -50], backgroundColor: 'rgb(255, 99, 132)' }],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['Positive', 'Negative'],</w:t>
        <w:br w:type="textWrapping"/>
        <w:t xml:space="preserve">  datasets: [{</w:t>
        <w:br w:type="textWrapping"/>
        <w:t xml:space="preserve">    data: [100, -50],</w:t>
        <w:br w:type="textWrapping"/>
        <w:t xml:space="preserve">    backgroundColor: 'rgb(255, 99, 132)'</w:t>
        <w:br w:type="textWrapping"/>
        <w:t xml:space="preserve">  }],</w:t>
        <w:br w:type="textWrapping"/>
        <w:t xml:space="preserve">};</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Internally, the linear scale uses numeric data</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2">
        <w:r w:rsidDel="00000000" w:rsidR="00000000" w:rsidRPr="00000000">
          <w:rPr>
            <w:color w:val="0000ee"/>
            <w:u w:val="single"/>
            <w:rtl w:val="0"/>
          </w:rPr>
          <w:t xml:space="preserve"> Category Axis </w:t>
        </w:r>
      </w:hyperlink>
      <w:r w:rsidDel="00000000" w:rsidR="00000000" w:rsidRPr="00000000">
        <w:rPr>
          <w:rtl w:val="0"/>
        </w:rPr>
        <w:t xml:space="preserve"> </w:t>
      </w:r>
      <w:hyperlink r:id="rId53">
        <w:r w:rsidDel="00000000" w:rsidR="00000000" w:rsidRPr="00000000">
          <w:rPr>
            <w:color w:val="0000ee"/>
            <w:u w:val="single"/>
            <w:rtl w:val="0"/>
          </w:rPr>
          <w:t xml:space="preserve"> Logarithmic Axis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axes/#axis-range-settings" TargetMode="External"/><Relationship Id="rId42" Type="http://schemas.openxmlformats.org/officeDocument/2006/relationships/hyperlink" Target="http://docs.google.com/docs/3.9.1/axes/#tick-configuration" TargetMode="External"/><Relationship Id="rId41" Type="http://schemas.openxmlformats.org/officeDocument/2006/relationships/hyperlink" Target="http://docs.google.com/docs/3.9.1/axes/#axis-range-settings" TargetMode="External"/><Relationship Id="rId44" Type="http://schemas.openxmlformats.org/officeDocument/2006/relationships/hyperlink" Target="http://docs.google.com/docs/3.9.1/axes/cartesian/#tick-alignment" TargetMode="External"/><Relationship Id="rId43" Type="http://schemas.openxmlformats.org/officeDocument/2006/relationships/hyperlink" Target="https://developer.mozilla.org/en-US/docs/Web/JavaScript/Reference/Global_Objects/Intl/NumberFormat" TargetMode="External"/><Relationship Id="rId46" Type="http://schemas.openxmlformats.org/officeDocument/2006/relationships/hyperlink" Target="http://docs.google.com/docs/3.9.1/general/padding.html" TargetMode="External"/><Relationship Id="rId45" Type="http://schemas.openxmlformats.org/officeDocument/2006/relationships/hyperlink" Target="http://docs.google.com/docs/3.9.1/general/colo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docs.google.com/docs/3.9.1/general/colors.html" TargetMode="External"/><Relationship Id="rId47" Type="http://schemas.openxmlformats.org/officeDocument/2006/relationships/hyperlink" Target="http://docs.google.com/docs/3.9.1/axes/labelling.html#creating-custom-tick-formats" TargetMode="External"/><Relationship Id="rId49" Type="http://schemas.openxmlformats.org/officeDocument/2006/relationships/hyperlink" Target="http://docs.google.com/docs/3.9.1/general/font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axes/styling.html" TargetMode="External"/><Relationship Id="rId30" Type="http://schemas.openxmlformats.org/officeDocument/2006/relationships/hyperlink" Target="http://docs.google.com/docs/3.9.1/axes/labelling.html" TargetMode="External"/><Relationship Id="rId33" Type="http://schemas.openxmlformats.org/officeDocument/2006/relationships/hyperlink" Target="http://docs.google.com/docs/3.9.1/axes/cartesian/#axis-position" TargetMode="External"/><Relationship Id="rId32" Type="http://schemas.openxmlformats.org/officeDocument/2006/relationships/hyperlink" Target="http://docs.google.com/docs/3.9.1/axes/cartesian/#scale-bounds" TargetMode="External"/><Relationship Id="rId35" Type="http://schemas.openxmlformats.org/officeDocument/2006/relationships/hyperlink" Target="http://docs.google.com/docs/3.9.1/general/colors.html" TargetMode="External"/><Relationship Id="rId34" Type="http://schemas.openxmlformats.org/officeDocument/2006/relationships/hyperlink" Target="http://docs.google.com/docs/3.9.1/axes/labelling.html#scale-title-configuration" TargetMode="External"/><Relationship Id="rId37" Type="http://schemas.openxmlformats.org/officeDocument/2006/relationships/hyperlink" Target="http://docs.google.com/docs/3.9.1/axes/#axis-range-settings" TargetMode="External"/><Relationship Id="rId36" Type="http://schemas.openxmlformats.org/officeDocument/2006/relationships/hyperlink" Target="http://docs.google.com/docs/3.9.1/axes/styling.html#grid-line-configuration" TargetMode="External"/><Relationship Id="rId39" Type="http://schemas.openxmlformats.org/officeDocument/2006/relationships/hyperlink" Target="http://docs.google.com/docs/3.9.1/axes/#stacking" TargetMode="External"/><Relationship Id="rId38" Type="http://schemas.openxmlformats.org/officeDocument/2006/relationships/hyperlink" Target="http://docs.google.com/docs/3.9.1/axes/#axis-range-settings"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xes/cartesian/" TargetMode="External"/><Relationship Id="rId23" Type="http://schemas.openxmlformats.org/officeDocument/2006/relationships/hyperlink" Target="http://docs.google.com/docs/3.9.1/axes/" TargetMode="External"/><Relationship Id="rId26" Type="http://schemas.openxmlformats.org/officeDocument/2006/relationships/hyperlink" Target="http://docs.google.com/docs/3.9.1/axes/cartesian/linear.html" TargetMode="External"/><Relationship Id="rId25" Type="http://schemas.openxmlformats.org/officeDocument/2006/relationships/hyperlink" Target="http://docs.google.com/docs/3.9.1/axes/cartesian/category.html" TargetMode="External"/><Relationship Id="rId28" Type="http://schemas.openxmlformats.org/officeDocument/2006/relationships/hyperlink" Target="http://docs.google.com/docs/3.9.1/axes/cartesian/time.html" TargetMode="External"/><Relationship Id="rId27" Type="http://schemas.openxmlformats.org/officeDocument/2006/relationships/hyperlink" Target="http://docs.google.com/docs/3.9.1/axes/cartesian/logarithmic.html" TargetMode="External"/><Relationship Id="rId29" Type="http://schemas.openxmlformats.org/officeDocument/2006/relationships/hyperlink" Target="http://docs.google.com/docs/3.9.1/axes/cartesian/timeseries.html" TargetMode="External"/><Relationship Id="rId51" Type="http://schemas.openxmlformats.org/officeDocument/2006/relationships/hyperlink" Target="http://docs.google.com/docs/3.9.1/general/colors.html" TargetMode="External"/><Relationship Id="rId50" Type="http://schemas.openxmlformats.org/officeDocument/2006/relationships/hyperlink" Target="http://docs.google.com/docs/3.9.1/axes/styling.html#major-tick-configuration" TargetMode="External"/><Relationship Id="rId53" Type="http://schemas.openxmlformats.org/officeDocument/2006/relationships/hyperlink" Target="http://docs.google.com/docs/3.9.1/axes/cartesian/logarithmic.html" TargetMode="External"/><Relationship Id="rId52" Type="http://schemas.openxmlformats.org/officeDocument/2006/relationships/hyperlink" Target="http://docs.google.com/docs/3.9.1/axes/cartesian/category.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