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Percentiles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in centimeters of individuals from the US (2003-2006) as function of age in years (source: </w:t>
      </w:r>
      <w:hyperlink r:id="rId6">
        <w:r w:rsidDel="00000000" w:rsidR="00000000" w:rsidRPr="00000000">
          <w:rPr>
            <w:color w:val="0000ee"/>
            <w:u w:val="single"/>
            <w:rtl w:val="0"/>
          </w:rPr>
          <w:t xml:space="preserve">CDC</w:t>
        </w:r>
      </w:hyperlink>
      <w:r w:rsidDel="00000000" w:rsidR="00000000" w:rsidRPr="00000000">
        <w:rPr>
          <w:rtl w:val="0"/>
        </w:rPr>
        <w:t xml:space="preserve">). The 15%-85%, 25%-75% and 50% percentiles are indicated.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point of a filled curve, you can specify an arbitrary bottom. As this example illustrates, this can be useful for plotting percentiles. If you have the data sets available without appropriate fill bottoms, you can use the fillbetween plugin to compute the data point bottoms automatically.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dc.gov/nchs/data/nhsr/nhsr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