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DD8E5" w14:textId="77777777" w:rsidR="008F5B71" w:rsidRDefault="008F5B71" w:rsidP="00D40930">
      <w:pPr>
        <w:pStyle w:val="Title1"/>
        <w:rPr>
          <w:lang w:val="en"/>
        </w:rPr>
      </w:pPr>
    </w:p>
    <w:p w14:paraId="3347BA5F" w14:textId="77777777" w:rsidR="00265A49" w:rsidRDefault="00265A49" w:rsidP="00D40930">
      <w:pPr>
        <w:pStyle w:val="Title1"/>
        <w:rPr>
          <w:lang w:val="en"/>
        </w:rPr>
      </w:pPr>
    </w:p>
    <w:p w14:paraId="354612FA" w14:textId="77777777" w:rsidR="00E8125E" w:rsidRDefault="00E8125E" w:rsidP="0045461B">
      <w:pPr>
        <w:pStyle w:val="Title1"/>
      </w:pPr>
    </w:p>
    <w:p w14:paraId="5DDA1B2C" w14:textId="470511AC" w:rsidR="00BC5A36" w:rsidRPr="00D40930" w:rsidRDefault="00D40930" w:rsidP="00D40930">
      <w:pPr>
        <w:pStyle w:val="Title1"/>
      </w:pPr>
      <w:r w:rsidRPr="00D40930">
        <w:t>Project 1</w:t>
      </w:r>
      <w:r w:rsidR="0045461B">
        <w:t xml:space="preserve">: </w:t>
      </w:r>
      <w:r w:rsidRPr="00D40930">
        <w:t>Industry sector selection using ChatGPT and Data Exploratory Analysis</w:t>
      </w:r>
    </w:p>
    <w:p w14:paraId="25171320" w14:textId="107E4416" w:rsidR="00BC5A36" w:rsidRDefault="00D40930" w:rsidP="005F2135">
      <w:pPr>
        <w:pStyle w:val="Subtitle1"/>
        <w:ind w:left="0"/>
      </w:pPr>
      <w:r>
        <w:t>FIN</w:t>
      </w:r>
      <w:r w:rsidR="00BC5A36" w:rsidRPr="00BC5A36">
        <w:t xml:space="preserve"> 63</w:t>
      </w:r>
      <w:r>
        <w:t>07</w:t>
      </w:r>
      <w:r w:rsidR="00BC5A36" w:rsidRPr="00BC5A36">
        <w:t xml:space="preserve">.501 - </w:t>
      </w:r>
      <w:r w:rsidRPr="00D40930">
        <w:t>Mathematical Methods for Finance</w:t>
      </w:r>
      <w:r w:rsidR="00BC5A36" w:rsidRPr="00BC5A36">
        <w:t xml:space="preserve"> - </w:t>
      </w:r>
      <w:r>
        <w:t>F</w:t>
      </w:r>
      <w:r w:rsidR="00BC5A36" w:rsidRPr="00BC5A36">
        <w:t>25</w:t>
      </w:r>
    </w:p>
    <w:p w14:paraId="7B398FA6" w14:textId="77777777" w:rsidR="00F24AEE" w:rsidRDefault="00F24AEE" w:rsidP="005F2135">
      <w:pPr>
        <w:pStyle w:val="Subtitle1"/>
        <w:ind w:left="0"/>
      </w:pPr>
    </w:p>
    <w:p w14:paraId="25A9FE48" w14:textId="1E9E5BE1" w:rsidR="005A6BA3" w:rsidRDefault="005A6BA3" w:rsidP="00AA1147">
      <w:pPr>
        <w:pStyle w:val="Subtitle1"/>
      </w:pPr>
    </w:p>
    <w:p w14:paraId="6BAFFDF1" w14:textId="77777777" w:rsidR="00C21DC8" w:rsidRDefault="00C21DC8" w:rsidP="00AA1147">
      <w:pPr>
        <w:pStyle w:val="Subtitle1"/>
      </w:pPr>
    </w:p>
    <w:p w14:paraId="017D0BF0" w14:textId="77777777" w:rsidR="00C21DC8" w:rsidRDefault="00C21DC8" w:rsidP="00AA1147">
      <w:pPr>
        <w:pStyle w:val="Subtitle1"/>
      </w:pPr>
    </w:p>
    <w:p w14:paraId="6545DCF9" w14:textId="77777777" w:rsidR="00C21DC8" w:rsidRDefault="00C21DC8" w:rsidP="00AA1147">
      <w:pPr>
        <w:pStyle w:val="Subtitle1"/>
      </w:pPr>
    </w:p>
    <w:p w14:paraId="6816D188" w14:textId="77777777" w:rsidR="00C21DC8" w:rsidRDefault="00C21DC8" w:rsidP="00AF1664">
      <w:pPr>
        <w:pStyle w:val="Subtitle1"/>
        <w:ind w:left="0"/>
        <w:jc w:val="left"/>
      </w:pPr>
    </w:p>
    <w:p w14:paraId="683592A2" w14:textId="77777777" w:rsidR="00C21DC8" w:rsidRDefault="00C21DC8" w:rsidP="00AA1147">
      <w:pPr>
        <w:pStyle w:val="Subtitle1"/>
      </w:pPr>
    </w:p>
    <w:p w14:paraId="0C85617D" w14:textId="37BD8EBE" w:rsidR="00D40FD2" w:rsidRPr="005F2135" w:rsidRDefault="00D40FD2" w:rsidP="005F2135">
      <w:pPr>
        <w:spacing w:line="240" w:lineRule="auto"/>
        <w:jc w:val="center"/>
        <w:rPr>
          <w:b/>
          <w:bCs/>
          <w:color w:val="215E99" w:themeColor="text2" w:themeTint="BF"/>
          <w:sz w:val="32"/>
          <w:szCs w:val="36"/>
        </w:rPr>
      </w:pPr>
      <w:r w:rsidRPr="005F2135">
        <w:rPr>
          <w:b/>
          <w:bCs/>
          <w:color w:val="215E99" w:themeColor="text2" w:themeTint="BF"/>
          <w:sz w:val="32"/>
          <w:szCs w:val="36"/>
        </w:rPr>
        <w:t xml:space="preserve">By </w:t>
      </w:r>
      <w:r w:rsidR="00D40930">
        <w:rPr>
          <w:b/>
          <w:bCs/>
          <w:color w:val="215E99" w:themeColor="text2" w:themeTint="BF"/>
          <w:sz w:val="32"/>
          <w:szCs w:val="36"/>
        </w:rPr>
        <w:t>Group 6</w:t>
      </w:r>
    </w:p>
    <w:p w14:paraId="4A35ECCE" w14:textId="7C18405C" w:rsidR="00D40FD2" w:rsidRPr="005F2135" w:rsidRDefault="00D40FD2" w:rsidP="005F2135">
      <w:pPr>
        <w:spacing w:line="240" w:lineRule="auto"/>
        <w:jc w:val="center"/>
        <w:rPr>
          <w:color w:val="215E99" w:themeColor="text2" w:themeTint="BF"/>
          <w:sz w:val="28"/>
          <w:szCs w:val="32"/>
        </w:rPr>
      </w:pPr>
      <w:r w:rsidRPr="005F2135">
        <w:rPr>
          <w:color w:val="215E99" w:themeColor="text2" w:themeTint="BF"/>
          <w:sz w:val="28"/>
          <w:szCs w:val="32"/>
        </w:rPr>
        <w:t>Priyadarshan Parida</w:t>
      </w:r>
      <w:r w:rsidR="00A24B99">
        <w:rPr>
          <w:color w:val="215E99" w:themeColor="text2" w:themeTint="BF"/>
          <w:sz w:val="28"/>
          <w:szCs w:val="32"/>
        </w:rPr>
        <w:t xml:space="preserve"> (PXP230068)</w:t>
      </w:r>
    </w:p>
    <w:p w14:paraId="42EA0232" w14:textId="2D3D6976" w:rsidR="00C21DC8" w:rsidRPr="005F2135" w:rsidRDefault="00C21DC8" w:rsidP="005F2135">
      <w:pPr>
        <w:spacing w:line="240" w:lineRule="auto"/>
        <w:jc w:val="center"/>
        <w:rPr>
          <w:color w:val="215E99" w:themeColor="text2" w:themeTint="BF"/>
          <w:sz w:val="28"/>
          <w:szCs w:val="32"/>
        </w:rPr>
      </w:pPr>
      <w:r>
        <w:rPr>
          <w:color w:val="215E99" w:themeColor="text2" w:themeTint="BF"/>
          <w:sz w:val="28"/>
          <w:szCs w:val="32"/>
        </w:rPr>
        <w:t>Sunayana Jana</w:t>
      </w:r>
      <w:r w:rsidR="00A24B99">
        <w:rPr>
          <w:color w:val="215E99" w:themeColor="text2" w:themeTint="BF"/>
          <w:sz w:val="28"/>
          <w:szCs w:val="32"/>
        </w:rPr>
        <w:t xml:space="preserve"> (SXJ230076)</w:t>
      </w:r>
    </w:p>
    <w:p w14:paraId="6655B07C" w14:textId="77777777" w:rsidR="00BA7F71" w:rsidRDefault="00BA7F71" w:rsidP="00AA1147">
      <w:pPr>
        <w:pStyle w:val="Subtitle1"/>
      </w:pPr>
    </w:p>
    <w:p w14:paraId="16D2EA13" w14:textId="77777777" w:rsidR="00D40930" w:rsidRDefault="00D40930" w:rsidP="00AA1147">
      <w:pPr>
        <w:pStyle w:val="Subtitle1"/>
      </w:pPr>
    </w:p>
    <w:p w14:paraId="78E499E3" w14:textId="77777777" w:rsidR="00D40930" w:rsidRDefault="00D40930" w:rsidP="00AA1147">
      <w:pPr>
        <w:pStyle w:val="Subtitle1"/>
      </w:pPr>
    </w:p>
    <w:p w14:paraId="28D73490" w14:textId="77777777" w:rsidR="00E06137" w:rsidRDefault="00E06137" w:rsidP="00AA1147">
      <w:pPr>
        <w:pStyle w:val="Subtitle1"/>
      </w:pPr>
    </w:p>
    <w:p w14:paraId="4E369704" w14:textId="77777777" w:rsidR="00E06137" w:rsidRPr="00D40FD2" w:rsidRDefault="00E06137" w:rsidP="00AA1147">
      <w:pPr>
        <w:pStyle w:val="Subtitle1"/>
      </w:pPr>
    </w:p>
    <w:sdt>
      <w:sdtPr>
        <w:rPr>
          <w:rFonts w:asciiTheme="minorHAnsi" w:eastAsiaTheme="minorHAnsi" w:hAnsiTheme="minorHAnsi" w:cstheme="minorBidi"/>
          <w:b w:val="0"/>
          <w:bCs w:val="0"/>
          <w:color w:val="auto"/>
          <w:kern w:val="2"/>
          <w:sz w:val="22"/>
          <w:szCs w:val="24"/>
          <w14:ligatures w14:val="standardContextual"/>
        </w:rPr>
        <w:id w:val="-1678176492"/>
        <w:docPartObj>
          <w:docPartGallery w:val="Table of Contents"/>
          <w:docPartUnique/>
        </w:docPartObj>
      </w:sdtPr>
      <w:sdtEndPr>
        <w:rPr>
          <w:noProof/>
        </w:rPr>
      </w:sdtEndPr>
      <w:sdtContent>
        <w:p w14:paraId="20AC16E5" w14:textId="1B0BA140" w:rsidR="0055239F" w:rsidRPr="00D8631D" w:rsidRDefault="0055239F">
          <w:pPr>
            <w:pStyle w:val="TOCHeading"/>
          </w:pPr>
          <w:r w:rsidRPr="00D8631D">
            <w:t>Table of Content</w:t>
          </w:r>
          <w:r w:rsidR="008F64D1" w:rsidRPr="00D8631D">
            <w:t>s</w:t>
          </w:r>
        </w:p>
        <w:p w14:paraId="3FAEED53" w14:textId="23E35D67" w:rsidR="00D8631D" w:rsidRPr="00D8631D" w:rsidRDefault="0055239F">
          <w:pPr>
            <w:pStyle w:val="TOC1"/>
            <w:tabs>
              <w:tab w:val="right" w:leader="dot" w:pos="9350"/>
            </w:tabs>
            <w:rPr>
              <w:rFonts w:eastAsiaTheme="minorEastAsia"/>
              <w:b w:val="0"/>
              <w:bCs w:val="0"/>
              <w:i w:val="0"/>
              <w:iCs w:val="0"/>
              <w:noProof/>
            </w:rPr>
          </w:pPr>
          <w:r w:rsidRPr="00D8631D">
            <w:rPr>
              <w:b w:val="0"/>
              <w:bCs w:val="0"/>
              <w:i w:val="0"/>
              <w:iCs w:val="0"/>
            </w:rPr>
            <w:fldChar w:fldCharType="begin"/>
          </w:r>
          <w:r w:rsidRPr="00D8631D">
            <w:rPr>
              <w:i w:val="0"/>
              <w:iCs w:val="0"/>
            </w:rPr>
            <w:instrText xml:space="preserve"> TOC \o "1-3" \h \z \u </w:instrText>
          </w:r>
          <w:r w:rsidRPr="00D8631D">
            <w:rPr>
              <w:b w:val="0"/>
              <w:bCs w:val="0"/>
              <w:i w:val="0"/>
              <w:iCs w:val="0"/>
            </w:rPr>
            <w:fldChar w:fldCharType="separate"/>
          </w:r>
          <w:hyperlink w:anchor="_Toc212322821" w:history="1">
            <w:r w:rsidR="00D8631D" w:rsidRPr="00D8631D">
              <w:rPr>
                <w:rStyle w:val="Hyperlink"/>
                <w:i w:val="0"/>
                <w:iCs w:val="0"/>
                <w:noProof/>
              </w:rPr>
              <w:t>1. Introduction</w:t>
            </w:r>
            <w:r w:rsidR="00D8631D" w:rsidRPr="00D8631D">
              <w:rPr>
                <w:i w:val="0"/>
                <w:iCs w:val="0"/>
                <w:noProof/>
                <w:webHidden/>
              </w:rPr>
              <w:tab/>
            </w:r>
            <w:r w:rsidR="00D8631D" w:rsidRPr="00D8631D">
              <w:rPr>
                <w:i w:val="0"/>
                <w:iCs w:val="0"/>
                <w:noProof/>
                <w:webHidden/>
              </w:rPr>
              <w:fldChar w:fldCharType="begin"/>
            </w:r>
            <w:r w:rsidR="00D8631D" w:rsidRPr="00D8631D">
              <w:rPr>
                <w:i w:val="0"/>
                <w:iCs w:val="0"/>
                <w:noProof/>
                <w:webHidden/>
              </w:rPr>
              <w:instrText xml:space="preserve"> PAGEREF _Toc212322821 \h </w:instrText>
            </w:r>
            <w:r w:rsidR="00D8631D" w:rsidRPr="00D8631D">
              <w:rPr>
                <w:i w:val="0"/>
                <w:iCs w:val="0"/>
                <w:noProof/>
                <w:webHidden/>
              </w:rPr>
            </w:r>
            <w:r w:rsidR="00D8631D" w:rsidRPr="00D8631D">
              <w:rPr>
                <w:i w:val="0"/>
                <w:iCs w:val="0"/>
                <w:noProof/>
                <w:webHidden/>
              </w:rPr>
              <w:fldChar w:fldCharType="separate"/>
            </w:r>
            <w:r w:rsidR="00D8631D" w:rsidRPr="00D8631D">
              <w:rPr>
                <w:i w:val="0"/>
                <w:iCs w:val="0"/>
                <w:noProof/>
                <w:webHidden/>
              </w:rPr>
              <w:t>3</w:t>
            </w:r>
            <w:r w:rsidR="00D8631D" w:rsidRPr="00D8631D">
              <w:rPr>
                <w:i w:val="0"/>
                <w:iCs w:val="0"/>
                <w:noProof/>
                <w:webHidden/>
              </w:rPr>
              <w:fldChar w:fldCharType="end"/>
            </w:r>
          </w:hyperlink>
        </w:p>
        <w:p w14:paraId="34D3519C" w14:textId="12DC059A" w:rsidR="00D8631D" w:rsidRPr="00D8631D" w:rsidRDefault="00D8631D">
          <w:pPr>
            <w:pStyle w:val="TOC1"/>
            <w:tabs>
              <w:tab w:val="right" w:leader="dot" w:pos="9350"/>
            </w:tabs>
            <w:rPr>
              <w:rFonts w:eastAsiaTheme="minorEastAsia"/>
              <w:b w:val="0"/>
              <w:bCs w:val="0"/>
              <w:i w:val="0"/>
              <w:iCs w:val="0"/>
              <w:noProof/>
            </w:rPr>
          </w:pPr>
          <w:hyperlink w:anchor="_Toc212322822" w:history="1">
            <w:r w:rsidRPr="00D8631D">
              <w:rPr>
                <w:rStyle w:val="Hyperlink"/>
                <w:i w:val="0"/>
                <w:iCs w:val="0"/>
                <w:noProof/>
              </w:rPr>
              <w:t>2. Industry Sector, Stock, and Analysis Framework Selection</w:t>
            </w:r>
            <w:r w:rsidRPr="00D8631D">
              <w:rPr>
                <w:i w:val="0"/>
                <w:iCs w:val="0"/>
                <w:noProof/>
                <w:webHidden/>
              </w:rPr>
              <w:tab/>
            </w:r>
            <w:r w:rsidRPr="00D8631D">
              <w:rPr>
                <w:i w:val="0"/>
                <w:iCs w:val="0"/>
                <w:noProof/>
                <w:webHidden/>
              </w:rPr>
              <w:fldChar w:fldCharType="begin"/>
            </w:r>
            <w:r w:rsidRPr="00D8631D">
              <w:rPr>
                <w:i w:val="0"/>
                <w:iCs w:val="0"/>
                <w:noProof/>
                <w:webHidden/>
              </w:rPr>
              <w:instrText xml:space="preserve"> PAGEREF _Toc212322822 \h </w:instrText>
            </w:r>
            <w:r w:rsidRPr="00D8631D">
              <w:rPr>
                <w:i w:val="0"/>
                <w:iCs w:val="0"/>
                <w:noProof/>
                <w:webHidden/>
              </w:rPr>
            </w:r>
            <w:r w:rsidRPr="00D8631D">
              <w:rPr>
                <w:i w:val="0"/>
                <w:iCs w:val="0"/>
                <w:noProof/>
                <w:webHidden/>
              </w:rPr>
              <w:fldChar w:fldCharType="separate"/>
            </w:r>
            <w:r w:rsidRPr="00D8631D">
              <w:rPr>
                <w:i w:val="0"/>
                <w:iCs w:val="0"/>
                <w:noProof/>
                <w:webHidden/>
              </w:rPr>
              <w:t>3</w:t>
            </w:r>
            <w:r w:rsidRPr="00D8631D">
              <w:rPr>
                <w:i w:val="0"/>
                <w:iCs w:val="0"/>
                <w:noProof/>
                <w:webHidden/>
              </w:rPr>
              <w:fldChar w:fldCharType="end"/>
            </w:r>
          </w:hyperlink>
        </w:p>
        <w:p w14:paraId="29EE99F3" w14:textId="3FAFBD90" w:rsidR="00D8631D" w:rsidRPr="00D8631D" w:rsidRDefault="00D8631D">
          <w:pPr>
            <w:pStyle w:val="TOC1"/>
            <w:tabs>
              <w:tab w:val="right" w:leader="dot" w:pos="9350"/>
            </w:tabs>
            <w:rPr>
              <w:rFonts w:eastAsiaTheme="minorEastAsia"/>
              <w:b w:val="0"/>
              <w:bCs w:val="0"/>
              <w:i w:val="0"/>
              <w:iCs w:val="0"/>
              <w:noProof/>
            </w:rPr>
          </w:pPr>
          <w:hyperlink w:anchor="_Toc212322823" w:history="1">
            <w:r w:rsidRPr="00D8631D">
              <w:rPr>
                <w:rStyle w:val="Hyperlink"/>
                <w:i w:val="0"/>
                <w:iCs w:val="0"/>
                <w:noProof/>
              </w:rPr>
              <w:t>3. Data Collection and Exploratory Analysis</w:t>
            </w:r>
            <w:r w:rsidRPr="00D8631D">
              <w:rPr>
                <w:i w:val="0"/>
                <w:iCs w:val="0"/>
                <w:noProof/>
                <w:webHidden/>
              </w:rPr>
              <w:tab/>
            </w:r>
            <w:r w:rsidRPr="00D8631D">
              <w:rPr>
                <w:i w:val="0"/>
                <w:iCs w:val="0"/>
                <w:noProof/>
                <w:webHidden/>
              </w:rPr>
              <w:fldChar w:fldCharType="begin"/>
            </w:r>
            <w:r w:rsidRPr="00D8631D">
              <w:rPr>
                <w:i w:val="0"/>
                <w:iCs w:val="0"/>
                <w:noProof/>
                <w:webHidden/>
              </w:rPr>
              <w:instrText xml:space="preserve"> PAGEREF _Toc212322823 \h </w:instrText>
            </w:r>
            <w:r w:rsidRPr="00D8631D">
              <w:rPr>
                <w:i w:val="0"/>
                <w:iCs w:val="0"/>
                <w:noProof/>
                <w:webHidden/>
              </w:rPr>
            </w:r>
            <w:r w:rsidRPr="00D8631D">
              <w:rPr>
                <w:i w:val="0"/>
                <w:iCs w:val="0"/>
                <w:noProof/>
                <w:webHidden/>
              </w:rPr>
              <w:fldChar w:fldCharType="separate"/>
            </w:r>
            <w:r w:rsidRPr="00D8631D">
              <w:rPr>
                <w:i w:val="0"/>
                <w:iCs w:val="0"/>
                <w:noProof/>
                <w:webHidden/>
              </w:rPr>
              <w:t>6</w:t>
            </w:r>
            <w:r w:rsidRPr="00D8631D">
              <w:rPr>
                <w:i w:val="0"/>
                <w:iCs w:val="0"/>
                <w:noProof/>
                <w:webHidden/>
              </w:rPr>
              <w:fldChar w:fldCharType="end"/>
            </w:r>
          </w:hyperlink>
        </w:p>
        <w:p w14:paraId="4194D5AB" w14:textId="54984E69" w:rsidR="00D8631D" w:rsidRPr="00D8631D" w:rsidRDefault="00D8631D">
          <w:pPr>
            <w:pStyle w:val="TOC2"/>
            <w:tabs>
              <w:tab w:val="right" w:leader="dot" w:pos="9350"/>
            </w:tabs>
            <w:rPr>
              <w:rFonts w:eastAsiaTheme="minorEastAsia"/>
              <w:b w:val="0"/>
              <w:bCs w:val="0"/>
              <w:noProof/>
              <w:sz w:val="24"/>
              <w:szCs w:val="24"/>
            </w:rPr>
          </w:pPr>
          <w:hyperlink w:anchor="_Toc212322824" w:history="1">
            <w:r w:rsidRPr="00D8631D">
              <w:rPr>
                <w:rStyle w:val="Hyperlink"/>
                <w:b w:val="0"/>
                <w:bCs w:val="0"/>
                <w:noProof/>
              </w:rPr>
              <w:t>(a) Descriptive Analytics of Stock Returns</w:t>
            </w:r>
            <w:r w:rsidRPr="00D8631D">
              <w:rPr>
                <w:b w:val="0"/>
                <w:bCs w:val="0"/>
                <w:noProof/>
                <w:webHidden/>
              </w:rPr>
              <w:tab/>
            </w:r>
            <w:r w:rsidRPr="00D8631D">
              <w:rPr>
                <w:b w:val="0"/>
                <w:bCs w:val="0"/>
                <w:noProof/>
                <w:webHidden/>
              </w:rPr>
              <w:fldChar w:fldCharType="begin"/>
            </w:r>
            <w:r w:rsidRPr="00D8631D">
              <w:rPr>
                <w:b w:val="0"/>
                <w:bCs w:val="0"/>
                <w:noProof/>
                <w:webHidden/>
              </w:rPr>
              <w:instrText xml:space="preserve"> PAGEREF _Toc212322824 \h </w:instrText>
            </w:r>
            <w:r w:rsidRPr="00D8631D">
              <w:rPr>
                <w:b w:val="0"/>
                <w:bCs w:val="0"/>
                <w:noProof/>
                <w:webHidden/>
              </w:rPr>
            </w:r>
            <w:r w:rsidRPr="00D8631D">
              <w:rPr>
                <w:b w:val="0"/>
                <w:bCs w:val="0"/>
                <w:noProof/>
                <w:webHidden/>
              </w:rPr>
              <w:fldChar w:fldCharType="separate"/>
            </w:r>
            <w:r w:rsidRPr="00D8631D">
              <w:rPr>
                <w:b w:val="0"/>
                <w:bCs w:val="0"/>
                <w:noProof/>
                <w:webHidden/>
              </w:rPr>
              <w:t>6</w:t>
            </w:r>
            <w:r w:rsidRPr="00D8631D">
              <w:rPr>
                <w:b w:val="0"/>
                <w:bCs w:val="0"/>
                <w:noProof/>
                <w:webHidden/>
              </w:rPr>
              <w:fldChar w:fldCharType="end"/>
            </w:r>
          </w:hyperlink>
        </w:p>
        <w:p w14:paraId="05D5EB86" w14:textId="4181F85B" w:rsidR="00D8631D" w:rsidRPr="00D8631D" w:rsidRDefault="00D8631D">
          <w:pPr>
            <w:pStyle w:val="TOC2"/>
            <w:tabs>
              <w:tab w:val="right" w:leader="dot" w:pos="9350"/>
            </w:tabs>
            <w:rPr>
              <w:rFonts w:eastAsiaTheme="minorEastAsia"/>
              <w:b w:val="0"/>
              <w:bCs w:val="0"/>
              <w:noProof/>
              <w:sz w:val="24"/>
              <w:szCs w:val="24"/>
            </w:rPr>
          </w:pPr>
          <w:hyperlink w:anchor="_Toc212322825" w:history="1">
            <w:r w:rsidRPr="00D8631D">
              <w:rPr>
                <w:rStyle w:val="Hyperlink"/>
                <w:b w:val="0"/>
                <w:bCs w:val="0"/>
                <w:noProof/>
              </w:rPr>
              <w:t>(b) Covariance and Correlation Analysis</w:t>
            </w:r>
            <w:r w:rsidRPr="00D8631D">
              <w:rPr>
                <w:b w:val="0"/>
                <w:bCs w:val="0"/>
                <w:noProof/>
                <w:webHidden/>
              </w:rPr>
              <w:tab/>
            </w:r>
            <w:r w:rsidRPr="00D8631D">
              <w:rPr>
                <w:b w:val="0"/>
                <w:bCs w:val="0"/>
                <w:noProof/>
                <w:webHidden/>
              </w:rPr>
              <w:fldChar w:fldCharType="begin"/>
            </w:r>
            <w:r w:rsidRPr="00D8631D">
              <w:rPr>
                <w:b w:val="0"/>
                <w:bCs w:val="0"/>
                <w:noProof/>
                <w:webHidden/>
              </w:rPr>
              <w:instrText xml:space="preserve"> PAGEREF _Toc212322825 \h </w:instrText>
            </w:r>
            <w:r w:rsidRPr="00D8631D">
              <w:rPr>
                <w:b w:val="0"/>
                <w:bCs w:val="0"/>
                <w:noProof/>
                <w:webHidden/>
              </w:rPr>
            </w:r>
            <w:r w:rsidRPr="00D8631D">
              <w:rPr>
                <w:b w:val="0"/>
                <w:bCs w:val="0"/>
                <w:noProof/>
                <w:webHidden/>
              </w:rPr>
              <w:fldChar w:fldCharType="separate"/>
            </w:r>
            <w:r w:rsidRPr="00D8631D">
              <w:rPr>
                <w:b w:val="0"/>
                <w:bCs w:val="0"/>
                <w:noProof/>
                <w:webHidden/>
              </w:rPr>
              <w:t>9</w:t>
            </w:r>
            <w:r w:rsidRPr="00D8631D">
              <w:rPr>
                <w:b w:val="0"/>
                <w:bCs w:val="0"/>
                <w:noProof/>
                <w:webHidden/>
              </w:rPr>
              <w:fldChar w:fldCharType="end"/>
            </w:r>
          </w:hyperlink>
        </w:p>
        <w:p w14:paraId="7AB92474" w14:textId="4FCCB108" w:rsidR="00D8631D" w:rsidRPr="00D8631D" w:rsidRDefault="00D8631D">
          <w:pPr>
            <w:pStyle w:val="TOC2"/>
            <w:tabs>
              <w:tab w:val="right" w:leader="dot" w:pos="9350"/>
            </w:tabs>
            <w:rPr>
              <w:rFonts w:eastAsiaTheme="minorEastAsia"/>
              <w:b w:val="0"/>
              <w:bCs w:val="0"/>
              <w:noProof/>
              <w:sz w:val="24"/>
              <w:szCs w:val="24"/>
            </w:rPr>
          </w:pPr>
          <w:hyperlink w:anchor="_Toc212322826" w:history="1">
            <w:r w:rsidRPr="00D8631D">
              <w:rPr>
                <w:rStyle w:val="Hyperlink"/>
                <w:b w:val="0"/>
                <w:bCs w:val="0"/>
                <w:noProof/>
              </w:rPr>
              <w:t>(c) Stock Returns and Financial Fundamentals Relationship Analysis</w:t>
            </w:r>
            <w:r w:rsidRPr="00D8631D">
              <w:rPr>
                <w:b w:val="0"/>
                <w:bCs w:val="0"/>
                <w:noProof/>
                <w:webHidden/>
              </w:rPr>
              <w:tab/>
            </w:r>
            <w:r w:rsidRPr="00D8631D">
              <w:rPr>
                <w:b w:val="0"/>
                <w:bCs w:val="0"/>
                <w:noProof/>
                <w:webHidden/>
              </w:rPr>
              <w:fldChar w:fldCharType="begin"/>
            </w:r>
            <w:r w:rsidRPr="00D8631D">
              <w:rPr>
                <w:b w:val="0"/>
                <w:bCs w:val="0"/>
                <w:noProof/>
                <w:webHidden/>
              </w:rPr>
              <w:instrText xml:space="preserve"> PAGEREF _Toc212322826 \h </w:instrText>
            </w:r>
            <w:r w:rsidRPr="00D8631D">
              <w:rPr>
                <w:b w:val="0"/>
                <w:bCs w:val="0"/>
                <w:noProof/>
                <w:webHidden/>
              </w:rPr>
            </w:r>
            <w:r w:rsidRPr="00D8631D">
              <w:rPr>
                <w:b w:val="0"/>
                <w:bCs w:val="0"/>
                <w:noProof/>
                <w:webHidden/>
              </w:rPr>
              <w:fldChar w:fldCharType="separate"/>
            </w:r>
            <w:r w:rsidRPr="00D8631D">
              <w:rPr>
                <w:b w:val="0"/>
                <w:bCs w:val="0"/>
                <w:noProof/>
                <w:webHidden/>
              </w:rPr>
              <w:t>10</w:t>
            </w:r>
            <w:r w:rsidRPr="00D8631D">
              <w:rPr>
                <w:b w:val="0"/>
                <w:bCs w:val="0"/>
                <w:noProof/>
                <w:webHidden/>
              </w:rPr>
              <w:fldChar w:fldCharType="end"/>
            </w:r>
          </w:hyperlink>
        </w:p>
        <w:p w14:paraId="2BB87FDC" w14:textId="5DB7204B" w:rsidR="00D8631D" w:rsidRPr="00D8631D" w:rsidRDefault="00D8631D">
          <w:pPr>
            <w:pStyle w:val="TOC2"/>
            <w:tabs>
              <w:tab w:val="right" w:leader="dot" w:pos="9350"/>
            </w:tabs>
            <w:rPr>
              <w:rFonts w:eastAsiaTheme="minorEastAsia"/>
              <w:b w:val="0"/>
              <w:bCs w:val="0"/>
              <w:noProof/>
              <w:sz w:val="24"/>
              <w:szCs w:val="24"/>
            </w:rPr>
          </w:pPr>
          <w:hyperlink w:anchor="_Toc212322827" w:history="1">
            <w:r w:rsidRPr="00D8631D">
              <w:rPr>
                <w:rStyle w:val="Hyperlink"/>
                <w:b w:val="0"/>
                <w:bCs w:val="0"/>
                <w:noProof/>
              </w:rPr>
              <w:t>(d) Equal-weighted Portfolio Construction &amp; Performance Analysis</w:t>
            </w:r>
            <w:r w:rsidRPr="00D8631D">
              <w:rPr>
                <w:b w:val="0"/>
                <w:bCs w:val="0"/>
                <w:noProof/>
                <w:webHidden/>
              </w:rPr>
              <w:tab/>
            </w:r>
            <w:r w:rsidRPr="00D8631D">
              <w:rPr>
                <w:b w:val="0"/>
                <w:bCs w:val="0"/>
                <w:noProof/>
                <w:webHidden/>
              </w:rPr>
              <w:fldChar w:fldCharType="begin"/>
            </w:r>
            <w:r w:rsidRPr="00D8631D">
              <w:rPr>
                <w:b w:val="0"/>
                <w:bCs w:val="0"/>
                <w:noProof/>
                <w:webHidden/>
              </w:rPr>
              <w:instrText xml:space="preserve"> PAGEREF _Toc212322827 \h </w:instrText>
            </w:r>
            <w:r w:rsidRPr="00D8631D">
              <w:rPr>
                <w:b w:val="0"/>
                <w:bCs w:val="0"/>
                <w:noProof/>
                <w:webHidden/>
              </w:rPr>
            </w:r>
            <w:r w:rsidRPr="00D8631D">
              <w:rPr>
                <w:b w:val="0"/>
                <w:bCs w:val="0"/>
                <w:noProof/>
                <w:webHidden/>
              </w:rPr>
              <w:fldChar w:fldCharType="separate"/>
            </w:r>
            <w:r w:rsidRPr="00D8631D">
              <w:rPr>
                <w:b w:val="0"/>
                <w:bCs w:val="0"/>
                <w:noProof/>
                <w:webHidden/>
              </w:rPr>
              <w:t>12</w:t>
            </w:r>
            <w:r w:rsidRPr="00D8631D">
              <w:rPr>
                <w:b w:val="0"/>
                <w:bCs w:val="0"/>
                <w:noProof/>
                <w:webHidden/>
              </w:rPr>
              <w:fldChar w:fldCharType="end"/>
            </w:r>
          </w:hyperlink>
        </w:p>
        <w:p w14:paraId="600DEF37" w14:textId="3134AF8A" w:rsidR="00D8631D" w:rsidRPr="00D8631D" w:rsidRDefault="00D8631D">
          <w:pPr>
            <w:pStyle w:val="TOC2"/>
            <w:tabs>
              <w:tab w:val="right" w:leader="dot" w:pos="9350"/>
            </w:tabs>
            <w:rPr>
              <w:rFonts w:eastAsiaTheme="minorEastAsia"/>
              <w:b w:val="0"/>
              <w:bCs w:val="0"/>
              <w:noProof/>
              <w:sz w:val="24"/>
              <w:szCs w:val="24"/>
            </w:rPr>
          </w:pPr>
          <w:hyperlink w:anchor="_Toc212322828" w:history="1">
            <w:r w:rsidRPr="00D8631D">
              <w:rPr>
                <w:rStyle w:val="Hyperlink"/>
                <w:b w:val="0"/>
                <w:bCs w:val="0"/>
                <w:noProof/>
              </w:rPr>
              <w:t>(e) Optimal Portfolio Analysis Construction &amp; Performance Analysis</w:t>
            </w:r>
            <w:r w:rsidRPr="00D8631D">
              <w:rPr>
                <w:b w:val="0"/>
                <w:bCs w:val="0"/>
                <w:noProof/>
                <w:webHidden/>
              </w:rPr>
              <w:tab/>
            </w:r>
            <w:r w:rsidRPr="00D8631D">
              <w:rPr>
                <w:b w:val="0"/>
                <w:bCs w:val="0"/>
                <w:noProof/>
                <w:webHidden/>
              </w:rPr>
              <w:fldChar w:fldCharType="begin"/>
            </w:r>
            <w:r w:rsidRPr="00D8631D">
              <w:rPr>
                <w:b w:val="0"/>
                <w:bCs w:val="0"/>
                <w:noProof/>
                <w:webHidden/>
              </w:rPr>
              <w:instrText xml:space="preserve"> PAGEREF _Toc212322828 \h </w:instrText>
            </w:r>
            <w:r w:rsidRPr="00D8631D">
              <w:rPr>
                <w:b w:val="0"/>
                <w:bCs w:val="0"/>
                <w:noProof/>
                <w:webHidden/>
              </w:rPr>
            </w:r>
            <w:r w:rsidRPr="00D8631D">
              <w:rPr>
                <w:b w:val="0"/>
                <w:bCs w:val="0"/>
                <w:noProof/>
                <w:webHidden/>
              </w:rPr>
              <w:fldChar w:fldCharType="separate"/>
            </w:r>
            <w:r w:rsidRPr="00D8631D">
              <w:rPr>
                <w:b w:val="0"/>
                <w:bCs w:val="0"/>
                <w:noProof/>
                <w:webHidden/>
              </w:rPr>
              <w:t>13</w:t>
            </w:r>
            <w:r w:rsidRPr="00D8631D">
              <w:rPr>
                <w:b w:val="0"/>
                <w:bCs w:val="0"/>
                <w:noProof/>
                <w:webHidden/>
              </w:rPr>
              <w:fldChar w:fldCharType="end"/>
            </w:r>
          </w:hyperlink>
        </w:p>
        <w:p w14:paraId="119EF816" w14:textId="07FD9F83" w:rsidR="00D8631D" w:rsidRPr="00D8631D" w:rsidRDefault="00D8631D">
          <w:pPr>
            <w:pStyle w:val="TOC1"/>
            <w:tabs>
              <w:tab w:val="right" w:leader="dot" w:pos="9350"/>
            </w:tabs>
            <w:rPr>
              <w:rFonts w:eastAsiaTheme="minorEastAsia"/>
              <w:b w:val="0"/>
              <w:bCs w:val="0"/>
              <w:i w:val="0"/>
              <w:iCs w:val="0"/>
              <w:noProof/>
            </w:rPr>
          </w:pPr>
          <w:hyperlink w:anchor="_Toc212322829" w:history="1">
            <w:r w:rsidRPr="00D8631D">
              <w:rPr>
                <w:rStyle w:val="Hyperlink"/>
                <w:i w:val="0"/>
                <w:iCs w:val="0"/>
                <w:noProof/>
              </w:rPr>
              <w:t>4. Conclusion</w:t>
            </w:r>
            <w:r w:rsidRPr="00D8631D">
              <w:rPr>
                <w:i w:val="0"/>
                <w:iCs w:val="0"/>
                <w:noProof/>
                <w:webHidden/>
              </w:rPr>
              <w:tab/>
            </w:r>
            <w:r w:rsidRPr="00D8631D">
              <w:rPr>
                <w:i w:val="0"/>
                <w:iCs w:val="0"/>
                <w:noProof/>
                <w:webHidden/>
              </w:rPr>
              <w:fldChar w:fldCharType="begin"/>
            </w:r>
            <w:r w:rsidRPr="00D8631D">
              <w:rPr>
                <w:i w:val="0"/>
                <w:iCs w:val="0"/>
                <w:noProof/>
                <w:webHidden/>
              </w:rPr>
              <w:instrText xml:space="preserve"> PAGEREF _Toc212322829 \h </w:instrText>
            </w:r>
            <w:r w:rsidRPr="00D8631D">
              <w:rPr>
                <w:i w:val="0"/>
                <w:iCs w:val="0"/>
                <w:noProof/>
                <w:webHidden/>
              </w:rPr>
            </w:r>
            <w:r w:rsidRPr="00D8631D">
              <w:rPr>
                <w:i w:val="0"/>
                <w:iCs w:val="0"/>
                <w:noProof/>
                <w:webHidden/>
              </w:rPr>
              <w:fldChar w:fldCharType="separate"/>
            </w:r>
            <w:r w:rsidRPr="00D8631D">
              <w:rPr>
                <w:i w:val="0"/>
                <w:iCs w:val="0"/>
                <w:noProof/>
                <w:webHidden/>
              </w:rPr>
              <w:t>15</w:t>
            </w:r>
            <w:r w:rsidRPr="00D8631D">
              <w:rPr>
                <w:i w:val="0"/>
                <w:iCs w:val="0"/>
                <w:noProof/>
                <w:webHidden/>
              </w:rPr>
              <w:fldChar w:fldCharType="end"/>
            </w:r>
          </w:hyperlink>
        </w:p>
        <w:p w14:paraId="1AA01513" w14:textId="6A7AB89E" w:rsidR="00D8631D" w:rsidRPr="00D8631D" w:rsidRDefault="00D8631D">
          <w:pPr>
            <w:pStyle w:val="TOC1"/>
            <w:tabs>
              <w:tab w:val="right" w:leader="dot" w:pos="9350"/>
            </w:tabs>
            <w:rPr>
              <w:rFonts w:eastAsiaTheme="minorEastAsia"/>
              <w:b w:val="0"/>
              <w:bCs w:val="0"/>
              <w:i w:val="0"/>
              <w:iCs w:val="0"/>
              <w:noProof/>
            </w:rPr>
          </w:pPr>
          <w:hyperlink w:anchor="_Toc212322830" w:history="1">
            <w:r w:rsidRPr="00D8631D">
              <w:rPr>
                <w:rStyle w:val="Hyperlink"/>
                <w:i w:val="0"/>
                <w:iCs w:val="0"/>
                <w:noProof/>
              </w:rPr>
              <w:t>References</w:t>
            </w:r>
            <w:r w:rsidRPr="00D8631D">
              <w:rPr>
                <w:i w:val="0"/>
                <w:iCs w:val="0"/>
                <w:noProof/>
                <w:webHidden/>
              </w:rPr>
              <w:tab/>
            </w:r>
            <w:r w:rsidRPr="00D8631D">
              <w:rPr>
                <w:i w:val="0"/>
                <w:iCs w:val="0"/>
                <w:noProof/>
                <w:webHidden/>
              </w:rPr>
              <w:fldChar w:fldCharType="begin"/>
            </w:r>
            <w:r w:rsidRPr="00D8631D">
              <w:rPr>
                <w:i w:val="0"/>
                <w:iCs w:val="0"/>
                <w:noProof/>
                <w:webHidden/>
              </w:rPr>
              <w:instrText xml:space="preserve"> PAGEREF _Toc212322830 \h </w:instrText>
            </w:r>
            <w:r w:rsidRPr="00D8631D">
              <w:rPr>
                <w:i w:val="0"/>
                <w:iCs w:val="0"/>
                <w:noProof/>
                <w:webHidden/>
              </w:rPr>
            </w:r>
            <w:r w:rsidRPr="00D8631D">
              <w:rPr>
                <w:i w:val="0"/>
                <w:iCs w:val="0"/>
                <w:noProof/>
                <w:webHidden/>
              </w:rPr>
              <w:fldChar w:fldCharType="separate"/>
            </w:r>
            <w:r w:rsidRPr="00D8631D">
              <w:rPr>
                <w:i w:val="0"/>
                <w:iCs w:val="0"/>
                <w:noProof/>
                <w:webHidden/>
              </w:rPr>
              <w:t>16</w:t>
            </w:r>
            <w:r w:rsidRPr="00D8631D">
              <w:rPr>
                <w:i w:val="0"/>
                <w:iCs w:val="0"/>
                <w:noProof/>
                <w:webHidden/>
              </w:rPr>
              <w:fldChar w:fldCharType="end"/>
            </w:r>
          </w:hyperlink>
        </w:p>
        <w:p w14:paraId="0A552C68" w14:textId="63ADC9C1" w:rsidR="00D8631D" w:rsidRPr="00D8631D" w:rsidRDefault="00D8631D">
          <w:pPr>
            <w:pStyle w:val="TOC1"/>
            <w:tabs>
              <w:tab w:val="right" w:leader="dot" w:pos="9350"/>
            </w:tabs>
            <w:rPr>
              <w:rFonts w:eastAsiaTheme="minorEastAsia"/>
              <w:b w:val="0"/>
              <w:bCs w:val="0"/>
              <w:i w:val="0"/>
              <w:iCs w:val="0"/>
              <w:noProof/>
            </w:rPr>
          </w:pPr>
          <w:hyperlink w:anchor="_Toc212322831" w:history="1">
            <w:r w:rsidRPr="00D8631D">
              <w:rPr>
                <w:rStyle w:val="Hyperlink"/>
                <w:i w:val="0"/>
                <w:iCs w:val="0"/>
                <w:noProof/>
              </w:rPr>
              <w:t>Appendix</w:t>
            </w:r>
            <w:r w:rsidRPr="00D8631D">
              <w:rPr>
                <w:i w:val="0"/>
                <w:iCs w:val="0"/>
                <w:noProof/>
                <w:webHidden/>
              </w:rPr>
              <w:tab/>
            </w:r>
            <w:r w:rsidRPr="00D8631D">
              <w:rPr>
                <w:i w:val="0"/>
                <w:iCs w:val="0"/>
                <w:noProof/>
                <w:webHidden/>
              </w:rPr>
              <w:fldChar w:fldCharType="begin"/>
            </w:r>
            <w:r w:rsidRPr="00D8631D">
              <w:rPr>
                <w:i w:val="0"/>
                <w:iCs w:val="0"/>
                <w:noProof/>
                <w:webHidden/>
              </w:rPr>
              <w:instrText xml:space="preserve"> PAGEREF _Toc212322831 \h </w:instrText>
            </w:r>
            <w:r w:rsidRPr="00D8631D">
              <w:rPr>
                <w:i w:val="0"/>
                <w:iCs w:val="0"/>
                <w:noProof/>
                <w:webHidden/>
              </w:rPr>
            </w:r>
            <w:r w:rsidRPr="00D8631D">
              <w:rPr>
                <w:i w:val="0"/>
                <w:iCs w:val="0"/>
                <w:noProof/>
                <w:webHidden/>
              </w:rPr>
              <w:fldChar w:fldCharType="separate"/>
            </w:r>
            <w:r w:rsidRPr="00D8631D">
              <w:rPr>
                <w:i w:val="0"/>
                <w:iCs w:val="0"/>
                <w:noProof/>
                <w:webHidden/>
              </w:rPr>
              <w:t>17</w:t>
            </w:r>
            <w:r w:rsidRPr="00D8631D">
              <w:rPr>
                <w:i w:val="0"/>
                <w:iCs w:val="0"/>
                <w:noProof/>
                <w:webHidden/>
              </w:rPr>
              <w:fldChar w:fldCharType="end"/>
            </w:r>
          </w:hyperlink>
        </w:p>
        <w:p w14:paraId="04F701EC" w14:textId="00955598" w:rsidR="0055239F" w:rsidRPr="003D1EE4" w:rsidRDefault="0055239F">
          <w:r w:rsidRPr="00D8631D">
            <w:rPr>
              <w:b/>
              <w:bCs/>
              <w:noProof/>
            </w:rPr>
            <w:fldChar w:fldCharType="end"/>
          </w:r>
        </w:p>
      </w:sdtContent>
    </w:sdt>
    <w:p w14:paraId="0CE414D8" w14:textId="77777777" w:rsidR="00DF0551" w:rsidRPr="003D1EE4" w:rsidRDefault="00DF0551" w:rsidP="001E0AAA">
      <w:r w:rsidRPr="003D1EE4">
        <w:br w:type="page"/>
      </w:r>
    </w:p>
    <w:p w14:paraId="012563F8" w14:textId="356131EC" w:rsidR="00805A40" w:rsidRDefault="00480049" w:rsidP="009E2B73">
      <w:pPr>
        <w:pStyle w:val="Heading1"/>
      </w:pPr>
      <w:bookmarkStart w:id="0" w:name="_Toc212322821"/>
      <w:r>
        <w:lastRenderedPageBreak/>
        <w:t xml:space="preserve">1. </w:t>
      </w:r>
      <w:r w:rsidR="00112908">
        <w:t>Introduction</w:t>
      </w:r>
      <w:bookmarkEnd w:id="0"/>
    </w:p>
    <w:p w14:paraId="44EEB72B" w14:textId="14C45B32" w:rsidR="00235AE9" w:rsidRPr="00235AE9" w:rsidRDefault="008F091A" w:rsidP="00235AE9">
      <w:r w:rsidRPr="008F091A">
        <w:t>Recent monetary-policy shifts in the United States have had significant implications for asset prices, valuation metrics, and portfolio risk. This project examines how interest-rate (monetary-policy) changes affect the performance and risk characteristics of two interest-sensitive sectors</w:t>
      </w:r>
      <w:r w:rsidR="00307B0B">
        <w:t>,</w:t>
      </w:r>
      <w:r w:rsidRPr="008F091A">
        <w:t xml:space="preserve"> </w:t>
      </w:r>
      <w:r w:rsidR="00307B0B">
        <w:t>i.e.,</w:t>
      </w:r>
      <w:r w:rsidRPr="008F091A">
        <w:t xml:space="preserve"> Financials and Real Estate</w:t>
      </w:r>
      <w:r w:rsidR="00307B0B">
        <w:t>,</w:t>
      </w:r>
      <w:r w:rsidRPr="008F091A">
        <w:t xml:space="preserve"> within the U.S. equity market.</w:t>
      </w:r>
    </w:p>
    <w:p w14:paraId="1278D3E6" w14:textId="0B4CA866" w:rsidR="00BC5A36" w:rsidRPr="002D2FBD" w:rsidRDefault="00480049" w:rsidP="00235AE9">
      <w:pPr>
        <w:pStyle w:val="Heading1"/>
      </w:pPr>
      <w:bookmarkStart w:id="1" w:name="_Toc212322822"/>
      <w:r>
        <w:t>2</w:t>
      </w:r>
      <w:r w:rsidR="00FD5A6B">
        <w:t>.</w:t>
      </w:r>
      <w:r w:rsidR="002D688F">
        <w:t xml:space="preserve"> </w:t>
      </w:r>
      <w:r w:rsidR="0031017B">
        <w:t xml:space="preserve">Industry </w:t>
      </w:r>
      <w:r w:rsidR="004861E7">
        <w:t>Sector</w:t>
      </w:r>
      <w:r w:rsidR="003E525D">
        <w:t>, Stock, and Analysis Framework</w:t>
      </w:r>
      <w:r w:rsidR="00916C47">
        <w:t xml:space="preserve"> Selection</w:t>
      </w:r>
      <w:bookmarkEnd w:id="1"/>
    </w:p>
    <w:p w14:paraId="06BFA90B" w14:textId="14F21728" w:rsidR="00BB42A7" w:rsidRPr="00BB42A7" w:rsidRDefault="00BB42A7" w:rsidP="00BB42A7">
      <w:pPr>
        <w:rPr>
          <w:b/>
          <w:bCs/>
        </w:rPr>
      </w:pPr>
      <w:r w:rsidRPr="00BB42A7">
        <w:rPr>
          <w:b/>
          <w:bCs/>
        </w:rPr>
        <w:t>Step 1</w:t>
      </w:r>
      <w:r w:rsidR="00EB7ED2">
        <w:rPr>
          <w:b/>
          <w:bCs/>
        </w:rPr>
        <w:t>:</w:t>
      </w:r>
      <w:r w:rsidRPr="00BB42A7">
        <w:rPr>
          <w:b/>
          <w:bCs/>
        </w:rPr>
        <w:t xml:space="preserve"> Economic Factor as the Research Theme</w:t>
      </w:r>
    </w:p>
    <w:p w14:paraId="5E5685EE" w14:textId="596F20A7" w:rsidR="00910777" w:rsidRDefault="009D0D76" w:rsidP="0047145C">
      <w:pPr>
        <w:pStyle w:val="ListParagraph"/>
        <w:numPr>
          <w:ilvl w:val="0"/>
          <w:numId w:val="4"/>
        </w:numPr>
      </w:pPr>
      <w:r w:rsidRPr="00BB42A7">
        <w:rPr>
          <w:b/>
          <w:bCs/>
        </w:rPr>
        <w:t>ChatGPT Prompt:</w:t>
      </w:r>
      <w:r>
        <w:rPr>
          <w:b/>
          <w:bCs/>
        </w:rPr>
        <w:t xml:space="preserve"> </w:t>
      </w:r>
      <w:r w:rsidR="00EC160D">
        <w:t>S</w:t>
      </w:r>
      <w:r w:rsidR="00BB42A7">
        <w:t>elect two industry sectors for my Finance Project. Help me decide which economic factor to base the selection on. I am considering “Monetary Policy”. Walk me through the pros and cons.</w:t>
      </w:r>
    </w:p>
    <w:p w14:paraId="7CEDE589" w14:textId="11086E4F" w:rsidR="000F439F" w:rsidRDefault="0060525E" w:rsidP="0047145C">
      <w:pPr>
        <w:pStyle w:val="ListParagraph"/>
        <w:numPr>
          <w:ilvl w:val="0"/>
          <w:numId w:val="4"/>
        </w:numPr>
      </w:pPr>
      <w:r>
        <w:rPr>
          <w:b/>
          <w:bCs/>
        </w:rPr>
        <w:t xml:space="preserve">Response Summary and </w:t>
      </w:r>
      <w:r w:rsidR="000F439F" w:rsidRPr="009D0D76">
        <w:rPr>
          <w:b/>
          <w:bCs/>
        </w:rPr>
        <w:t>Decision (based on research on ChatGPT and other forums):</w:t>
      </w:r>
      <w:r w:rsidR="009D0D76">
        <w:t xml:space="preserve"> </w:t>
      </w:r>
      <w:r w:rsidR="000F439F" w:rsidRPr="00437A35">
        <w:t xml:space="preserve">The project will focus on Interest Rate / Monetary Policy Changes as the core economic factor since rate fluctuations directly influence borrowing costs, corporate valuations, and portfolio returns. This aligns well with the </w:t>
      </w:r>
      <w:r w:rsidR="000F439F">
        <w:t>project</w:t>
      </w:r>
      <w:r w:rsidR="000F439F" w:rsidRPr="00437A35">
        <w:t xml:space="preserve"> objectives involving risk</w:t>
      </w:r>
      <w:r w:rsidR="000F439F">
        <w:t xml:space="preserve"> and </w:t>
      </w:r>
      <w:r w:rsidR="000F439F" w:rsidRPr="00437A35">
        <w:t>return</w:t>
      </w:r>
      <w:r w:rsidR="000F439F">
        <w:t xml:space="preserve"> </w:t>
      </w:r>
      <w:r w:rsidR="000F439F" w:rsidRPr="00437A35">
        <w:t>analysis</w:t>
      </w:r>
      <w:r w:rsidR="00541AFF">
        <w:t>.</w:t>
      </w:r>
    </w:p>
    <w:p w14:paraId="2733B743" w14:textId="266F1E8B" w:rsidR="005B78F3" w:rsidRPr="005B78F3" w:rsidRDefault="005B78F3" w:rsidP="005B78F3">
      <w:pPr>
        <w:rPr>
          <w:b/>
          <w:bCs/>
        </w:rPr>
      </w:pPr>
      <w:r w:rsidRPr="005B78F3">
        <w:rPr>
          <w:b/>
          <w:bCs/>
        </w:rPr>
        <w:t>Step 2</w:t>
      </w:r>
      <w:r w:rsidR="00EB7ED2">
        <w:rPr>
          <w:b/>
          <w:bCs/>
        </w:rPr>
        <w:t>:</w:t>
      </w:r>
      <w:r w:rsidRPr="005B78F3">
        <w:rPr>
          <w:b/>
          <w:bCs/>
        </w:rPr>
        <w:t xml:space="preserve"> Defining the Economic Factor and Research Theme</w:t>
      </w:r>
    </w:p>
    <w:p w14:paraId="138BBF4E" w14:textId="2264902D" w:rsidR="00CD2287" w:rsidRPr="00CD2287" w:rsidRDefault="00AF421C" w:rsidP="0047145C">
      <w:pPr>
        <w:pStyle w:val="ListParagraph"/>
        <w:numPr>
          <w:ilvl w:val="0"/>
          <w:numId w:val="5"/>
        </w:numPr>
      </w:pPr>
      <w:r w:rsidRPr="001B4556">
        <w:rPr>
          <w:b/>
          <w:bCs/>
        </w:rPr>
        <w:t xml:space="preserve">ChatGPT Prompt: </w:t>
      </w:r>
      <w:r w:rsidR="005B78F3">
        <w:t>List two industry sectors that are most sensitive to changes in interest rates. Explain briefly how rising or falling rates impact each sector’s profitability and stock performance.</w:t>
      </w:r>
    </w:p>
    <w:p w14:paraId="7336DEDC" w14:textId="67E8091C" w:rsidR="00CD2287" w:rsidRDefault="0004394D" w:rsidP="0047145C">
      <w:pPr>
        <w:pStyle w:val="ListParagraph"/>
        <w:numPr>
          <w:ilvl w:val="0"/>
          <w:numId w:val="5"/>
        </w:numPr>
      </w:pPr>
      <w:r>
        <w:rPr>
          <w:b/>
          <w:bCs/>
        </w:rPr>
        <w:t xml:space="preserve">Response Summary and </w:t>
      </w:r>
      <w:r w:rsidR="001B4556" w:rsidRPr="001B4556">
        <w:rPr>
          <w:b/>
          <w:bCs/>
        </w:rPr>
        <w:t xml:space="preserve">Decision (based on research on ChatGPT and other forums): </w:t>
      </w:r>
      <w:r w:rsidR="00CD2287" w:rsidRPr="00CD2287">
        <w:t>The selected sectors for the project are Financials and Real Estate. Both are influenced by changes in monetary policy but react differently. We expect the analysis to provide a clear contrast for analyzing how interest-rate movements affect risk and return.</w:t>
      </w:r>
    </w:p>
    <w:p w14:paraId="07DED160" w14:textId="0FF37924" w:rsidR="00580100" w:rsidRPr="00580100" w:rsidRDefault="00580100" w:rsidP="00580100">
      <w:pPr>
        <w:rPr>
          <w:b/>
          <w:bCs/>
        </w:rPr>
      </w:pPr>
      <w:r w:rsidRPr="00580100">
        <w:rPr>
          <w:b/>
          <w:bCs/>
        </w:rPr>
        <w:t>Step 3</w:t>
      </w:r>
      <w:r w:rsidR="00EB7ED2">
        <w:rPr>
          <w:b/>
          <w:bCs/>
        </w:rPr>
        <w:t>:</w:t>
      </w:r>
      <w:r w:rsidRPr="00580100">
        <w:rPr>
          <w:b/>
          <w:bCs/>
        </w:rPr>
        <w:t xml:space="preserve"> Stock Selection Criteria</w:t>
      </w:r>
    </w:p>
    <w:p w14:paraId="28401541" w14:textId="120B52B7" w:rsidR="00590683" w:rsidRDefault="001B4556" w:rsidP="0047145C">
      <w:pPr>
        <w:pStyle w:val="ListParagraph"/>
        <w:numPr>
          <w:ilvl w:val="0"/>
          <w:numId w:val="6"/>
        </w:numPr>
      </w:pPr>
      <w:r w:rsidRPr="001B4556">
        <w:rPr>
          <w:b/>
          <w:bCs/>
        </w:rPr>
        <w:t xml:space="preserve">ChatGPT Prompt: </w:t>
      </w:r>
      <w:r w:rsidR="00580100">
        <w:t>What are some of the criteria, such as market cap/earnings stability/gross margin, that can be used to choose stocks within each sector?</w:t>
      </w:r>
    </w:p>
    <w:p w14:paraId="6B92398C" w14:textId="4BB275E0" w:rsidR="009D3777" w:rsidRPr="001B4556" w:rsidRDefault="0004394D" w:rsidP="0047145C">
      <w:pPr>
        <w:pStyle w:val="ListParagraph"/>
        <w:numPr>
          <w:ilvl w:val="0"/>
          <w:numId w:val="6"/>
        </w:numPr>
        <w:rPr>
          <w:b/>
          <w:bCs/>
        </w:rPr>
      </w:pPr>
      <w:r>
        <w:rPr>
          <w:b/>
          <w:bCs/>
        </w:rPr>
        <w:t xml:space="preserve">Response Summary and </w:t>
      </w:r>
      <w:r w:rsidR="009D3777" w:rsidRPr="001B4556">
        <w:rPr>
          <w:b/>
          <w:bCs/>
        </w:rPr>
        <w:t>Decision (based on research on ChatGPT and other forums):</w:t>
      </w:r>
      <w:r w:rsidR="001B4556" w:rsidRPr="001B4556">
        <w:rPr>
          <w:b/>
          <w:bCs/>
        </w:rPr>
        <w:t xml:space="preserve"> </w:t>
      </w:r>
      <w:r w:rsidR="00DD3862" w:rsidRPr="00DD3862">
        <w:t xml:space="preserve">The project will base stock selection on a combination of market size, stability, profitability, </w:t>
      </w:r>
      <w:r w:rsidR="00DD3862" w:rsidRPr="00DD3862">
        <w:lastRenderedPageBreak/>
        <w:t>leverage, valuation, and data availability. These criteria ensure that each chosen company accurately represents its sector’s exposure to interest-rate changes and provides high-quality data for return and risk analysis.</w:t>
      </w:r>
    </w:p>
    <w:tbl>
      <w:tblPr>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5" w:type="dxa"/>
          <w:left w:w="144" w:type="dxa"/>
          <w:bottom w:w="15" w:type="dxa"/>
          <w:right w:w="144" w:type="dxa"/>
        </w:tblCellMar>
        <w:tblLook w:val="04A0" w:firstRow="1" w:lastRow="0" w:firstColumn="1" w:lastColumn="0" w:noHBand="0" w:noVBand="1"/>
      </w:tblPr>
      <w:tblGrid>
        <w:gridCol w:w="2103"/>
        <w:gridCol w:w="3396"/>
        <w:gridCol w:w="3851"/>
      </w:tblGrid>
      <w:tr w:rsidR="00454661" w:rsidRPr="00454661" w14:paraId="19919D55" w14:textId="77777777" w:rsidTr="00F5268E">
        <w:trPr>
          <w:trHeight w:val="432"/>
          <w:tblHeader/>
          <w:jc w:val="center"/>
        </w:trPr>
        <w:tc>
          <w:tcPr>
            <w:tcW w:w="0" w:type="auto"/>
            <w:vAlign w:val="center"/>
            <w:hideMark/>
          </w:tcPr>
          <w:p w14:paraId="44639FE0" w14:textId="77777777" w:rsidR="00454661" w:rsidRPr="00454661" w:rsidRDefault="00454661" w:rsidP="00454661">
            <w:pPr>
              <w:spacing w:after="0" w:line="240" w:lineRule="auto"/>
              <w:rPr>
                <w:b/>
                <w:bCs/>
                <w:sz w:val="20"/>
                <w:szCs w:val="20"/>
              </w:rPr>
            </w:pPr>
            <w:r w:rsidRPr="00454661">
              <w:rPr>
                <w:b/>
                <w:bCs/>
                <w:sz w:val="20"/>
                <w:szCs w:val="20"/>
              </w:rPr>
              <w:t>Category</w:t>
            </w:r>
          </w:p>
        </w:tc>
        <w:tc>
          <w:tcPr>
            <w:tcW w:w="0" w:type="auto"/>
            <w:vAlign w:val="center"/>
            <w:hideMark/>
          </w:tcPr>
          <w:p w14:paraId="3CF91D95" w14:textId="77777777" w:rsidR="00454661" w:rsidRPr="00454661" w:rsidRDefault="00454661" w:rsidP="00454661">
            <w:pPr>
              <w:spacing w:after="0" w:line="240" w:lineRule="auto"/>
              <w:rPr>
                <w:b/>
                <w:bCs/>
                <w:sz w:val="20"/>
                <w:szCs w:val="20"/>
              </w:rPr>
            </w:pPr>
            <w:r w:rsidRPr="00454661">
              <w:rPr>
                <w:b/>
                <w:bCs/>
                <w:sz w:val="20"/>
                <w:szCs w:val="20"/>
              </w:rPr>
              <w:t>Criteria</w:t>
            </w:r>
          </w:p>
        </w:tc>
        <w:tc>
          <w:tcPr>
            <w:tcW w:w="0" w:type="auto"/>
            <w:vAlign w:val="center"/>
            <w:hideMark/>
          </w:tcPr>
          <w:p w14:paraId="3BF0A25D" w14:textId="77777777" w:rsidR="00454661" w:rsidRPr="00454661" w:rsidRDefault="00454661" w:rsidP="00454661">
            <w:pPr>
              <w:spacing w:after="0" w:line="240" w:lineRule="auto"/>
              <w:rPr>
                <w:b/>
                <w:bCs/>
                <w:sz w:val="20"/>
                <w:szCs w:val="20"/>
              </w:rPr>
            </w:pPr>
            <w:r w:rsidRPr="00454661">
              <w:rPr>
                <w:b/>
                <w:bCs/>
                <w:sz w:val="20"/>
                <w:szCs w:val="20"/>
              </w:rPr>
              <w:t>Purpose / Relevance</w:t>
            </w:r>
          </w:p>
        </w:tc>
      </w:tr>
      <w:tr w:rsidR="00454661" w:rsidRPr="00454661" w14:paraId="3049B042" w14:textId="77777777" w:rsidTr="00F5268E">
        <w:trPr>
          <w:jc w:val="center"/>
        </w:trPr>
        <w:tc>
          <w:tcPr>
            <w:tcW w:w="0" w:type="auto"/>
            <w:vAlign w:val="center"/>
            <w:hideMark/>
          </w:tcPr>
          <w:p w14:paraId="024D8DAA" w14:textId="77777777" w:rsidR="00454661" w:rsidRPr="00454661" w:rsidRDefault="00454661" w:rsidP="00454661">
            <w:pPr>
              <w:spacing w:after="0" w:line="240" w:lineRule="auto"/>
              <w:rPr>
                <w:sz w:val="20"/>
                <w:szCs w:val="20"/>
              </w:rPr>
            </w:pPr>
            <w:r w:rsidRPr="00454661">
              <w:rPr>
                <w:sz w:val="20"/>
                <w:szCs w:val="20"/>
              </w:rPr>
              <w:t>Market &amp; Size Metrics</w:t>
            </w:r>
          </w:p>
        </w:tc>
        <w:tc>
          <w:tcPr>
            <w:tcW w:w="0" w:type="auto"/>
            <w:vAlign w:val="center"/>
            <w:hideMark/>
          </w:tcPr>
          <w:p w14:paraId="744066AE" w14:textId="77777777" w:rsidR="00454661" w:rsidRPr="00454661" w:rsidRDefault="00454661" w:rsidP="00454661">
            <w:pPr>
              <w:spacing w:after="0" w:line="240" w:lineRule="auto"/>
              <w:rPr>
                <w:sz w:val="20"/>
                <w:szCs w:val="20"/>
              </w:rPr>
            </w:pPr>
            <w:r w:rsidRPr="00454661">
              <w:rPr>
                <w:sz w:val="20"/>
                <w:szCs w:val="20"/>
              </w:rPr>
              <w:t>Market Capitalization / Liquidity</w:t>
            </w:r>
          </w:p>
        </w:tc>
        <w:tc>
          <w:tcPr>
            <w:tcW w:w="0" w:type="auto"/>
            <w:vAlign w:val="center"/>
            <w:hideMark/>
          </w:tcPr>
          <w:p w14:paraId="65B01CB1" w14:textId="77777777" w:rsidR="00454661" w:rsidRPr="00454661" w:rsidRDefault="00454661" w:rsidP="00454661">
            <w:pPr>
              <w:spacing w:after="0" w:line="240" w:lineRule="auto"/>
              <w:rPr>
                <w:sz w:val="20"/>
                <w:szCs w:val="20"/>
              </w:rPr>
            </w:pPr>
            <w:r w:rsidRPr="00454661">
              <w:rPr>
                <w:sz w:val="20"/>
                <w:szCs w:val="20"/>
              </w:rPr>
              <w:t>Ensures large, actively traded firms with reliable data and minimal noise.</w:t>
            </w:r>
          </w:p>
        </w:tc>
      </w:tr>
      <w:tr w:rsidR="00454661" w:rsidRPr="00454661" w14:paraId="1517B3F3" w14:textId="77777777" w:rsidTr="00F5268E">
        <w:trPr>
          <w:jc w:val="center"/>
        </w:trPr>
        <w:tc>
          <w:tcPr>
            <w:tcW w:w="0" w:type="auto"/>
            <w:vAlign w:val="center"/>
            <w:hideMark/>
          </w:tcPr>
          <w:p w14:paraId="15FB946B" w14:textId="77777777" w:rsidR="00454661" w:rsidRPr="00454661" w:rsidRDefault="00454661" w:rsidP="00454661">
            <w:pPr>
              <w:spacing w:after="0" w:line="240" w:lineRule="auto"/>
              <w:rPr>
                <w:sz w:val="20"/>
                <w:szCs w:val="20"/>
              </w:rPr>
            </w:pPr>
            <w:r w:rsidRPr="00454661">
              <w:rPr>
                <w:sz w:val="20"/>
                <w:szCs w:val="20"/>
              </w:rPr>
              <w:t>Financial Performance &amp; Stability</w:t>
            </w:r>
          </w:p>
        </w:tc>
        <w:tc>
          <w:tcPr>
            <w:tcW w:w="0" w:type="auto"/>
            <w:vAlign w:val="center"/>
            <w:hideMark/>
          </w:tcPr>
          <w:p w14:paraId="6F798870" w14:textId="77777777" w:rsidR="00454661" w:rsidRPr="00454661" w:rsidRDefault="00454661" w:rsidP="00454661">
            <w:pPr>
              <w:spacing w:after="0" w:line="240" w:lineRule="auto"/>
              <w:rPr>
                <w:sz w:val="20"/>
                <w:szCs w:val="20"/>
              </w:rPr>
            </w:pPr>
            <w:r w:rsidRPr="00454661">
              <w:rPr>
                <w:sz w:val="20"/>
                <w:szCs w:val="20"/>
              </w:rPr>
              <w:t>Earnings Stability / Revenue Consistency / Gross &amp; Net Margins / ROE</w:t>
            </w:r>
          </w:p>
        </w:tc>
        <w:tc>
          <w:tcPr>
            <w:tcW w:w="0" w:type="auto"/>
            <w:vAlign w:val="center"/>
            <w:hideMark/>
          </w:tcPr>
          <w:p w14:paraId="24741A0A" w14:textId="77777777" w:rsidR="00454661" w:rsidRPr="00454661" w:rsidRDefault="00454661" w:rsidP="00454661">
            <w:pPr>
              <w:spacing w:after="0" w:line="240" w:lineRule="auto"/>
              <w:rPr>
                <w:sz w:val="20"/>
                <w:szCs w:val="20"/>
              </w:rPr>
            </w:pPr>
            <w:r w:rsidRPr="00454661">
              <w:rPr>
                <w:sz w:val="20"/>
                <w:szCs w:val="20"/>
              </w:rPr>
              <w:t>Identifies companies with steady profitability under changing rate environments.</w:t>
            </w:r>
          </w:p>
        </w:tc>
      </w:tr>
      <w:tr w:rsidR="00454661" w:rsidRPr="00454661" w14:paraId="4DF6F19E" w14:textId="77777777" w:rsidTr="00F5268E">
        <w:trPr>
          <w:jc w:val="center"/>
        </w:trPr>
        <w:tc>
          <w:tcPr>
            <w:tcW w:w="0" w:type="auto"/>
            <w:vAlign w:val="center"/>
            <w:hideMark/>
          </w:tcPr>
          <w:p w14:paraId="495F1B3D" w14:textId="77777777" w:rsidR="00454661" w:rsidRPr="00454661" w:rsidRDefault="00454661" w:rsidP="00454661">
            <w:pPr>
              <w:spacing w:after="0" w:line="240" w:lineRule="auto"/>
              <w:rPr>
                <w:sz w:val="20"/>
                <w:szCs w:val="20"/>
              </w:rPr>
            </w:pPr>
            <w:r w:rsidRPr="00454661">
              <w:rPr>
                <w:sz w:val="20"/>
                <w:szCs w:val="20"/>
              </w:rPr>
              <w:t>Leverage &amp; Capital Structure</w:t>
            </w:r>
          </w:p>
        </w:tc>
        <w:tc>
          <w:tcPr>
            <w:tcW w:w="0" w:type="auto"/>
            <w:vAlign w:val="center"/>
            <w:hideMark/>
          </w:tcPr>
          <w:p w14:paraId="60A4C235" w14:textId="77777777" w:rsidR="00454661" w:rsidRPr="00454661" w:rsidRDefault="00454661" w:rsidP="00454661">
            <w:pPr>
              <w:spacing w:after="0" w:line="240" w:lineRule="auto"/>
              <w:rPr>
                <w:sz w:val="20"/>
                <w:szCs w:val="20"/>
              </w:rPr>
            </w:pPr>
            <w:r w:rsidRPr="00454661">
              <w:rPr>
                <w:sz w:val="20"/>
                <w:szCs w:val="20"/>
              </w:rPr>
              <w:t>Debt-to-Equity Ratio / Interest Coverage</w:t>
            </w:r>
          </w:p>
        </w:tc>
        <w:tc>
          <w:tcPr>
            <w:tcW w:w="0" w:type="auto"/>
            <w:vAlign w:val="center"/>
            <w:hideMark/>
          </w:tcPr>
          <w:p w14:paraId="2BBB5D4C" w14:textId="77777777" w:rsidR="00454661" w:rsidRPr="00454661" w:rsidRDefault="00454661" w:rsidP="00454661">
            <w:pPr>
              <w:spacing w:after="0" w:line="240" w:lineRule="auto"/>
              <w:rPr>
                <w:sz w:val="20"/>
                <w:szCs w:val="20"/>
              </w:rPr>
            </w:pPr>
            <w:r w:rsidRPr="00454661">
              <w:rPr>
                <w:sz w:val="20"/>
                <w:szCs w:val="20"/>
              </w:rPr>
              <w:t>Captures sensitivity to borrowing costs and balance-sheet strength.</w:t>
            </w:r>
          </w:p>
        </w:tc>
      </w:tr>
      <w:tr w:rsidR="00454661" w:rsidRPr="00454661" w14:paraId="47CEF701" w14:textId="77777777" w:rsidTr="00F5268E">
        <w:trPr>
          <w:jc w:val="center"/>
        </w:trPr>
        <w:tc>
          <w:tcPr>
            <w:tcW w:w="0" w:type="auto"/>
            <w:vAlign w:val="center"/>
            <w:hideMark/>
          </w:tcPr>
          <w:p w14:paraId="15A01F68" w14:textId="77777777" w:rsidR="00454661" w:rsidRPr="00454661" w:rsidRDefault="00454661" w:rsidP="00454661">
            <w:pPr>
              <w:spacing w:after="0" w:line="240" w:lineRule="auto"/>
              <w:rPr>
                <w:sz w:val="20"/>
                <w:szCs w:val="20"/>
              </w:rPr>
            </w:pPr>
            <w:r w:rsidRPr="00454661">
              <w:rPr>
                <w:sz w:val="20"/>
                <w:szCs w:val="20"/>
              </w:rPr>
              <w:t>Valuation &amp; Income Metrics</w:t>
            </w:r>
          </w:p>
        </w:tc>
        <w:tc>
          <w:tcPr>
            <w:tcW w:w="0" w:type="auto"/>
            <w:vAlign w:val="center"/>
            <w:hideMark/>
          </w:tcPr>
          <w:p w14:paraId="3AE18690" w14:textId="77777777" w:rsidR="00454661" w:rsidRPr="00454661" w:rsidRDefault="00454661" w:rsidP="00454661">
            <w:pPr>
              <w:spacing w:after="0" w:line="240" w:lineRule="auto"/>
              <w:rPr>
                <w:sz w:val="20"/>
                <w:szCs w:val="20"/>
              </w:rPr>
            </w:pPr>
            <w:r w:rsidRPr="00454661">
              <w:rPr>
                <w:sz w:val="20"/>
                <w:szCs w:val="20"/>
              </w:rPr>
              <w:t>P/E Ratio / Dividend Yield / Beta</w:t>
            </w:r>
          </w:p>
        </w:tc>
        <w:tc>
          <w:tcPr>
            <w:tcW w:w="0" w:type="auto"/>
            <w:vAlign w:val="center"/>
            <w:hideMark/>
          </w:tcPr>
          <w:p w14:paraId="78F41B79" w14:textId="77777777" w:rsidR="00454661" w:rsidRPr="00454661" w:rsidRDefault="00454661" w:rsidP="00454661">
            <w:pPr>
              <w:spacing w:after="0" w:line="240" w:lineRule="auto"/>
              <w:rPr>
                <w:sz w:val="20"/>
                <w:szCs w:val="20"/>
              </w:rPr>
            </w:pPr>
            <w:r w:rsidRPr="00454661">
              <w:rPr>
                <w:sz w:val="20"/>
                <w:szCs w:val="20"/>
              </w:rPr>
              <w:t>Indicates how investors price risk and income potential relative to Treasury yields.</w:t>
            </w:r>
          </w:p>
        </w:tc>
      </w:tr>
      <w:tr w:rsidR="00454661" w:rsidRPr="00454661" w14:paraId="1D3C9F28" w14:textId="77777777" w:rsidTr="00F5268E">
        <w:trPr>
          <w:jc w:val="center"/>
        </w:trPr>
        <w:tc>
          <w:tcPr>
            <w:tcW w:w="0" w:type="auto"/>
            <w:vAlign w:val="center"/>
            <w:hideMark/>
          </w:tcPr>
          <w:p w14:paraId="69E6B98D" w14:textId="77777777" w:rsidR="00454661" w:rsidRPr="00454661" w:rsidRDefault="00454661" w:rsidP="00454661">
            <w:pPr>
              <w:spacing w:after="0" w:line="240" w:lineRule="auto"/>
              <w:rPr>
                <w:sz w:val="20"/>
                <w:szCs w:val="20"/>
              </w:rPr>
            </w:pPr>
            <w:r w:rsidRPr="00454661">
              <w:rPr>
                <w:sz w:val="20"/>
                <w:szCs w:val="20"/>
              </w:rPr>
              <w:t>Sector-Specific Indicators</w:t>
            </w:r>
          </w:p>
        </w:tc>
        <w:tc>
          <w:tcPr>
            <w:tcW w:w="0" w:type="auto"/>
            <w:vAlign w:val="center"/>
            <w:hideMark/>
          </w:tcPr>
          <w:p w14:paraId="53694E68" w14:textId="77777777" w:rsidR="00454661" w:rsidRPr="00454661" w:rsidRDefault="00454661" w:rsidP="00454661">
            <w:pPr>
              <w:spacing w:after="0" w:line="240" w:lineRule="auto"/>
              <w:rPr>
                <w:sz w:val="20"/>
                <w:szCs w:val="20"/>
              </w:rPr>
            </w:pPr>
            <w:r w:rsidRPr="00454661">
              <w:rPr>
                <w:sz w:val="20"/>
                <w:szCs w:val="20"/>
              </w:rPr>
              <w:t>Net Interest Margin (Banks) / Funds from Operations (REITs)</w:t>
            </w:r>
          </w:p>
        </w:tc>
        <w:tc>
          <w:tcPr>
            <w:tcW w:w="0" w:type="auto"/>
            <w:vAlign w:val="center"/>
            <w:hideMark/>
          </w:tcPr>
          <w:p w14:paraId="09F1D31C" w14:textId="77777777" w:rsidR="00454661" w:rsidRPr="00454661" w:rsidRDefault="00454661" w:rsidP="00454661">
            <w:pPr>
              <w:spacing w:after="0" w:line="240" w:lineRule="auto"/>
              <w:rPr>
                <w:sz w:val="20"/>
                <w:szCs w:val="20"/>
              </w:rPr>
            </w:pPr>
            <w:r w:rsidRPr="00454661">
              <w:rPr>
                <w:sz w:val="20"/>
                <w:szCs w:val="20"/>
              </w:rPr>
              <w:t>Measures core profitability drivers specific to Financials and Real Estate.</w:t>
            </w:r>
          </w:p>
        </w:tc>
      </w:tr>
      <w:tr w:rsidR="00454661" w:rsidRPr="00454661" w14:paraId="3849B85D" w14:textId="77777777" w:rsidTr="00F5268E">
        <w:trPr>
          <w:jc w:val="center"/>
        </w:trPr>
        <w:tc>
          <w:tcPr>
            <w:tcW w:w="0" w:type="auto"/>
            <w:vAlign w:val="center"/>
            <w:hideMark/>
          </w:tcPr>
          <w:p w14:paraId="39B28E09" w14:textId="77777777" w:rsidR="00454661" w:rsidRPr="00454661" w:rsidRDefault="00454661" w:rsidP="00454661">
            <w:pPr>
              <w:spacing w:after="0" w:line="240" w:lineRule="auto"/>
              <w:rPr>
                <w:sz w:val="20"/>
                <w:szCs w:val="20"/>
              </w:rPr>
            </w:pPr>
            <w:r w:rsidRPr="00454661">
              <w:rPr>
                <w:sz w:val="20"/>
                <w:szCs w:val="20"/>
              </w:rPr>
              <w:t>Data Quality &amp; Availability</w:t>
            </w:r>
          </w:p>
        </w:tc>
        <w:tc>
          <w:tcPr>
            <w:tcW w:w="0" w:type="auto"/>
            <w:vAlign w:val="center"/>
            <w:hideMark/>
          </w:tcPr>
          <w:p w14:paraId="11FFB435" w14:textId="77777777" w:rsidR="00454661" w:rsidRPr="00454661" w:rsidRDefault="00454661" w:rsidP="00454661">
            <w:pPr>
              <w:spacing w:after="0" w:line="240" w:lineRule="auto"/>
              <w:rPr>
                <w:sz w:val="20"/>
                <w:szCs w:val="20"/>
              </w:rPr>
            </w:pPr>
            <w:r w:rsidRPr="00454661">
              <w:rPr>
                <w:sz w:val="20"/>
                <w:szCs w:val="20"/>
              </w:rPr>
              <w:t>Historical coverage on Nasdaq &amp; Capital IQ (5-year window)</w:t>
            </w:r>
          </w:p>
        </w:tc>
        <w:tc>
          <w:tcPr>
            <w:tcW w:w="0" w:type="auto"/>
            <w:vAlign w:val="center"/>
            <w:hideMark/>
          </w:tcPr>
          <w:p w14:paraId="19B10CEE" w14:textId="77777777" w:rsidR="00454661" w:rsidRPr="00454661" w:rsidRDefault="00454661" w:rsidP="00454661">
            <w:pPr>
              <w:spacing w:after="0" w:line="240" w:lineRule="auto"/>
              <w:rPr>
                <w:sz w:val="20"/>
                <w:szCs w:val="20"/>
              </w:rPr>
            </w:pPr>
            <w:r w:rsidRPr="00454661">
              <w:rPr>
                <w:sz w:val="20"/>
                <w:szCs w:val="20"/>
              </w:rPr>
              <w:t>Ensures consistency and completeness of return and fundamental data.</w:t>
            </w:r>
          </w:p>
        </w:tc>
      </w:tr>
    </w:tbl>
    <w:p w14:paraId="6C66F220" w14:textId="77777777" w:rsidR="00454661" w:rsidRDefault="00454661" w:rsidP="00580100"/>
    <w:p w14:paraId="5CB02534" w14:textId="0A7B07DD" w:rsidR="001D552A" w:rsidRPr="001D552A" w:rsidRDefault="00E87E7B" w:rsidP="001D552A">
      <w:pPr>
        <w:rPr>
          <w:b/>
          <w:bCs/>
        </w:rPr>
      </w:pPr>
      <w:r w:rsidRPr="001D552A">
        <w:rPr>
          <w:b/>
          <w:bCs/>
        </w:rPr>
        <w:t>Step 4</w:t>
      </w:r>
      <w:r w:rsidR="00EB7ED2">
        <w:rPr>
          <w:b/>
          <w:bCs/>
        </w:rPr>
        <w:t>:</w:t>
      </w:r>
      <w:r w:rsidRPr="001D552A">
        <w:rPr>
          <w:b/>
          <w:bCs/>
        </w:rPr>
        <w:t xml:space="preserve"> Stock Selection</w:t>
      </w:r>
      <w:r w:rsidR="00942ED7">
        <w:rPr>
          <w:b/>
          <w:bCs/>
        </w:rPr>
        <w:t xml:space="preserve"> and Company Introduction</w:t>
      </w:r>
    </w:p>
    <w:p w14:paraId="3F35ACC7" w14:textId="7BF15DE1" w:rsidR="00E87E7B" w:rsidRPr="00CD2287" w:rsidRDefault="00CA7528" w:rsidP="0047145C">
      <w:pPr>
        <w:pStyle w:val="ListParagraph"/>
        <w:numPr>
          <w:ilvl w:val="0"/>
          <w:numId w:val="7"/>
        </w:numPr>
      </w:pPr>
      <w:r w:rsidRPr="008D5D27">
        <w:rPr>
          <w:b/>
          <w:bCs/>
        </w:rPr>
        <w:t xml:space="preserve">ChatGPT Prompt: </w:t>
      </w:r>
      <w:r w:rsidR="001D552A">
        <w:t>Can we explore representative stocks, five each, from the Financials and Real Estate sectors, that are most sensitive to interest-rate changes? Use the criteria we discussed earlier, including market capitalization, earnings stability, and leverage.</w:t>
      </w:r>
    </w:p>
    <w:p w14:paraId="69D45CFB" w14:textId="1860F223" w:rsidR="00735919" w:rsidRPr="008D5D27" w:rsidRDefault="0004394D" w:rsidP="0047145C">
      <w:pPr>
        <w:pStyle w:val="ListParagraph"/>
        <w:numPr>
          <w:ilvl w:val="0"/>
          <w:numId w:val="7"/>
        </w:numPr>
        <w:rPr>
          <w:b/>
          <w:bCs/>
        </w:rPr>
      </w:pPr>
      <w:r>
        <w:rPr>
          <w:b/>
          <w:bCs/>
        </w:rPr>
        <w:t xml:space="preserve">Response Summary and </w:t>
      </w:r>
      <w:r w:rsidR="00735919" w:rsidRPr="008D5D27">
        <w:rPr>
          <w:b/>
          <w:bCs/>
        </w:rPr>
        <w:t>Decision (based on research on ChatGPT and other forums):</w:t>
      </w:r>
    </w:p>
    <w:tbl>
      <w:tblPr>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5" w:type="dxa"/>
          <w:left w:w="144" w:type="dxa"/>
          <w:bottom w:w="15" w:type="dxa"/>
          <w:right w:w="144" w:type="dxa"/>
        </w:tblCellMar>
        <w:tblLook w:val="04A0" w:firstRow="1" w:lastRow="0" w:firstColumn="1" w:lastColumn="0" w:noHBand="0" w:noVBand="1"/>
      </w:tblPr>
      <w:tblGrid>
        <w:gridCol w:w="1279"/>
        <w:gridCol w:w="2255"/>
        <w:gridCol w:w="841"/>
        <w:gridCol w:w="4975"/>
      </w:tblGrid>
      <w:tr w:rsidR="00735919" w:rsidRPr="00735919" w14:paraId="7514BB9E" w14:textId="77777777" w:rsidTr="00F5268E">
        <w:trPr>
          <w:trHeight w:val="432"/>
          <w:tblHeader/>
          <w:jc w:val="center"/>
        </w:trPr>
        <w:tc>
          <w:tcPr>
            <w:tcW w:w="0" w:type="auto"/>
            <w:vAlign w:val="center"/>
            <w:hideMark/>
          </w:tcPr>
          <w:p w14:paraId="12FFF708" w14:textId="77777777" w:rsidR="00735919" w:rsidRPr="00735919" w:rsidRDefault="00735919" w:rsidP="00735919">
            <w:pPr>
              <w:spacing w:after="0" w:line="240" w:lineRule="auto"/>
              <w:rPr>
                <w:rFonts w:ascii="Aptos" w:hAnsi="Aptos"/>
                <w:b/>
                <w:bCs/>
                <w:sz w:val="20"/>
                <w:szCs w:val="20"/>
              </w:rPr>
            </w:pPr>
            <w:r w:rsidRPr="00735919">
              <w:rPr>
                <w:rFonts w:ascii="Aptos" w:hAnsi="Aptos"/>
                <w:b/>
                <w:bCs/>
                <w:sz w:val="20"/>
                <w:szCs w:val="20"/>
              </w:rPr>
              <w:t>Sector</w:t>
            </w:r>
          </w:p>
        </w:tc>
        <w:tc>
          <w:tcPr>
            <w:tcW w:w="0" w:type="auto"/>
            <w:vAlign w:val="center"/>
            <w:hideMark/>
          </w:tcPr>
          <w:p w14:paraId="00B4AC53" w14:textId="77777777" w:rsidR="00735919" w:rsidRPr="00735919" w:rsidRDefault="00735919" w:rsidP="00735919">
            <w:pPr>
              <w:spacing w:after="0" w:line="240" w:lineRule="auto"/>
              <w:rPr>
                <w:rFonts w:ascii="Aptos" w:hAnsi="Aptos"/>
                <w:b/>
                <w:bCs/>
                <w:sz w:val="20"/>
                <w:szCs w:val="20"/>
              </w:rPr>
            </w:pPr>
            <w:r w:rsidRPr="00735919">
              <w:rPr>
                <w:rFonts w:ascii="Aptos" w:hAnsi="Aptos"/>
                <w:b/>
                <w:bCs/>
                <w:sz w:val="20"/>
                <w:szCs w:val="20"/>
              </w:rPr>
              <w:t>Company</w:t>
            </w:r>
          </w:p>
        </w:tc>
        <w:tc>
          <w:tcPr>
            <w:tcW w:w="0" w:type="auto"/>
            <w:vAlign w:val="center"/>
            <w:hideMark/>
          </w:tcPr>
          <w:p w14:paraId="2E43AB65" w14:textId="77777777" w:rsidR="00735919" w:rsidRPr="00735919" w:rsidRDefault="00735919" w:rsidP="00735919">
            <w:pPr>
              <w:spacing w:after="0" w:line="240" w:lineRule="auto"/>
              <w:rPr>
                <w:rFonts w:ascii="Aptos" w:hAnsi="Aptos"/>
                <w:b/>
                <w:bCs/>
                <w:sz w:val="20"/>
                <w:szCs w:val="20"/>
              </w:rPr>
            </w:pPr>
            <w:r w:rsidRPr="00735919">
              <w:rPr>
                <w:rFonts w:ascii="Aptos" w:hAnsi="Aptos"/>
                <w:b/>
                <w:bCs/>
                <w:sz w:val="20"/>
                <w:szCs w:val="20"/>
              </w:rPr>
              <w:t>Ticker</w:t>
            </w:r>
          </w:p>
        </w:tc>
        <w:tc>
          <w:tcPr>
            <w:tcW w:w="0" w:type="auto"/>
            <w:vAlign w:val="center"/>
            <w:hideMark/>
          </w:tcPr>
          <w:p w14:paraId="751300DB" w14:textId="6AA552E3" w:rsidR="00735919" w:rsidRPr="00735919" w:rsidRDefault="00977ACE" w:rsidP="00735919">
            <w:pPr>
              <w:spacing w:after="0" w:line="240" w:lineRule="auto"/>
              <w:rPr>
                <w:rFonts w:ascii="Aptos" w:hAnsi="Aptos"/>
                <w:b/>
                <w:bCs/>
                <w:sz w:val="20"/>
                <w:szCs w:val="20"/>
              </w:rPr>
            </w:pPr>
            <w:r>
              <w:rPr>
                <w:rFonts w:ascii="Aptos" w:hAnsi="Aptos"/>
                <w:b/>
                <w:bCs/>
                <w:sz w:val="20"/>
                <w:szCs w:val="20"/>
              </w:rPr>
              <w:t>Introduction</w:t>
            </w:r>
          </w:p>
        </w:tc>
      </w:tr>
      <w:tr w:rsidR="008D5D27" w:rsidRPr="00735919" w14:paraId="15C9DB92" w14:textId="77777777" w:rsidTr="00F5268E">
        <w:trPr>
          <w:jc w:val="center"/>
        </w:trPr>
        <w:tc>
          <w:tcPr>
            <w:tcW w:w="0" w:type="auto"/>
            <w:vMerge w:val="restart"/>
            <w:vAlign w:val="center"/>
            <w:hideMark/>
          </w:tcPr>
          <w:p w14:paraId="376E8DC4" w14:textId="77777777" w:rsidR="008D5D27" w:rsidRPr="00735919" w:rsidRDefault="008D5D27" w:rsidP="00735919">
            <w:pPr>
              <w:spacing w:after="0" w:line="240" w:lineRule="auto"/>
              <w:rPr>
                <w:rFonts w:ascii="Aptos" w:hAnsi="Aptos"/>
                <w:sz w:val="20"/>
                <w:szCs w:val="20"/>
              </w:rPr>
            </w:pPr>
            <w:r w:rsidRPr="00735919">
              <w:rPr>
                <w:rFonts w:ascii="Aptos" w:hAnsi="Aptos"/>
                <w:b/>
                <w:bCs/>
                <w:sz w:val="20"/>
                <w:szCs w:val="20"/>
              </w:rPr>
              <w:t>Financials</w:t>
            </w:r>
          </w:p>
        </w:tc>
        <w:tc>
          <w:tcPr>
            <w:tcW w:w="0" w:type="auto"/>
            <w:vAlign w:val="center"/>
            <w:hideMark/>
          </w:tcPr>
          <w:p w14:paraId="27416B4D"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JPMorgan Chase &amp; Co.</w:t>
            </w:r>
          </w:p>
        </w:tc>
        <w:tc>
          <w:tcPr>
            <w:tcW w:w="0" w:type="auto"/>
            <w:vAlign w:val="center"/>
            <w:hideMark/>
          </w:tcPr>
          <w:p w14:paraId="13BE2D4F"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JPM</w:t>
            </w:r>
          </w:p>
        </w:tc>
        <w:tc>
          <w:tcPr>
            <w:tcW w:w="0" w:type="auto"/>
            <w:vAlign w:val="center"/>
            <w:hideMark/>
          </w:tcPr>
          <w:p w14:paraId="01DCFC5B"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Leading U.S. bank; large balance sheet sensitive to rate spreads.</w:t>
            </w:r>
          </w:p>
        </w:tc>
      </w:tr>
      <w:tr w:rsidR="008D5D27" w:rsidRPr="00735919" w14:paraId="236193AE" w14:textId="77777777" w:rsidTr="00F5268E">
        <w:trPr>
          <w:jc w:val="center"/>
        </w:trPr>
        <w:tc>
          <w:tcPr>
            <w:tcW w:w="0" w:type="auto"/>
            <w:vMerge/>
            <w:vAlign w:val="center"/>
            <w:hideMark/>
          </w:tcPr>
          <w:p w14:paraId="7BF91F78" w14:textId="77777777" w:rsidR="008D5D27" w:rsidRPr="00735919" w:rsidRDefault="008D5D27" w:rsidP="00735919">
            <w:pPr>
              <w:spacing w:after="0" w:line="240" w:lineRule="auto"/>
              <w:rPr>
                <w:rFonts w:ascii="Aptos" w:hAnsi="Aptos"/>
                <w:sz w:val="20"/>
                <w:szCs w:val="20"/>
              </w:rPr>
            </w:pPr>
          </w:p>
        </w:tc>
        <w:tc>
          <w:tcPr>
            <w:tcW w:w="0" w:type="auto"/>
            <w:vAlign w:val="center"/>
            <w:hideMark/>
          </w:tcPr>
          <w:p w14:paraId="1F392E9D"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Bank of America Corp.</w:t>
            </w:r>
          </w:p>
        </w:tc>
        <w:tc>
          <w:tcPr>
            <w:tcW w:w="0" w:type="auto"/>
            <w:vAlign w:val="center"/>
            <w:hideMark/>
          </w:tcPr>
          <w:p w14:paraId="6FBE05CA"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BAC</w:t>
            </w:r>
          </w:p>
        </w:tc>
        <w:tc>
          <w:tcPr>
            <w:tcW w:w="0" w:type="auto"/>
            <w:vAlign w:val="center"/>
            <w:hideMark/>
          </w:tcPr>
          <w:p w14:paraId="67F0FE88"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Retail and commercial exposure; strong net-interest income growth.</w:t>
            </w:r>
          </w:p>
        </w:tc>
      </w:tr>
      <w:tr w:rsidR="008D5D27" w:rsidRPr="00735919" w14:paraId="11E79535" w14:textId="77777777" w:rsidTr="00F5268E">
        <w:trPr>
          <w:jc w:val="center"/>
        </w:trPr>
        <w:tc>
          <w:tcPr>
            <w:tcW w:w="0" w:type="auto"/>
            <w:vMerge/>
            <w:vAlign w:val="center"/>
            <w:hideMark/>
          </w:tcPr>
          <w:p w14:paraId="716B3FBE" w14:textId="77777777" w:rsidR="008D5D27" w:rsidRPr="00735919" w:rsidRDefault="008D5D27" w:rsidP="00735919">
            <w:pPr>
              <w:spacing w:after="0" w:line="240" w:lineRule="auto"/>
              <w:rPr>
                <w:rFonts w:ascii="Aptos" w:hAnsi="Aptos"/>
                <w:sz w:val="20"/>
                <w:szCs w:val="20"/>
              </w:rPr>
            </w:pPr>
          </w:p>
        </w:tc>
        <w:tc>
          <w:tcPr>
            <w:tcW w:w="0" w:type="auto"/>
            <w:vAlign w:val="center"/>
            <w:hideMark/>
          </w:tcPr>
          <w:p w14:paraId="3A794B71"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Wells Fargo &amp; Co.</w:t>
            </w:r>
          </w:p>
        </w:tc>
        <w:tc>
          <w:tcPr>
            <w:tcW w:w="0" w:type="auto"/>
            <w:vAlign w:val="center"/>
            <w:hideMark/>
          </w:tcPr>
          <w:p w14:paraId="5A500BC9"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WFC</w:t>
            </w:r>
          </w:p>
        </w:tc>
        <w:tc>
          <w:tcPr>
            <w:tcW w:w="0" w:type="auto"/>
            <w:vAlign w:val="center"/>
            <w:hideMark/>
          </w:tcPr>
          <w:p w14:paraId="4BE100C6"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Major mortgage lender; affected by consumer-rate changes.</w:t>
            </w:r>
          </w:p>
        </w:tc>
      </w:tr>
      <w:tr w:rsidR="008D5D27" w:rsidRPr="00735919" w14:paraId="1865B901" w14:textId="77777777" w:rsidTr="00F5268E">
        <w:trPr>
          <w:jc w:val="center"/>
        </w:trPr>
        <w:tc>
          <w:tcPr>
            <w:tcW w:w="0" w:type="auto"/>
            <w:vMerge/>
            <w:vAlign w:val="center"/>
            <w:hideMark/>
          </w:tcPr>
          <w:p w14:paraId="7C53CD98" w14:textId="77777777" w:rsidR="008D5D27" w:rsidRPr="00735919" w:rsidRDefault="008D5D27" w:rsidP="00735919">
            <w:pPr>
              <w:spacing w:after="0" w:line="240" w:lineRule="auto"/>
              <w:rPr>
                <w:rFonts w:ascii="Aptos" w:hAnsi="Aptos"/>
                <w:sz w:val="20"/>
                <w:szCs w:val="20"/>
              </w:rPr>
            </w:pPr>
          </w:p>
        </w:tc>
        <w:tc>
          <w:tcPr>
            <w:tcW w:w="0" w:type="auto"/>
            <w:vAlign w:val="center"/>
            <w:hideMark/>
          </w:tcPr>
          <w:p w14:paraId="36033B07"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Goldman Sachs Group Inc.</w:t>
            </w:r>
          </w:p>
        </w:tc>
        <w:tc>
          <w:tcPr>
            <w:tcW w:w="0" w:type="auto"/>
            <w:vAlign w:val="center"/>
            <w:hideMark/>
          </w:tcPr>
          <w:p w14:paraId="34FC4A4B"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GS</w:t>
            </w:r>
          </w:p>
        </w:tc>
        <w:tc>
          <w:tcPr>
            <w:tcW w:w="0" w:type="auto"/>
            <w:vAlign w:val="center"/>
            <w:hideMark/>
          </w:tcPr>
          <w:p w14:paraId="4DBAF56A"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Investment bank: earnings tied to market and policy cycles.</w:t>
            </w:r>
          </w:p>
        </w:tc>
      </w:tr>
      <w:tr w:rsidR="008D5D27" w:rsidRPr="00735919" w14:paraId="0EEC73D4" w14:textId="77777777" w:rsidTr="00F5268E">
        <w:trPr>
          <w:jc w:val="center"/>
        </w:trPr>
        <w:tc>
          <w:tcPr>
            <w:tcW w:w="0" w:type="auto"/>
            <w:vMerge/>
            <w:vAlign w:val="center"/>
            <w:hideMark/>
          </w:tcPr>
          <w:p w14:paraId="11771882" w14:textId="77777777" w:rsidR="008D5D27" w:rsidRPr="00735919" w:rsidRDefault="008D5D27" w:rsidP="00735919">
            <w:pPr>
              <w:spacing w:after="0" w:line="240" w:lineRule="auto"/>
              <w:rPr>
                <w:rFonts w:ascii="Aptos" w:hAnsi="Aptos"/>
                <w:sz w:val="20"/>
                <w:szCs w:val="20"/>
              </w:rPr>
            </w:pPr>
          </w:p>
        </w:tc>
        <w:tc>
          <w:tcPr>
            <w:tcW w:w="0" w:type="auto"/>
            <w:vAlign w:val="center"/>
            <w:hideMark/>
          </w:tcPr>
          <w:p w14:paraId="20F3EF19"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BlackRock Inc.</w:t>
            </w:r>
          </w:p>
        </w:tc>
        <w:tc>
          <w:tcPr>
            <w:tcW w:w="0" w:type="auto"/>
            <w:vAlign w:val="center"/>
            <w:hideMark/>
          </w:tcPr>
          <w:p w14:paraId="49284A94"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BLK</w:t>
            </w:r>
          </w:p>
        </w:tc>
        <w:tc>
          <w:tcPr>
            <w:tcW w:w="0" w:type="auto"/>
            <w:vAlign w:val="center"/>
            <w:hideMark/>
          </w:tcPr>
          <w:p w14:paraId="29C1E7F5"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Global asset manager; reflects investor flows responding to rate expectations.</w:t>
            </w:r>
          </w:p>
        </w:tc>
      </w:tr>
      <w:tr w:rsidR="008D5D27" w:rsidRPr="00735919" w14:paraId="1B4F44FD" w14:textId="77777777" w:rsidTr="00F5268E">
        <w:trPr>
          <w:jc w:val="center"/>
        </w:trPr>
        <w:tc>
          <w:tcPr>
            <w:tcW w:w="0" w:type="auto"/>
            <w:vMerge w:val="restart"/>
            <w:vAlign w:val="center"/>
            <w:hideMark/>
          </w:tcPr>
          <w:p w14:paraId="20244CFB" w14:textId="77777777" w:rsidR="008D5D27" w:rsidRPr="00735919" w:rsidRDefault="008D5D27" w:rsidP="00735919">
            <w:pPr>
              <w:spacing w:after="0" w:line="240" w:lineRule="auto"/>
              <w:rPr>
                <w:rFonts w:ascii="Aptos" w:hAnsi="Aptos"/>
                <w:sz w:val="20"/>
                <w:szCs w:val="20"/>
              </w:rPr>
            </w:pPr>
            <w:r w:rsidRPr="00735919">
              <w:rPr>
                <w:rFonts w:ascii="Aptos" w:hAnsi="Aptos"/>
                <w:b/>
                <w:bCs/>
                <w:sz w:val="20"/>
                <w:szCs w:val="20"/>
              </w:rPr>
              <w:t>Real Estate</w:t>
            </w:r>
          </w:p>
        </w:tc>
        <w:tc>
          <w:tcPr>
            <w:tcW w:w="0" w:type="auto"/>
            <w:vAlign w:val="center"/>
            <w:hideMark/>
          </w:tcPr>
          <w:p w14:paraId="2BA9FF2B"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Prologis Inc.</w:t>
            </w:r>
          </w:p>
        </w:tc>
        <w:tc>
          <w:tcPr>
            <w:tcW w:w="0" w:type="auto"/>
            <w:vAlign w:val="center"/>
            <w:hideMark/>
          </w:tcPr>
          <w:p w14:paraId="33AEE120"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PLD</w:t>
            </w:r>
          </w:p>
        </w:tc>
        <w:tc>
          <w:tcPr>
            <w:tcW w:w="0" w:type="auto"/>
            <w:vAlign w:val="center"/>
            <w:hideMark/>
          </w:tcPr>
          <w:p w14:paraId="56FF4D8F"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Industrial/logistics REIT; valuations linked to financing costs.</w:t>
            </w:r>
          </w:p>
        </w:tc>
      </w:tr>
      <w:tr w:rsidR="008D5D27" w:rsidRPr="00735919" w14:paraId="02F9EAC7" w14:textId="77777777" w:rsidTr="00F5268E">
        <w:trPr>
          <w:jc w:val="center"/>
        </w:trPr>
        <w:tc>
          <w:tcPr>
            <w:tcW w:w="0" w:type="auto"/>
            <w:vMerge/>
            <w:vAlign w:val="center"/>
            <w:hideMark/>
          </w:tcPr>
          <w:p w14:paraId="4B164FD0" w14:textId="77777777" w:rsidR="008D5D27" w:rsidRPr="00735919" w:rsidRDefault="008D5D27" w:rsidP="00735919">
            <w:pPr>
              <w:spacing w:after="0" w:line="240" w:lineRule="auto"/>
              <w:rPr>
                <w:rFonts w:ascii="Aptos" w:hAnsi="Aptos"/>
                <w:sz w:val="20"/>
                <w:szCs w:val="20"/>
              </w:rPr>
            </w:pPr>
          </w:p>
        </w:tc>
        <w:tc>
          <w:tcPr>
            <w:tcW w:w="0" w:type="auto"/>
            <w:vAlign w:val="center"/>
            <w:hideMark/>
          </w:tcPr>
          <w:p w14:paraId="3200B75B"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American Tower Corp.</w:t>
            </w:r>
          </w:p>
        </w:tc>
        <w:tc>
          <w:tcPr>
            <w:tcW w:w="0" w:type="auto"/>
            <w:vAlign w:val="center"/>
            <w:hideMark/>
          </w:tcPr>
          <w:p w14:paraId="6086DAE6"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AMT</w:t>
            </w:r>
          </w:p>
        </w:tc>
        <w:tc>
          <w:tcPr>
            <w:tcW w:w="0" w:type="auto"/>
            <w:vAlign w:val="center"/>
            <w:hideMark/>
          </w:tcPr>
          <w:p w14:paraId="30889647"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Telecom infrastructure REIT; capital-intensive, debt-sensitive model.</w:t>
            </w:r>
          </w:p>
        </w:tc>
      </w:tr>
      <w:tr w:rsidR="008D5D27" w:rsidRPr="00735919" w14:paraId="7A411076" w14:textId="77777777" w:rsidTr="00F5268E">
        <w:trPr>
          <w:jc w:val="center"/>
        </w:trPr>
        <w:tc>
          <w:tcPr>
            <w:tcW w:w="0" w:type="auto"/>
            <w:vMerge/>
            <w:vAlign w:val="center"/>
            <w:hideMark/>
          </w:tcPr>
          <w:p w14:paraId="48B0849F" w14:textId="77777777" w:rsidR="008D5D27" w:rsidRPr="00735919" w:rsidRDefault="008D5D27" w:rsidP="00735919">
            <w:pPr>
              <w:spacing w:after="0" w:line="240" w:lineRule="auto"/>
              <w:rPr>
                <w:rFonts w:ascii="Aptos" w:hAnsi="Aptos"/>
                <w:sz w:val="20"/>
                <w:szCs w:val="20"/>
              </w:rPr>
            </w:pPr>
          </w:p>
        </w:tc>
        <w:tc>
          <w:tcPr>
            <w:tcW w:w="0" w:type="auto"/>
            <w:vAlign w:val="center"/>
            <w:hideMark/>
          </w:tcPr>
          <w:p w14:paraId="36DCA7AC"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Simon Property Group Inc.</w:t>
            </w:r>
          </w:p>
        </w:tc>
        <w:tc>
          <w:tcPr>
            <w:tcW w:w="0" w:type="auto"/>
            <w:vAlign w:val="center"/>
            <w:hideMark/>
          </w:tcPr>
          <w:p w14:paraId="4A194F25"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SPG</w:t>
            </w:r>
          </w:p>
        </w:tc>
        <w:tc>
          <w:tcPr>
            <w:tcW w:w="0" w:type="auto"/>
            <w:vAlign w:val="center"/>
            <w:hideMark/>
          </w:tcPr>
          <w:p w14:paraId="47FE1A3A"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Retail REIT. Interest rates influence consumer activity and property values.</w:t>
            </w:r>
          </w:p>
        </w:tc>
      </w:tr>
      <w:tr w:rsidR="008D5D27" w:rsidRPr="00735919" w14:paraId="282DBB7F" w14:textId="77777777" w:rsidTr="00F5268E">
        <w:trPr>
          <w:jc w:val="center"/>
        </w:trPr>
        <w:tc>
          <w:tcPr>
            <w:tcW w:w="0" w:type="auto"/>
            <w:vMerge/>
            <w:vAlign w:val="center"/>
            <w:hideMark/>
          </w:tcPr>
          <w:p w14:paraId="2D218690" w14:textId="77777777" w:rsidR="008D5D27" w:rsidRPr="00735919" w:rsidRDefault="008D5D27" w:rsidP="00735919">
            <w:pPr>
              <w:spacing w:after="0" w:line="240" w:lineRule="auto"/>
              <w:rPr>
                <w:rFonts w:ascii="Aptos" w:hAnsi="Aptos"/>
                <w:sz w:val="20"/>
                <w:szCs w:val="20"/>
              </w:rPr>
            </w:pPr>
          </w:p>
        </w:tc>
        <w:tc>
          <w:tcPr>
            <w:tcW w:w="0" w:type="auto"/>
            <w:vAlign w:val="center"/>
            <w:hideMark/>
          </w:tcPr>
          <w:p w14:paraId="7A341A5A"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AvalonBay Communities Inc.</w:t>
            </w:r>
          </w:p>
        </w:tc>
        <w:tc>
          <w:tcPr>
            <w:tcW w:w="0" w:type="auto"/>
            <w:vAlign w:val="center"/>
            <w:hideMark/>
          </w:tcPr>
          <w:p w14:paraId="3BE3D8F2"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AVB</w:t>
            </w:r>
          </w:p>
        </w:tc>
        <w:tc>
          <w:tcPr>
            <w:tcW w:w="0" w:type="auto"/>
            <w:vAlign w:val="center"/>
            <w:hideMark/>
          </w:tcPr>
          <w:p w14:paraId="2F06851F"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Residential REIT. Higher mortgage rates shift demand toward rentals.</w:t>
            </w:r>
          </w:p>
        </w:tc>
      </w:tr>
      <w:tr w:rsidR="008D5D27" w:rsidRPr="00735919" w14:paraId="7A6AD5CD" w14:textId="77777777" w:rsidTr="00F5268E">
        <w:trPr>
          <w:jc w:val="center"/>
        </w:trPr>
        <w:tc>
          <w:tcPr>
            <w:tcW w:w="0" w:type="auto"/>
            <w:vMerge/>
            <w:vAlign w:val="center"/>
            <w:hideMark/>
          </w:tcPr>
          <w:p w14:paraId="7D7ECAAE" w14:textId="77777777" w:rsidR="008D5D27" w:rsidRPr="00735919" w:rsidRDefault="008D5D27" w:rsidP="00735919">
            <w:pPr>
              <w:spacing w:after="0" w:line="240" w:lineRule="auto"/>
              <w:rPr>
                <w:rFonts w:ascii="Aptos" w:hAnsi="Aptos"/>
                <w:sz w:val="20"/>
                <w:szCs w:val="20"/>
              </w:rPr>
            </w:pPr>
          </w:p>
        </w:tc>
        <w:tc>
          <w:tcPr>
            <w:tcW w:w="0" w:type="auto"/>
            <w:vAlign w:val="center"/>
            <w:hideMark/>
          </w:tcPr>
          <w:p w14:paraId="0432635C"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Realty Income Corp.</w:t>
            </w:r>
          </w:p>
        </w:tc>
        <w:tc>
          <w:tcPr>
            <w:tcW w:w="0" w:type="auto"/>
            <w:vAlign w:val="center"/>
            <w:hideMark/>
          </w:tcPr>
          <w:p w14:paraId="1C1A745A"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O</w:t>
            </w:r>
          </w:p>
        </w:tc>
        <w:tc>
          <w:tcPr>
            <w:tcW w:w="0" w:type="auto"/>
            <w:vAlign w:val="center"/>
            <w:hideMark/>
          </w:tcPr>
          <w:p w14:paraId="3DEE4F73" w14:textId="77777777" w:rsidR="008D5D27" w:rsidRPr="00735919" w:rsidRDefault="008D5D27" w:rsidP="00735919">
            <w:pPr>
              <w:spacing w:after="0" w:line="240" w:lineRule="auto"/>
              <w:rPr>
                <w:rFonts w:ascii="Aptos" w:hAnsi="Aptos"/>
                <w:sz w:val="20"/>
                <w:szCs w:val="20"/>
              </w:rPr>
            </w:pPr>
            <w:r w:rsidRPr="00735919">
              <w:rPr>
                <w:rFonts w:ascii="Aptos" w:hAnsi="Aptos"/>
                <w:sz w:val="20"/>
                <w:szCs w:val="20"/>
              </w:rPr>
              <w:t>High-dividend REIT. Performance tracks Treasury yields closely.</w:t>
            </w:r>
          </w:p>
        </w:tc>
      </w:tr>
    </w:tbl>
    <w:p w14:paraId="4879800F" w14:textId="77777777" w:rsidR="00BA4F0B" w:rsidRDefault="00BA4F0B" w:rsidP="009E2B52">
      <w:pPr>
        <w:rPr>
          <w:b/>
          <w:bCs/>
        </w:rPr>
      </w:pPr>
    </w:p>
    <w:p w14:paraId="7CA559E9" w14:textId="7B495CC9" w:rsidR="009E2B52" w:rsidRPr="009E2B52" w:rsidRDefault="009E2B52" w:rsidP="009E2B52">
      <w:pPr>
        <w:rPr>
          <w:b/>
          <w:bCs/>
        </w:rPr>
      </w:pPr>
      <w:r w:rsidRPr="009E2B52">
        <w:rPr>
          <w:b/>
          <w:bCs/>
        </w:rPr>
        <w:t>Step 5: Framework</w:t>
      </w:r>
    </w:p>
    <w:p w14:paraId="141BD62A" w14:textId="17EE3EB7" w:rsidR="009E2B52" w:rsidRDefault="009E2B52" w:rsidP="0047145C">
      <w:pPr>
        <w:pStyle w:val="ListParagraph"/>
        <w:numPr>
          <w:ilvl w:val="0"/>
          <w:numId w:val="8"/>
        </w:numPr>
      </w:pPr>
      <w:r w:rsidRPr="00FC5E12">
        <w:rPr>
          <w:b/>
          <w:bCs/>
        </w:rPr>
        <w:t xml:space="preserve">ChatGPT Prompt: </w:t>
      </w:r>
      <w:r w:rsidRPr="009E2B52">
        <w:t>We want to perform descriptive analytics that address risk, return, and portfolio performance over five years. What financial measures can be included in the analysis framework to evaluate the selected companies? Consider the influence of the chosen economic factor – “monetary policy”.</w:t>
      </w:r>
    </w:p>
    <w:p w14:paraId="4C726A3E" w14:textId="5A35E16F" w:rsidR="00407461" w:rsidRPr="00407461" w:rsidRDefault="0004394D" w:rsidP="0047145C">
      <w:pPr>
        <w:pStyle w:val="ListParagraph"/>
        <w:numPr>
          <w:ilvl w:val="0"/>
          <w:numId w:val="8"/>
        </w:numPr>
        <w:rPr>
          <w:b/>
          <w:bCs/>
        </w:rPr>
      </w:pPr>
      <w:r>
        <w:rPr>
          <w:b/>
          <w:bCs/>
        </w:rPr>
        <w:t xml:space="preserve">Response Summary and </w:t>
      </w:r>
      <w:r w:rsidR="00FA408C" w:rsidRPr="00FC5E12">
        <w:rPr>
          <w:b/>
          <w:bCs/>
        </w:rPr>
        <w:t>Decision (based on research on ChatGPT and other forums):</w:t>
      </w:r>
    </w:p>
    <w:tbl>
      <w:tblPr>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5" w:type="dxa"/>
          <w:left w:w="144" w:type="dxa"/>
          <w:bottom w:w="15" w:type="dxa"/>
          <w:right w:w="144" w:type="dxa"/>
        </w:tblCellMar>
        <w:tblLook w:val="04A0" w:firstRow="1" w:lastRow="0" w:firstColumn="1" w:lastColumn="0" w:noHBand="0" w:noVBand="1"/>
      </w:tblPr>
      <w:tblGrid>
        <w:gridCol w:w="2444"/>
        <w:gridCol w:w="2625"/>
        <w:gridCol w:w="4281"/>
      </w:tblGrid>
      <w:tr w:rsidR="00A47651" w:rsidRPr="00A47651" w14:paraId="657136A4" w14:textId="77777777" w:rsidTr="00F5268E">
        <w:trPr>
          <w:tblHeader/>
          <w:jc w:val="center"/>
        </w:trPr>
        <w:tc>
          <w:tcPr>
            <w:tcW w:w="0" w:type="auto"/>
            <w:vAlign w:val="center"/>
            <w:hideMark/>
          </w:tcPr>
          <w:p w14:paraId="4FC7DB71" w14:textId="77777777" w:rsidR="00A47651" w:rsidRPr="00A47651" w:rsidRDefault="00A47651" w:rsidP="00A47651">
            <w:pPr>
              <w:spacing w:after="0" w:line="240" w:lineRule="auto"/>
              <w:rPr>
                <w:b/>
                <w:bCs/>
                <w:sz w:val="20"/>
                <w:szCs w:val="20"/>
              </w:rPr>
            </w:pPr>
            <w:r w:rsidRPr="00A47651">
              <w:rPr>
                <w:b/>
                <w:bCs/>
                <w:sz w:val="20"/>
                <w:szCs w:val="20"/>
              </w:rPr>
              <w:t>Category</w:t>
            </w:r>
          </w:p>
        </w:tc>
        <w:tc>
          <w:tcPr>
            <w:tcW w:w="0" w:type="auto"/>
            <w:vAlign w:val="center"/>
            <w:hideMark/>
          </w:tcPr>
          <w:p w14:paraId="413A6048" w14:textId="77777777" w:rsidR="00A47651" w:rsidRPr="00A47651" w:rsidRDefault="00A47651" w:rsidP="00A47651">
            <w:pPr>
              <w:spacing w:after="0" w:line="240" w:lineRule="auto"/>
              <w:rPr>
                <w:b/>
                <w:bCs/>
                <w:sz w:val="20"/>
                <w:szCs w:val="20"/>
              </w:rPr>
            </w:pPr>
            <w:r w:rsidRPr="00A47651">
              <w:rPr>
                <w:b/>
                <w:bCs/>
                <w:sz w:val="20"/>
                <w:szCs w:val="20"/>
              </w:rPr>
              <w:t>Metric / Field Name (Capital IQ)</w:t>
            </w:r>
          </w:p>
        </w:tc>
        <w:tc>
          <w:tcPr>
            <w:tcW w:w="0" w:type="auto"/>
            <w:vAlign w:val="center"/>
            <w:hideMark/>
          </w:tcPr>
          <w:p w14:paraId="778C8903" w14:textId="77777777" w:rsidR="00A47651" w:rsidRPr="00A47651" w:rsidRDefault="00A47651" w:rsidP="00A47651">
            <w:pPr>
              <w:spacing w:after="0" w:line="240" w:lineRule="auto"/>
              <w:rPr>
                <w:b/>
                <w:bCs/>
                <w:sz w:val="20"/>
                <w:szCs w:val="20"/>
              </w:rPr>
            </w:pPr>
            <w:r w:rsidRPr="00A47651">
              <w:rPr>
                <w:b/>
                <w:bCs/>
                <w:sz w:val="20"/>
                <w:szCs w:val="20"/>
              </w:rPr>
              <w:t>Purpose / Reason for Inclusion</w:t>
            </w:r>
          </w:p>
        </w:tc>
      </w:tr>
      <w:tr w:rsidR="00407461" w:rsidRPr="00A47651" w14:paraId="27C33F04" w14:textId="77777777" w:rsidTr="00F5268E">
        <w:trPr>
          <w:jc w:val="center"/>
        </w:trPr>
        <w:tc>
          <w:tcPr>
            <w:tcW w:w="0" w:type="auto"/>
            <w:vMerge w:val="restart"/>
            <w:vAlign w:val="center"/>
            <w:hideMark/>
          </w:tcPr>
          <w:p w14:paraId="434A29D7" w14:textId="77777777" w:rsidR="00407461" w:rsidRPr="00A47651" w:rsidRDefault="00407461" w:rsidP="00A47651">
            <w:pPr>
              <w:spacing w:after="0" w:line="240" w:lineRule="auto"/>
              <w:rPr>
                <w:sz w:val="20"/>
                <w:szCs w:val="20"/>
              </w:rPr>
            </w:pPr>
            <w:r w:rsidRPr="00A47651">
              <w:rPr>
                <w:sz w:val="20"/>
                <w:szCs w:val="20"/>
              </w:rPr>
              <w:t>Market &amp; Size Metrics</w:t>
            </w:r>
          </w:p>
        </w:tc>
        <w:tc>
          <w:tcPr>
            <w:tcW w:w="0" w:type="auto"/>
            <w:vAlign w:val="center"/>
            <w:hideMark/>
          </w:tcPr>
          <w:p w14:paraId="0F33E50A" w14:textId="77777777" w:rsidR="00407461" w:rsidRPr="00A47651" w:rsidRDefault="00407461" w:rsidP="00A47651">
            <w:pPr>
              <w:spacing w:after="0" w:line="240" w:lineRule="auto"/>
              <w:rPr>
                <w:sz w:val="20"/>
                <w:szCs w:val="20"/>
              </w:rPr>
            </w:pPr>
            <w:r w:rsidRPr="00A47651">
              <w:rPr>
                <w:sz w:val="20"/>
                <w:szCs w:val="20"/>
              </w:rPr>
              <w:t>Market Capitalization (Latest – USD millions)</w:t>
            </w:r>
          </w:p>
        </w:tc>
        <w:tc>
          <w:tcPr>
            <w:tcW w:w="0" w:type="auto"/>
            <w:vAlign w:val="center"/>
            <w:hideMark/>
          </w:tcPr>
          <w:p w14:paraId="54E6727E" w14:textId="77777777" w:rsidR="00407461" w:rsidRPr="00A47651" w:rsidRDefault="00407461" w:rsidP="00A47651">
            <w:pPr>
              <w:spacing w:after="0" w:line="240" w:lineRule="auto"/>
              <w:rPr>
                <w:sz w:val="20"/>
                <w:szCs w:val="20"/>
              </w:rPr>
            </w:pPr>
            <w:r w:rsidRPr="00A47651">
              <w:rPr>
                <w:sz w:val="20"/>
                <w:szCs w:val="20"/>
              </w:rPr>
              <w:t>Indicates company size and investor valuation; useful for cross-sector comparison.</w:t>
            </w:r>
          </w:p>
        </w:tc>
      </w:tr>
      <w:tr w:rsidR="00407461" w:rsidRPr="00A47651" w14:paraId="1BE560F7" w14:textId="77777777" w:rsidTr="00F5268E">
        <w:trPr>
          <w:jc w:val="center"/>
        </w:trPr>
        <w:tc>
          <w:tcPr>
            <w:tcW w:w="0" w:type="auto"/>
            <w:vMerge/>
            <w:vAlign w:val="center"/>
            <w:hideMark/>
          </w:tcPr>
          <w:p w14:paraId="08553DDF" w14:textId="77777777" w:rsidR="00407461" w:rsidRPr="00A47651" w:rsidRDefault="00407461" w:rsidP="00A47651">
            <w:pPr>
              <w:spacing w:after="0" w:line="240" w:lineRule="auto"/>
              <w:rPr>
                <w:sz w:val="20"/>
                <w:szCs w:val="20"/>
              </w:rPr>
            </w:pPr>
          </w:p>
        </w:tc>
        <w:tc>
          <w:tcPr>
            <w:tcW w:w="0" w:type="auto"/>
            <w:vAlign w:val="center"/>
            <w:hideMark/>
          </w:tcPr>
          <w:p w14:paraId="49333714" w14:textId="77777777" w:rsidR="00407461" w:rsidRPr="00A47651" w:rsidRDefault="00407461" w:rsidP="00A47651">
            <w:pPr>
              <w:spacing w:after="0" w:line="240" w:lineRule="auto"/>
              <w:rPr>
                <w:sz w:val="20"/>
                <w:szCs w:val="20"/>
              </w:rPr>
            </w:pPr>
            <w:r w:rsidRPr="00A47651">
              <w:rPr>
                <w:sz w:val="20"/>
                <w:szCs w:val="20"/>
              </w:rPr>
              <w:t>Revenue (USD millions, Latest Annual)</w:t>
            </w:r>
          </w:p>
        </w:tc>
        <w:tc>
          <w:tcPr>
            <w:tcW w:w="0" w:type="auto"/>
            <w:vAlign w:val="center"/>
            <w:hideMark/>
          </w:tcPr>
          <w:p w14:paraId="4CD4D467" w14:textId="77777777" w:rsidR="00407461" w:rsidRPr="00A47651" w:rsidRDefault="00407461" w:rsidP="00A47651">
            <w:pPr>
              <w:spacing w:after="0" w:line="240" w:lineRule="auto"/>
              <w:rPr>
                <w:sz w:val="20"/>
                <w:szCs w:val="20"/>
              </w:rPr>
            </w:pPr>
            <w:r w:rsidRPr="00A47651">
              <w:rPr>
                <w:sz w:val="20"/>
                <w:szCs w:val="20"/>
              </w:rPr>
              <w:t>Measures overall business scale and growth potential.</w:t>
            </w:r>
          </w:p>
        </w:tc>
      </w:tr>
      <w:tr w:rsidR="00407461" w:rsidRPr="00A47651" w14:paraId="711B31A0" w14:textId="77777777" w:rsidTr="00F5268E">
        <w:trPr>
          <w:jc w:val="center"/>
        </w:trPr>
        <w:tc>
          <w:tcPr>
            <w:tcW w:w="0" w:type="auto"/>
            <w:vMerge w:val="restart"/>
            <w:vAlign w:val="center"/>
            <w:hideMark/>
          </w:tcPr>
          <w:p w14:paraId="49C5ACA3" w14:textId="77777777" w:rsidR="00407461" w:rsidRPr="00A47651" w:rsidRDefault="00407461" w:rsidP="00A47651">
            <w:pPr>
              <w:spacing w:after="0" w:line="240" w:lineRule="auto"/>
              <w:rPr>
                <w:sz w:val="20"/>
                <w:szCs w:val="20"/>
              </w:rPr>
            </w:pPr>
            <w:r w:rsidRPr="00A47651">
              <w:rPr>
                <w:sz w:val="20"/>
                <w:szCs w:val="20"/>
              </w:rPr>
              <w:t>Profitability &amp; Efficiency</w:t>
            </w:r>
          </w:p>
        </w:tc>
        <w:tc>
          <w:tcPr>
            <w:tcW w:w="0" w:type="auto"/>
            <w:vAlign w:val="center"/>
            <w:hideMark/>
          </w:tcPr>
          <w:p w14:paraId="3F7CB8F0" w14:textId="77777777" w:rsidR="00407461" w:rsidRPr="00A47651" w:rsidRDefault="00407461" w:rsidP="00A47651">
            <w:pPr>
              <w:spacing w:after="0" w:line="240" w:lineRule="auto"/>
              <w:rPr>
                <w:sz w:val="20"/>
                <w:szCs w:val="20"/>
              </w:rPr>
            </w:pPr>
            <w:r w:rsidRPr="00A47651">
              <w:rPr>
                <w:sz w:val="20"/>
                <w:szCs w:val="20"/>
              </w:rPr>
              <w:t>Return on Equity (ROE) % – Latest Annual</w:t>
            </w:r>
          </w:p>
        </w:tc>
        <w:tc>
          <w:tcPr>
            <w:tcW w:w="0" w:type="auto"/>
            <w:vAlign w:val="center"/>
            <w:hideMark/>
          </w:tcPr>
          <w:p w14:paraId="2ECFB338" w14:textId="77777777" w:rsidR="00407461" w:rsidRPr="00A47651" w:rsidRDefault="00407461" w:rsidP="00A47651">
            <w:pPr>
              <w:spacing w:after="0" w:line="240" w:lineRule="auto"/>
              <w:rPr>
                <w:sz w:val="20"/>
                <w:szCs w:val="20"/>
              </w:rPr>
            </w:pPr>
            <w:r w:rsidRPr="00A47651">
              <w:rPr>
                <w:sz w:val="20"/>
                <w:szCs w:val="20"/>
              </w:rPr>
              <w:t>Core profitability indicator; captures how efficiently equity is deployed.</w:t>
            </w:r>
          </w:p>
        </w:tc>
      </w:tr>
      <w:tr w:rsidR="00407461" w:rsidRPr="00A47651" w14:paraId="421889A7" w14:textId="77777777" w:rsidTr="00F5268E">
        <w:trPr>
          <w:jc w:val="center"/>
        </w:trPr>
        <w:tc>
          <w:tcPr>
            <w:tcW w:w="0" w:type="auto"/>
            <w:vMerge/>
            <w:vAlign w:val="center"/>
            <w:hideMark/>
          </w:tcPr>
          <w:p w14:paraId="3B4BAF80" w14:textId="77777777" w:rsidR="00407461" w:rsidRPr="00A47651" w:rsidRDefault="00407461" w:rsidP="00A47651">
            <w:pPr>
              <w:spacing w:after="0" w:line="240" w:lineRule="auto"/>
              <w:rPr>
                <w:sz w:val="20"/>
                <w:szCs w:val="20"/>
              </w:rPr>
            </w:pPr>
          </w:p>
        </w:tc>
        <w:tc>
          <w:tcPr>
            <w:tcW w:w="0" w:type="auto"/>
            <w:vAlign w:val="center"/>
            <w:hideMark/>
          </w:tcPr>
          <w:p w14:paraId="61989C63" w14:textId="77777777" w:rsidR="00407461" w:rsidRPr="00A47651" w:rsidRDefault="00407461" w:rsidP="00A47651">
            <w:pPr>
              <w:spacing w:after="0" w:line="240" w:lineRule="auto"/>
              <w:rPr>
                <w:sz w:val="20"/>
                <w:szCs w:val="20"/>
              </w:rPr>
            </w:pPr>
            <w:r w:rsidRPr="00A47651">
              <w:rPr>
                <w:sz w:val="20"/>
                <w:szCs w:val="20"/>
              </w:rPr>
              <w:t>Gross Margin % – Latest Annual</w:t>
            </w:r>
          </w:p>
        </w:tc>
        <w:tc>
          <w:tcPr>
            <w:tcW w:w="0" w:type="auto"/>
            <w:vAlign w:val="center"/>
            <w:hideMark/>
          </w:tcPr>
          <w:p w14:paraId="36B46878" w14:textId="77777777" w:rsidR="00407461" w:rsidRPr="00A47651" w:rsidRDefault="00407461" w:rsidP="00A47651">
            <w:pPr>
              <w:spacing w:after="0" w:line="240" w:lineRule="auto"/>
              <w:rPr>
                <w:sz w:val="20"/>
                <w:szCs w:val="20"/>
              </w:rPr>
            </w:pPr>
            <w:r w:rsidRPr="00A47651">
              <w:rPr>
                <w:sz w:val="20"/>
                <w:szCs w:val="20"/>
              </w:rPr>
              <w:t>Assesses production efficiency and cost control.</w:t>
            </w:r>
          </w:p>
        </w:tc>
      </w:tr>
      <w:tr w:rsidR="00407461" w:rsidRPr="00A47651" w14:paraId="754665E7" w14:textId="77777777" w:rsidTr="00F5268E">
        <w:trPr>
          <w:jc w:val="center"/>
        </w:trPr>
        <w:tc>
          <w:tcPr>
            <w:tcW w:w="0" w:type="auto"/>
            <w:vMerge/>
            <w:vAlign w:val="center"/>
            <w:hideMark/>
          </w:tcPr>
          <w:p w14:paraId="42659F23" w14:textId="77777777" w:rsidR="00407461" w:rsidRPr="00A47651" w:rsidRDefault="00407461" w:rsidP="00A47651">
            <w:pPr>
              <w:spacing w:after="0" w:line="240" w:lineRule="auto"/>
              <w:rPr>
                <w:sz w:val="20"/>
                <w:szCs w:val="20"/>
              </w:rPr>
            </w:pPr>
          </w:p>
        </w:tc>
        <w:tc>
          <w:tcPr>
            <w:tcW w:w="0" w:type="auto"/>
            <w:vAlign w:val="center"/>
            <w:hideMark/>
          </w:tcPr>
          <w:p w14:paraId="4F96E8E4" w14:textId="77777777" w:rsidR="00407461" w:rsidRPr="00A47651" w:rsidRDefault="00407461" w:rsidP="00A47651">
            <w:pPr>
              <w:spacing w:after="0" w:line="240" w:lineRule="auto"/>
              <w:rPr>
                <w:sz w:val="20"/>
                <w:szCs w:val="20"/>
              </w:rPr>
            </w:pPr>
            <w:r w:rsidRPr="00A47651">
              <w:rPr>
                <w:sz w:val="20"/>
                <w:szCs w:val="20"/>
              </w:rPr>
              <w:t>Net Margin % – Latest Annual</w:t>
            </w:r>
          </w:p>
        </w:tc>
        <w:tc>
          <w:tcPr>
            <w:tcW w:w="0" w:type="auto"/>
            <w:vAlign w:val="center"/>
            <w:hideMark/>
          </w:tcPr>
          <w:p w14:paraId="6B71513C" w14:textId="77777777" w:rsidR="00407461" w:rsidRPr="00A47651" w:rsidRDefault="00407461" w:rsidP="00A47651">
            <w:pPr>
              <w:spacing w:after="0" w:line="240" w:lineRule="auto"/>
              <w:rPr>
                <w:sz w:val="20"/>
                <w:szCs w:val="20"/>
              </w:rPr>
            </w:pPr>
            <w:r w:rsidRPr="00A47651">
              <w:rPr>
                <w:sz w:val="20"/>
                <w:szCs w:val="20"/>
              </w:rPr>
              <w:t>Indicates overall profitability after all expenses.</w:t>
            </w:r>
          </w:p>
        </w:tc>
      </w:tr>
      <w:tr w:rsidR="00407461" w:rsidRPr="00A47651" w14:paraId="42B82EB3" w14:textId="77777777" w:rsidTr="00F5268E">
        <w:trPr>
          <w:jc w:val="center"/>
        </w:trPr>
        <w:tc>
          <w:tcPr>
            <w:tcW w:w="0" w:type="auto"/>
            <w:vMerge/>
            <w:vAlign w:val="center"/>
            <w:hideMark/>
          </w:tcPr>
          <w:p w14:paraId="28C0398B" w14:textId="77777777" w:rsidR="00407461" w:rsidRPr="00A47651" w:rsidRDefault="00407461" w:rsidP="00A47651">
            <w:pPr>
              <w:spacing w:after="0" w:line="240" w:lineRule="auto"/>
              <w:rPr>
                <w:sz w:val="20"/>
                <w:szCs w:val="20"/>
              </w:rPr>
            </w:pPr>
          </w:p>
        </w:tc>
        <w:tc>
          <w:tcPr>
            <w:tcW w:w="0" w:type="auto"/>
            <w:vAlign w:val="center"/>
            <w:hideMark/>
          </w:tcPr>
          <w:p w14:paraId="716C4F40" w14:textId="77777777" w:rsidR="00407461" w:rsidRPr="00A47651" w:rsidRDefault="00407461" w:rsidP="00A47651">
            <w:pPr>
              <w:spacing w:after="0" w:line="240" w:lineRule="auto"/>
              <w:rPr>
                <w:sz w:val="20"/>
                <w:szCs w:val="20"/>
              </w:rPr>
            </w:pPr>
            <w:r w:rsidRPr="00A47651">
              <w:rPr>
                <w:sz w:val="20"/>
                <w:szCs w:val="20"/>
              </w:rPr>
              <w:t>EBITDA Margin % – Latest Annual</w:t>
            </w:r>
          </w:p>
        </w:tc>
        <w:tc>
          <w:tcPr>
            <w:tcW w:w="0" w:type="auto"/>
            <w:vAlign w:val="center"/>
            <w:hideMark/>
          </w:tcPr>
          <w:p w14:paraId="63294E92" w14:textId="77777777" w:rsidR="00407461" w:rsidRPr="00A47651" w:rsidRDefault="00407461" w:rsidP="00A47651">
            <w:pPr>
              <w:spacing w:after="0" w:line="240" w:lineRule="auto"/>
              <w:rPr>
                <w:sz w:val="20"/>
                <w:szCs w:val="20"/>
              </w:rPr>
            </w:pPr>
            <w:r w:rsidRPr="00A47651">
              <w:rPr>
                <w:sz w:val="20"/>
                <w:szCs w:val="20"/>
              </w:rPr>
              <w:t>Captures operating profitability before financing costs; rate-sensitive for leveraged firms.</w:t>
            </w:r>
          </w:p>
        </w:tc>
      </w:tr>
      <w:tr w:rsidR="00407461" w:rsidRPr="00A47651" w14:paraId="1A137241" w14:textId="77777777" w:rsidTr="00F5268E">
        <w:trPr>
          <w:jc w:val="center"/>
        </w:trPr>
        <w:tc>
          <w:tcPr>
            <w:tcW w:w="0" w:type="auto"/>
            <w:vMerge w:val="restart"/>
            <w:vAlign w:val="center"/>
            <w:hideMark/>
          </w:tcPr>
          <w:p w14:paraId="2EE465F1" w14:textId="77777777" w:rsidR="00407461" w:rsidRPr="00A47651" w:rsidRDefault="00407461" w:rsidP="00A47651">
            <w:pPr>
              <w:spacing w:after="0" w:line="240" w:lineRule="auto"/>
              <w:rPr>
                <w:sz w:val="20"/>
                <w:szCs w:val="20"/>
              </w:rPr>
            </w:pPr>
            <w:r w:rsidRPr="00A47651">
              <w:rPr>
                <w:sz w:val="20"/>
                <w:szCs w:val="20"/>
              </w:rPr>
              <w:t>Leverage &amp; Capital Structure</w:t>
            </w:r>
          </w:p>
        </w:tc>
        <w:tc>
          <w:tcPr>
            <w:tcW w:w="0" w:type="auto"/>
            <w:vAlign w:val="center"/>
            <w:hideMark/>
          </w:tcPr>
          <w:p w14:paraId="0B278B05" w14:textId="77777777" w:rsidR="00407461" w:rsidRPr="00A47651" w:rsidRDefault="00407461" w:rsidP="00A47651">
            <w:pPr>
              <w:spacing w:after="0" w:line="240" w:lineRule="auto"/>
              <w:rPr>
                <w:sz w:val="20"/>
                <w:szCs w:val="20"/>
              </w:rPr>
            </w:pPr>
            <w:r w:rsidRPr="00A47651">
              <w:rPr>
                <w:sz w:val="20"/>
                <w:szCs w:val="20"/>
              </w:rPr>
              <w:t>Debt to Equity Ratio % – Latest Annual</w:t>
            </w:r>
          </w:p>
        </w:tc>
        <w:tc>
          <w:tcPr>
            <w:tcW w:w="0" w:type="auto"/>
            <w:vAlign w:val="center"/>
            <w:hideMark/>
          </w:tcPr>
          <w:p w14:paraId="070D08B3" w14:textId="77777777" w:rsidR="00407461" w:rsidRPr="00A47651" w:rsidRDefault="00407461" w:rsidP="00A47651">
            <w:pPr>
              <w:spacing w:after="0" w:line="240" w:lineRule="auto"/>
              <w:rPr>
                <w:sz w:val="20"/>
                <w:szCs w:val="20"/>
              </w:rPr>
            </w:pPr>
            <w:r w:rsidRPr="00A47651">
              <w:rPr>
                <w:sz w:val="20"/>
                <w:szCs w:val="20"/>
              </w:rPr>
              <w:t>Measures financial leverage; high ratios signal stronger exposure to rate increases.</w:t>
            </w:r>
          </w:p>
        </w:tc>
      </w:tr>
      <w:tr w:rsidR="00407461" w:rsidRPr="00A47651" w14:paraId="2FB45D56" w14:textId="77777777" w:rsidTr="00F5268E">
        <w:trPr>
          <w:jc w:val="center"/>
        </w:trPr>
        <w:tc>
          <w:tcPr>
            <w:tcW w:w="0" w:type="auto"/>
            <w:vMerge/>
            <w:vAlign w:val="center"/>
            <w:hideMark/>
          </w:tcPr>
          <w:p w14:paraId="7712D611" w14:textId="77777777" w:rsidR="00407461" w:rsidRPr="00A47651" w:rsidRDefault="00407461" w:rsidP="00A47651">
            <w:pPr>
              <w:spacing w:after="0" w:line="240" w:lineRule="auto"/>
              <w:rPr>
                <w:sz w:val="20"/>
                <w:szCs w:val="20"/>
              </w:rPr>
            </w:pPr>
          </w:p>
        </w:tc>
        <w:tc>
          <w:tcPr>
            <w:tcW w:w="0" w:type="auto"/>
            <w:vAlign w:val="center"/>
            <w:hideMark/>
          </w:tcPr>
          <w:p w14:paraId="28AB3BB2" w14:textId="77777777" w:rsidR="00407461" w:rsidRPr="00A47651" w:rsidRDefault="00407461" w:rsidP="00A47651">
            <w:pPr>
              <w:spacing w:after="0" w:line="240" w:lineRule="auto"/>
              <w:rPr>
                <w:sz w:val="20"/>
                <w:szCs w:val="20"/>
              </w:rPr>
            </w:pPr>
            <w:r w:rsidRPr="00A47651">
              <w:rPr>
                <w:sz w:val="20"/>
                <w:szCs w:val="20"/>
              </w:rPr>
              <w:t>Total Debt (USD millions, Latest)</w:t>
            </w:r>
          </w:p>
        </w:tc>
        <w:tc>
          <w:tcPr>
            <w:tcW w:w="0" w:type="auto"/>
            <w:vAlign w:val="center"/>
            <w:hideMark/>
          </w:tcPr>
          <w:p w14:paraId="4C1DD655" w14:textId="77777777" w:rsidR="00407461" w:rsidRPr="00A47651" w:rsidRDefault="00407461" w:rsidP="00A47651">
            <w:pPr>
              <w:spacing w:after="0" w:line="240" w:lineRule="auto"/>
              <w:rPr>
                <w:sz w:val="20"/>
                <w:szCs w:val="20"/>
              </w:rPr>
            </w:pPr>
            <w:r w:rsidRPr="00A47651">
              <w:rPr>
                <w:sz w:val="20"/>
                <w:szCs w:val="20"/>
              </w:rPr>
              <w:t>Complements the ratio by showing absolute borrowing levels.</w:t>
            </w:r>
          </w:p>
        </w:tc>
      </w:tr>
      <w:tr w:rsidR="00407461" w:rsidRPr="00A47651" w14:paraId="4DE4405A" w14:textId="77777777" w:rsidTr="00F5268E">
        <w:trPr>
          <w:jc w:val="center"/>
        </w:trPr>
        <w:tc>
          <w:tcPr>
            <w:tcW w:w="0" w:type="auto"/>
            <w:vMerge/>
            <w:vAlign w:val="center"/>
            <w:hideMark/>
          </w:tcPr>
          <w:p w14:paraId="356D79A5" w14:textId="77777777" w:rsidR="00407461" w:rsidRPr="00A47651" w:rsidRDefault="00407461" w:rsidP="00A47651">
            <w:pPr>
              <w:spacing w:after="0" w:line="240" w:lineRule="auto"/>
              <w:rPr>
                <w:sz w:val="20"/>
                <w:szCs w:val="20"/>
              </w:rPr>
            </w:pPr>
          </w:p>
        </w:tc>
        <w:tc>
          <w:tcPr>
            <w:tcW w:w="0" w:type="auto"/>
            <w:vAlign w:val="center"/>
            <w:hideMark/>
          </w:tcPr>
          <w:p w14:paraId="43E07AC5" w14:textId="77777777" w:rsidR="00407461" w:rsidRPr="00A47651" w:rsidRDefault="00407461" w:rsidP="00A47651">
            <w:pPr>
              <w:spacing w:after="0" w:line="240" w:lineRule="auto"/>
              <w:rPr>
                <w:sz w:val="20"/>
                <w:szCs w:val="20"/>
              </w:rPr>
            </w:pPr>
            <w:r w:rsidRPr="00A47651">
              <w:rPr>
                <w:sz w:val="20"/>
                <w:szCs w:val="20"/>
              </w:rPr>
              <w:t>Total Assets (USD millions, Latest)</w:t>
            </w:r>
          </w:p>
        </w:tc>
        <w:tc>
          <w:tcPr>
            <w:tcW w:w="0" w:type="auto"/>
            <w:vAlign w:val="center"/>
            <w:hideMark/>
          </w:tcPr>
          <w:p w14:paraId="15D2AA84" w14:textId="77777777" w:rsidR="00407461" w:rsidRPr="00A47651" w:rsidRDefault="00407461" w:rsidP="00A47651">
            <w:pPr>
              <w:spacing w:after="0" w:line="240" w:lineRule="auto"/>
              <w:rPr>
                <w:sz w:val="20"/>
                <w:szCs w:val="20"/>
              </w:rPr>
            </w:pPr>
            <w:r w:rsidRPr="00A47651">
              <w:rPr>
                <w:sz w:val="20"/>
                <w:szCs w:val="20"/>
              </w:rPr>
              <w:t>Provides firm size and helps contextualize leverage.</w:t>
            </w:r>
          </w:p>
        </w:tc>
      </w:tr>
      <w:tr w:rsidR="00407461" w:rsidRPr="00A47651" w14:paraId="43A286E5" w14:textId="77777777" w:rsidTr="00F5268E">
        <w:trPr>
          <w:jc w:val="center"/>
        </w:trPr>
        <w:tc>
          <w:tcPr>
            <w:tcW w:w="0" w:type="auto"/>
            <w:vMerge w:val="restart"/>
            <w:vAlign w:val="center"/>
            <w:hideMark/>
          </w:tcPr>
          <w:p w14:paraId="48859197" w14:textId="77777777" w:rsidR="00407461" w:rsidRPr="00A47651" w:rsidRDefault="00407461" w:rsidP="00A47651">
            <w:pPr>
              <w:spacing w:after="0" w:line="240" w:lineRule="auto"/>
              <w:rPr>
                <w:sz w:val="20"/>
                <w:szCs w:val="20"/>
              </w:rPr>
            </w:pPr>
            <w:r w:rsidRPr="00A47651">
              <w:rPr>
                <w:sz w:val="20"/>
                <w:szCs w:val="20"/>
              </w:rPr>
              <w:t>Valuation &amp; Market Perception</w:t>
            </w:r>
          </w:p>
        </w:tc>
        <w:tc>
          <w:tcPr>
            <w:tcW w:w="0" w:type="auto"/>
            <w:vAlign w:val="center"/>
            <w:hideMark/>
          </w:tcPr>
          <w:p w14:paraId="472F1FFA" w14:textId="77777777" w:rsidR="00407461" w:rsidRPr="00A47651" w:rsidRDefault="00407461" w:rsidP="00A47651">
            <w:pPr>
              <w:spacing w:after="0" w:line="240" w:lineRule="auto"/>
              <w:rPr>
                <w:sz w:val="20"/>
                <w:szCs w:val="20"/>
              </w:rPr>
            </w:pPr>
            <w:r w:rsidRPr="00A47651">
              <w:rPr>
                <w:sz w:val="20"/>
                <w:szCs w:val="20"/>
              </w:rPr>
              <w:t>Price to Earnings (P/E) Ratio – Latest</w:t>
            </w:r>
          </w:p>
        </w:tc>
        <w:tc>
          <w:tcPr>
            <w:tcW w:w="0" w:type="auto"/>
            <w:vAlign w:val="center"/>
            <w:hideMark/>
          </w:tcPr>
          <w:p w14:paraId="75EA96A7" w14:textId="77777777" w:rsidR="00407461" w:rsidRPr="00A47651" w:rsidRDefault="00407461" w:rsidP="00A47651">
            <w:pPr>
              <w:spacing w:after="0" w:line="240" w:lineRule="auto"/>
              <w:rPr>
                <w:sz w:val="20"/>
                <w:szCs w:val="20"/>
              </w:rPr>
            </w:pPr>
            <w:r w:rsidRPr="00A47651">
              <w:rPr>
                <w:sz w:val="20"/>
                <w:szCs w:val="20"/>
              </w:rPr>
              <w:t>Reflects investor valuation expectations and market sentiment.</w:t>
            </w:r>
          </w:p>
        </w:tc>
      </w:tr>
      <w:tr w:rsidR="00407461" w:rsidRPr="00A47651" w14:paraId="61CF38B8" w14:textId="77777777" w:rsidTr="00F5268E">
        <w:trPr>
          <w:jc w:val="center"/>
        </w:trPr>
        <w:tc>
          <w:tcPr>
            <w:tcW w:w="0" w:type="auto"/>
            <w:vMerge/>
            <w:vAlign w:val="center"/>
            <w:hideMark/>
          </w:tcPr>
          <w:p w14:paraId="4D1DCD31" w14:textId="77777777" w:rsidR="00407461" w:rsidRPr="00A47651" w:rsidRDefault="00407461" w:rsidP="00A47651">
            <w:pPr>
              <w:spacing w:after="0" w:line="240" w:lineRule="auto"/>
              <w:rPr>
                <w:sz w:val="20"/>
                <w:szCs w:val="20"/>
              </w:rPr>
            </w:pPr>
          </w:p>
        </w:tc>
        <w:tc>
          <w:tcPr>
            <w:tcW w:w="0" w:type="auto"/>
            <w:vAlign w:val="center"/>
            <w:hideMark/>
          </w:tcPr>
          <w:p w14:paraId="0B55AE04" w14:textId="77777777" w:rsidR="00407461" w:rsidRPr="00A47651" w:rsidRDefault="00407461" w:rsidP="00A47651">
            <w:pPr>
              <w:spacing w:after="0" w:line="240" w:lineRule="auto"/>
              <w:rPr>
                <w:sz w:val="20"/>
                <w:szCs w:val="20"/>
              </w:rPr>
            </w:pPr>
            <w:r w:rsidRPr="00A47651">
              <w:rPr>
                <w:sz w:val="20"/>
                <w:szCs w:val="20"/>
              </w:rPr>
              <w:t>Dividend Yield % – Latest</w:t>
            </w:r>
          </w:p>
        </w:tc>
        <w:tc>
          <w:tcPr>
            <w:tcW w:w="0" w:type="auto"/>
            <w:vAlign w:val="center"/>
            <w:hideMark/>
          </w:tcPr>
          <w:p w14:paraId="7101816D" w14:textId="77777777" w:rsidR="00407461" w:rsidRPr="00A47651" w:rsidRDefault="00407461" w:rsidP="00A47651">
            <w:pPr>
              <w:spacing w:after="0" w:line="240" w:lineRule="auto"/>
              <w:rPr>
                <w:sz w:val="20"/>
                <w:szCs w:val="20"/>
              </w:rPr>
            </w:pPr>
            <w:r w:rsidRPr="00A47651">
              <w:rPr>
                <w:sz w:val="20"/>
                <w:szCs w:val="20"/>
              </w:rPr>
              <w:t>Allows comparison between income returns and Treasury yields.</w:t>
            </w:r>
          </w:p>
        </w:tc>
      </w:tr>
      <w:tr w:rsidR="00407461" w:rsidRPr="00A47651" w14:paraId="5BAFB936" w14:textId="77777777" w:rsidTr="00F5268E">
        <w:trPr>
          <w:jc w:val="center"/>
        </w:trPr>
        <w:tc>
          <w:tcPr>
            <w:tcW w:w="0" w:type="auto"/>
            <w:vMerge w:val="restart"/>
            <w:vAlign w:val="center"/>
            <w:hideMark/>
          </w:tcPr>
          <w:p w14:paraId="65BFC9ED" w14:textId="77777777" w:rsidR="00407461" w:rsidRPr="00A47651" w:rsidRDefault="00407461" w:rsidP="00A47651">
            <w:pPr>
              <w:spacing w:after="0" w:line="240" w:lineRule="auto"/>
              <w:rPr>
                <w:sz w:val="20"/>
                <w:szCs w:val="20"/>
              </w:rPr>
            </w:pPr>
            <w:r w:rsidRPr="00A47651">
              <w:rPr>
                <w:sz w:val="20"/>
                <w:szCs w:val="20"/>
              </w:rPr>
              <w:t>Optional Efficiency Enhancers (if available)</w:t>
            </w:r>
          </w:p>
        </w:tc>
        <w:tc>
          <w:tcPr>
            <w:tcW w:w="0" w:type="auto"/>
            <w:vAlign w:val="center"/>
            <w:hideMark/>
          </w:tcPr>
          <w:p w14:paraId="09B27632" w14:textId="77777777" w:rsidR="00407461" w:rsidRPr="00A47651" w:rsidRDefault="00407461" w:rsidP="00A47651">
            <w:pPr>
              <w:spacing w:after="0" w:line="240" w:lineRule="auto"/>
              <w:rPr>
                <w:sz w:val="20"/>
                <w:szCs w:val="20"/>
              </w:rPr>
            </w:pPr>
            <w:r w:rsidRPr="00A47651">
              <w:rPr>
                <w:sz w:val="20"/>
                <w:szCs w:val="20"/>
              </w:rPr>
              <w:t>Return on Assets (ROA) % – Latest Annual</w:t>
            </w:r>
          </w:p>
        </w:tc>
        <w:tc>
          <w:tcPr>
            <w:tcW w:w="0" w:type="auto"/>
            <w:vAlign w:val="center"/>
            <w:hideMark/>
          </w:tcPr>
          <w:p w14:paraId="1E6D21A0" w14:textId="77777777" w:rsidR="00407461" w:rsidRPr="00A47651" w:rsidRDefault="00407461" w:rsidP="00A47651">
            <w:pPr>
              <w:spacing w:after="0" w:line="240" w:lineRule="auto"/>
              <w:rPr>
                <w:sz w:val="20"/>
                <w:szCs w:val="20"/>
              </w:rPr>
            </w:pPr>
            <w:r w:rsidRPr="00A47651">
              <w:rPr>
                <w:sz w:val="20"/>
                <w:szCs w:val="20"/>
              </w:rPr>
              <w:t>Offers asset-based profitability perspective, balancing ROE for leveraged firms.</w:t>
            </w:r>
          </w:p>
        </w:tc>
      </w:tr>
      <w:tr w:rsidR="00407461" w:rsidRPr="00A47651" w14:paraId="45269961" w14:textId="77777777" w:rsidTr="00F5268E">
        <w:trPr>
          <w:jc w:val="center"/>
        </w:trPr>
        <w:tc>
          <w:tcPr>
            <w:tcW w:w="0" w:type="auto"/>
            <w:vMerge/>
            <w:vAlign w:val="center"/>
            <w:hideMark/>
          </w:tcPr>
          <w:p w14:paraId="7F612E65" w14:textId="77777777" w:rsidR="00407461" w:rsidRPr="00A47651" w:rsidRDefault="00407461" w:rsidP="00A47651">
            <w:pPr>
              <w:spacing w:after="0" w:line="240" w:lineRule="auto"/>
              <w:rPr>
                <w:sz w:val="20"/>
                <w:szCs w:val="20"/>
              </w:rPr>
            </w:pPr>
          </w:p>
        </w:tc>
        <w:tc>
          <w:tcPr>
            <w:tcW w:w="0" w:type="auto"/>
            <w:vAlign w:val="center"/>
            <w:hideMark/>
          </w:tcPr>
          <w:p w14:paraId="4E3DDA77" w14:textId="77777777" w:rsidR="00407461" w:rsidRPr="00A47651" w:rsidRDefault="00407461" w:rsidP="00A47651">
            <w:pPr>
              <w:spacing w:after="0" w:line="240" w:lineRule="auto"/>
              <w:rPr>
                <w:sz w:val="20"/>
                <w:szCs w:val="20"/>
              </w:rPr>
            </w:pPr>
            <w:r w:rsidRPr="00A47651">
              <w:rPr>
                <w:sz w:val="20"/>
                <w:szCs w:val="20"/>
              </w:rPr>
              <w:t>Interest Coverage Ratio – Latest Annual</w:t>
            </w:r>
          </w:p>
        </w:tc>
        <w:tc>
          <w:tcPr>
            <w:tcW w:w="0" w:type="auto"/>
            <w:vAlign w:val="center"/>
            <w:hideMark/>
          </w:tcPr>
          <w:p w14:paraId="35F2F826" w14:textId="77777777" w:rsidR="00407461" w:rsidRPr="00A47651" w:rsidRDefault="00407461" w:rsidP="00A47651">
            <w:pPr>
              <w:spacing w:after="0" w:line="240" w:lineRule="auto"/>
              <w:rPr>
                <w:sz w:val="20"/>
                <w:szCs w:val="20"/>
              </w:rPr>
            </w:pPr>
            <w:r w:rsidRPr="00A47651">
              <w:rPr>
                <w:sz w:val="20"/>
                <w:szCs w:val="20"/>
              </w:rPr>
              <w:t>Shows capacity to meet interest obligations, especially for REITs.</w:t>
            </w:r>
          </w:p>
        </w:tc>
      </w:tr>
    </w:tbl>
    <w:p w14:paraId="3FD2C59B" w14:textId="6E2A61B3" w:rsidR="002A2E2B" w:rsidRDefault="00480049" w:rsidP="00D87763">
      <w:pPr>
        <w:pStyle w:val="Heading1"/>
      </w:pPr>
      <w:bookmarkStart w:id="2" w:name="_Toc212322823"/>
      <w:r>
        <w:lastRenderedPageBreak/>
        <w:t>3</w:t>
      </w:r>
      <w:r w:rsidR="00D10898">
        <w:t xml:space="preserve">. </w:t>
      </w:r>
      <w:r w:rsidR="00D10898" w:rsidRPr="00A96C23">
        <w:t xml:space="preserve">Data </w:t>
      </w:r>
      <w:r w:rsidR="00D10898">
        <w:t>C</w:t>
      </w:r>
      <w:r w:rsidR="00D10898" w:rsidRPr="00A96C23">
        <w:t xml:space="preserve">ollection and </w:t>
      </w:r>
      <w:r w:rsidR="00D10898">
        <w:t>E</w:t>
      </w:r>
      <w:r w:rsidR="00D10898" w:rsidRPr="00A96C23">
        <w:t xml:space="preserve">xploratory </w:t>
      </w:r>
      <w:r w:rsidR="00D10898">
        <w:t>A</w:t>
      </w:r>
      <w:r w:rsidR="00D10898" w:rsidRPr="00A96C23">
        <w:t>nalysis</w:t>
      </w:r>
      <w:bookmarkEnd w:id="2"/>
    </w:p>
    <w:p w14:paraId="42B80624" w14:textId="0741C96B" w:rsidR="00CB6442" w:rsidRPr="00024A96" w:rsidRDefault="00CB6442" w:rsidP="00E04A4B">
      <w:r w:rsidRPr="00024A96">
        <w:t xml:space="preserve">Adjusted-close data </w:t>
      </w:r>
      <w:r w:rsidR="00FD6A8A" w:rsidRPr="00024A96">
        <w:t xml:space="preserve">was </w:t>
      </w:r>
      <w:r w:rsidRPr="00024A96">
        <w:t xml:space="preserve">downloaded from NASDAQ for each of the ten selected companies. </w:t>
      </w:r>
      <w:r w:rsidR="00F65C28">
        <w:t xml:space="preserve">The </w:t>
      </w:r>
      <w:r w:rsidRPr="00024A96">
        <w:t xml:space="preserve">S&amp;P 500 Index </w:t>
      </w:r>
      <w:r w:rsidR="00871975" w:rsidRPr="00024A96">
        <w:t xml:space="preserve">was </w:t>
      </w:r>
      <w:r w:rsidR="00390702">
        <w:t>taken</w:t>
      </w:r>
      <w:r w:rsidR="00871975" w:rsidRPr="00024A96">
        <w:t xml:space="preserve"> from </w:t>
      </w:r>
      <w:r w:rsidR="002669E1">
        <w:t xml:space="preserve">the </w:t>
      </w:r>
      <w:r w:rsidR="00C7786D" w:rsidRPr="00024A96">
        <w:t>S&amp;P</w:t>
      </w:r>
      <w:r w:rsidR="00390702">
        <w:t xml:space="preserve"> </w:t>
      </w:r>
      <w:r w:rsidR="002669E1">
        <w:t>database provided through Yahoo Finance API</w:t>
      </w:r>
      <w:r w:rsidR="00072120">
        <w:t xml:space="preserve"> </w:t>
      </w:r>
      <w:r w:rsidR="005C4E37">
        <w:t xml:space="preserve">and </w:t>
      </w:r>
      <w:r w:rsidR="00072120">
        <w:t>used</w:t>
      </w:r>
      <w:r w:rsidRPr="00024A96">
        <w:t xml:space="preserve"> for comparative and correlation analysis.</w:t>
      </w:r>
      <w:r w:rsidR="00871975" w:rsidRPr="00024A96">
        <w:t xml:space="preserve"> </w:t>
      </w:r>
      <w:r w:rsidR="00150332">
        <w:t>The 13-w</w:t>
      </w:r>
      <w:r w:rsidRPr="00024A96">
        <w:t xml:space="preserve">eek U.S. Treasury Bill yield </w:t>
      </w:r>
      <w:r w:rsidR="00E04A4B" w:rsidRPr="00024A96">
        <w:t xml:space="preserve">was taken </w:t>
      </w:r>
      <w:r w:rsidR="00024A96">
        <w:t>fr</w:t>
      </w:r>
      <w:r w:rsidR="0047145C">
        <w:t>om</w:t>
      </w:r>
      <w:r w:rsidRPr="00024A96">
        <w:t xml:space="preserve"> Federal Reserve Economic Data (FRED)</w:t>
      </w:r>
      <w:r w:rsidR="00E04A4B" w:rsidRPr="00024A96">
        <w:t xml:space="preserve"> </w:t>
      </w:r>
      <w:r w:rsidR="00990B28">
        <w:t>provided through Yahoo Finance API</w:t>
      </w:r>
      <w:r w:rsidR="00CC4F9F">
        <w:t>,</w:t>
      </w:r>
      <w:r w:rsidR="002C4179">
        <w:t xml:space="preserve"> used</w:t>
      </w:r>
      <w:r w:rsidR="00E04A4B" w:rsidRPr="00024A96">
        <w:t xml:space="preserve"> </w:t>
      </w:r>
      <w:r w:rsidRPr="00024A96">
        <w:t>for Sharpe-ratio calculations.</w:t>
      </w:r>
      <w:r w:rsidR="00E04A4B" w:rsidRPr="00024A96">
        <w:t xml:space="preserve"> </w:t>
      </w:r>
      <w:r w:rsidRPr="00024A96">
        <w:t xml:space="preserve">Financial metrics (e.g., ROE, Debt-to-Equity, Market Cap, P/E Ratio) </w:t>
      </w:r>
      <w:r w:rsidR="00024A96" w:rsidRPr="00024A96">
        <w:t xml:space="preserve">were </w:t>
      </w:r>
      <w:r w:rsidRPr="00024A96">
        <w:t xml:space="preserve">exported from S&amp;P Capital IQ Pro </w:t>
      </w:r>
      <w:r w:rsidR="00024A96" w:rsidRPr="00024A96">
        <w:t>to link stock performance to fundamentals.</w:t>
      </w:r>
    </w:p>
    <w:p w14:paraId="5F709234" w14:textId="644DEA94" w:rsidR="3B69B607" w:rsidRDefault="00FA202F" w:rsidP="002A2E2B">
      <w:pPr>
        <w:pStyle w:val="Heading2"/>
      </w:pPr>
      <w:bookmarkStart w:id="3" w:name="_Toc212322824"/>
      <w:r w:rsidRPr="00FA202F">
        <w:t>(a</w:t>
      </w:r>
      <w:r>
        <w:t xml:space="preserve">) </w:t>
      </w:r>
      <w:r w:rsidR="00A613E6">
        <w:t>Descriptive Analytics</w:t>
      </w:r>
      <w:r w:rsidR="00A724DB">
        <w:t xml:space="preserve"> </w:t>
      </w:r>
      <w:r w:rsidR="003F2A8A">
        <w:t>of</w:t>
      </w:r>
      <w:r w:rsidR="00A724DB">
        <w:t xml:space="preserve"> </w:t>
      </w:r>
      <w:r>
        <w:t xml:space="preserve">Stock </w:t>
      </w:r>
      <w:r w:rsidR="0081611D">
        <w:t>R</w:t>
      </w:r>
      <w:r>
        <w:t>eturns</w:t>
      </w:r>
      <w:bookmarkEnd w:id="3"/>
    </w:p>
    <w:p w14:paraId="7BF74652" w14:textId="4E86D851" w:rsidR="00C507FA" w:rsidRPr="00C507FA" w:rsidRDefault="00B14499" w:rsidP="00B14499">
      <w:r>
        <w:t>Weekly log returns</w:t>
      </w:r>
      <w:r w:rsidR="00807F86">
        <w:t xml:space="preserve"> (Friday close)</w:t>
      </w:r>
      <w:r>
        <w:t xml:space="preserve"> were computed for ten companies using adjusted-close prices from </w:t>
      </w:r>
      <w:r w:rsidR="00807F86">
        <w:t>Oct</w:t>
      </w:r>
      <w:r>
        <w:t xml:space="preserve"> 2020 </w:t>
      </w:r>
      <w:r w:rsidR="00485C11">
        <w:t>to</w:t>
      </w:r>
      <w:r>
        <w:t xml:space="preserve"> </w:t>
      </w:r>
      <w:r w:rsidR="00807F86">
        <w:t>Oct</w:t>
      </w:r>
      <w:r>
        <w:t xml:space="preserve"> 2025. </w:t>
      </w:r>
      <w:r w:rsidR="00C507FA" w:rsidRPr="00C507FA">
        <w:t>For each stock</w:t>
      </w:r>
      <w:r w:rsidR="00E64193">
        <w:t xml:space="preserve"> </w:t>
      </w:r>
      <m:oMath>
        <m:r>
          <m:rPr>
            <m:sty m:val="p"/>
          </m:rPr>
          <w:rPr>
            <w:rFonts w:ascii="Cambria Math" w:hAnsi="Cambria Math"/>
          </w:rPr>
          <m:t>i</m:t>
        </m:r>
      </m:oMath>
      <w:r w:rsidR="00C507FA">
        <w:t>,</w:t>
      </w:r>
      <w:r w:rsidR="00C507FA" w:rsidRPr="00C507FA">
        <w:t xml:space="preserve"> let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i,t</m:t>
            </m:r>
          </m:sub>
        </m:sSub>
      </m:oMath>
      <w:r w:rsidR="00C507FA" w:rsidRPr="00C507FA">
        <w:t xml:space="preserve">denote its adjusted closing price at week </w:t>
      </w:r>
      <w:r w:rsidR="00C507FA" w:rsidRPr="00C507FA">
        <w:rPr>
          <w:rStyle w:val="Emphasis"/>
        </w:rPr>
        <w:t>t</w:t>
      </w:r>
      <w:r w:rsidR="00C507FA" w:rsidRPr="00C507FA">
        <w:t>.</w:t>
      </w:r>
    </w:p>
    <w:p w14:paraId="560195A4" w14:textId="1E627DFB" w:rsidR="00E64193" w:rsidRPr="0050663F" w:rsidRDefault="00000000" w:rsidP="00B14499">
      <w:pPr>
        <w:rPr>
          <w:rStyle w:val="delimsizing"/>
          <w:rFonts w:eastAsiaTheme="minorEastAsia"/>
        </w:rPr>
      </w:pPr>
      <m:oMathPara>
        <m:oMath>
          <m:sSub>
            <m:sSubPr>
              <m:ctrlPr>
                <w:rPr>
                  <w:rStyle w:val="mord"/>
                  <w:rFonts w:ascii="Cambria Math" w:hAnsi="Cambria Math"/>
                </w:rPr>
              </m:ctrlPr>
            </m:sSubPr>
            <m:e>
              <m:r>
                <m:rPr>
                  <m:sty m:val="p"/>
                </m:rPr>
                <w:rPr>
                  <w:rStyle w:val="mord"/>
                  <w:rFonts w:ascii="Cambria Math" w:hAnsi="Cambria Math"/>
                </w:rPr>
                <m:t>R</m:t>
              </m:r>
            </m:e>
            <m:sub>
              <m:r>
                <m:rPr>
                  <m:sty m:val="p"/>
                </m:rPr>
                <w:rPr>
                  <w:rStyle w:val="mord"/>
                  <w:rFonts w:ascii="Cambria Math" w:hAnsi="Cambria Math"/>
                </w:rPr>
                <m:t>i,t</m:t>
              </m:r>
            </m:sub>
          </m:sSub>
          <m:r>
            <m:rPr>
              <m:sty m:val="p"/>
            </m:rPr>
            <w:rPr>
              <w:rStyle w:val="vlist-s"/>
              <w:rFonts w:ascii="Cambria Math" w:hAnsi="Cambria Math" w:cs="Arial"/>
            </w:rPr>
            <m:t>​</m:t>
          </m:r>
          <m:r>
            <m:rPr>
              <m:sty m:val="p"/>
            </m:rPr>
            <w:rPr>
              <w:rStyle w:val="mrel"/>
              <w:rFonts w:ascii="Cambria Math" w:hAnsi="Cambria Math"/>
            </w:rPr>
            <m:t>=</m:t>
          </m:r>
          <m:r>
            <w:rPr>
              <w:rStyle w:val="mop"/>
              <w:rFonts w:ascii="Cambria Math" w:hAnsi="Cambria Math"/>
            </w:rPr>
            <m:t>ln</m:t>
          </m:r>
          <m:d>
            <m:dPr>
              <m:ctrlPr>
                <w:rPr>
                  <w:rStyle w:val="delimsizing"/>
                  <w:rFonts w:ascii="Cambria Math" w:hAnsi="Cambria Math"/>
                </w:rPr>
              </m:ctrlPr>
            </m:dPr>
            <m:e>
              <m:f>
                <m:fPr>
                  <m:ctrlPr>
                    <w:rPr>
                      <w:rStyle w:val="vlist-s"/>
                      <w:rFonts w:ascii="Cambria Math" w:hAnsi="Cambria Math" w:cs="Arial"/>
                    </w:rPr>
                  </m:ctrlPr>
                </m:fPr>
                <m:num>
                  <m:r>
                    <m:rPr>
                      <m:sty m:val="p"/>
                    </m:rPr>
                    <w:rPr>
                      <w:rStyle w:val="vlist-s"/>
                      <w:rFonts w:ascii="Cambria Math" w:hAnsi="Cambria Math" w:cs="Arial"/>
                    </w:rPr>
                    <m:t>​</m:t>
                  </m:r>
                  <m:sSub>
                    <m:sSubPr>
                      <m:ctrlPr>
                        <w:rPr>
                          <w:rStyle w:val="vlist-s"/>
                          <w:rFonts w:ascii="Cambria Math" w:hAnsi="Cambria Math" w:cs="Arial"/>
                        </w:rPr>
                      </m:ctrlPr>
                    </m:sSubPr>
                    <m:e>
                      <m:r>
                        <m:rPr>
                          <m:sty m:val="p"/>
                        </m:rPr>
                        <w:rPr>
                          <w:rStyle w:val="vlist-s"/>
                          <w:rFonts w:ascii="Cambria Math" w:hAnsi="Cambria Math" w:cs="Arial"/>
                        </w:rPr>
                        <m:t>P</m:t>
                      </m:r>
                    </m:e>
                    <m:sub>
                      <m:r>
                        <m:rPr>
                          <m:sty m:val="p"/>
                        </m:rPr>
                        <w:rPr>
                          <w:rStyle w:val="vlist-s"/>
                          <w:rFonts w:ascii="Cambria Math" w:hAnsi="Cambria Math" w:cs="Arial"/>
                        </w:rPr>
                        <m:t>i,t</m:t>
                      </m:r>
                    </m:sub>
                  </m:sSub>
                  <m:ctrlPr>
                    <w:rPr>
                      <w:rStyle w:val="delimsizing"/>
                      <w:rFonts w:ascii="Cambria Math" w:hAnsi="Cambria Math"/>
                    </w:rPr>
                  </m:ctrlPr>
                </m:num>
                <m:den>
                  <m:sSub>
                    <m:sSubPr>
                      <m:ctrlPr>
                        <w:rPr>
                          <w:rStyle w:val="vlist-s"/>
                          <w:rFonts w:ascii="Cambria Math" w:hAnsi="Cambria Math" w:cs="Arial"/>
                        </w:rPr>
                      </m:ctrlPr>
                    </m:sSubPr>
                    <m:e>
                      <m:r>
                        <m:rPr>
                          <m:sty m:val="p"/>
                        </m:rPr>
                        <w:rPr>
                          <w:rStyle w:val="vlist-s"/>
                          <w:rFonts w:ascii="Cambria Math" w:hAnsi="Cambria Math" w:cs="Arial"/>
                        </w:rPr>
                        <m:t>P</m:t>
                      </m:r>
                    </m:e>
                    <m:sub>
                      <m:r>
                        <m:rPr>
                          <m:sty m:val="p"/>
                        </m:rPr>
                        <w:rPr>
                          <w:rStyle w:val="vlist-s"/>
                          <w:rFonts w:ascii="Cambria Math" w:hAnsi="Cambria Math" w:cs="Arial"/>
                        </w:rPr>
                        <m:t>i,t-1</m:t>
                      </m:r>
                    </m:sub>
                  </m:sSub>
                </m:den>
              </m:f>
              <m:r>
                <m:rPr>
                  <m:sty m:val="p"/>
                </m:rPr>
                <w:rPr>
                  <w:rStyle w:val="vlist-s"/>
                  <w:rFonts w:ascii="Cambria Math" w:hAnsi="Cambria Math" w:cs="Arial"/>
                </w:rPr>
                <m:t>​</m:t>
              </m:r>
            </m:e>
          </m:d>
          <m:r>
            <m:rPr>
              <m:sty m:val="p"/>
            </m:rPr>
            <w:rPr>
              <w:rStyle w:val="delimsizing"/>
              <w:rFonts w:ascii="Cambria Math" w:hAnsi="Cambria Math"/>
            </w:rPr>
            <m:t xml:space="preserve"> </m:t>
          </m:r>
        </m:oMath>
      </m:oMathPara>
    </w:p>
    <w:p w14:paraId="55E96834" w14:textId="6C3AA78D" w:rsidR="00431C9B" w:rsidRPr="00431C9B" w:rsidRDefault="00E7160B" w:rsidP="00717F30">
      <w:r w:rsidRPr="00E7160B">
        <w:t xml:space="preserve">The empirical histograms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i,t</m:t>
            </m:r>
          </m:sub>
        </m:sSub>
      </m:oMath>
      <w:r w:rsidR="00A840F5">
        <w:rPr>
          <w:rFonts w:eastAsiaTheme="minorEastAsia"/>
        </w:rPr>
        <w:t xml:space="preserve"> </w:t>
      </w:r>
      <w:r w:rsidRPr="00E7160B">
        <w:t xml:space="preserve">were </w:t>
      </w:r>
      <w:r w:rsidR="00EA6BB0">
        <w:t>overlaid</w:t>
      </w:r>
      <w:r w:rsidRPr="00E7160B">
        <w:t xml:space="preserve"> with a normal </w:t>
      </w:r>
      <w:r w:rsidR="00EA6BB0">
        <w:t>distribution</w:t>
      </w:r>
      <w:r w:rsidR="00A840F5">
        <w:t xml:space="preserve"> to visually assess deviations </w:t>
      </w:r>
      <w:r w:rsidR="007804F2">
        <w:t>of returns</w:t>
      </w:r>
      <w:r w:rsidR="00A840F5">
        <w:t xml:space="preserve"> from </w:t>
      </w:r>
      <w:r w:rsidR="00431C9B" w:rsidRPr="00216813">
        <w:t>normality</w:t>
      </w:r>
      <w:r w:rsidR="00431C9B" w:rsidRPr="00431C9B">
        <w:t>.</w:t>
      </w:r>
    </w:p>
    <w:p w14:paraId="656445CA" w14:textId="30EAF795" w:rsidR="00431C9B" w:rsidRDefault="000647FE" w:rsidP="00692118">
      <w:pPr>
        <w:jc w:val="center"/>
      </w:pPr>
      <w:r w:rsidRPr="000647FE">
        <w:rPr>
          <w:noProof/>
        </w:rPr>
        <w:drawing>
          <wp:inline distT="0" distB="0" distL="0" distR="0" wp14:anchorId="4128EE37" wp14:editId="2E27ECB9">
            <wp:extent cx="5394960" cy="4023741"/>
            <wp:effectExtent l="0" t="0" r="2540" b="2540"/>
            <wp:docPr id="1112070238" name="Picture 1" descr="A graph of a financial s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70238" name="Picture 1" descr="A graph of a financial sector&#10;&#10;AI-generated content may be incorrect."/>
                    <pic:cNvPicPr/>
                  </pic:nvPicPr>
                  <pic:blipFill>
                    <a:blip r:embed="rId8"/>
                    <a:stretch>
                      <a:fillRect/>
                    </a:stretch>
                  </pic:blipFill>
                  <pic:spPr>
                    <a:xfrm>
                      <a:off x="0" y="0"/>
                      <a:ext cx="5394960" cy="4023741"/>
                    </a:xfrm>
                    <a:prstGeom prst="rect">
                      <a:avLst/>
                    </a:prstGeom>
                  </pic:spPr>
                </pic:pic>
              </a:graphicData>
            </a:graphic>
          </wp:inline>
        </w:drawing>
      </w:r>
    </w:p>
    <w:p w14:paraId="599FF30B" w14:textId="41C96DF1" w:rsidR="00692118" w:rsidRDefault="00560959" w:rsidP="00692118">
      <w:pPr>
        <w:jc w:val="center"/>
      </w:pPr>
      <w:r w:rsidRPr="00560959">
        <w:rPr>
          <w:noProof/>
        </w:rPr>
        <w:lastRenderedPageBreak/>
        <w:drawing>
          <wp:inline distT="0" distB="0" distL="0" distR="0" wp14:anchorId="678B90FD" wp14:editId="49C2A32C">
            <wp:extent cx="5394960" cy="4016824"/>
            <wp:effectExtent l="0" t="0" r="2540" b="0"/>
            <wp:docPr id="663224989" name="Picture 1" descr="A graph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24989" name="Picture 1" descr="A graph of a normal distribution&#10;&#10;AI-generated content may be incorrect."/>
                    <pic:cNvPicPr/>
                  </pic:nvPicPr>
                  <pic:blipFill>
                    <a:blip r:embed="rId9"/>
                    <a:stretch>
                      <a:fillRect/>
                    </a:stretch>
                  </pic:blipFill>
                  <pic:spPr>
                    <a:xfrm>
                      <a:off x="0" y="0"/>
                      <a:ext cx="5394960" cy="4016824"/>
                    </a:xfrm>
                    <a:prstGeom prst="rect">
                      <a:avLst/>
                    </a:prstGeom>
                  </pic:spPr>
                </pic:pic>
              </a:graphicData>
            </a:graphic>
          </wp:inline>
        </w:drawing>
      </w:r>
    </w:p>
    <w:p w14:paraId="69D7CA18" w14:textId="30503F4C" w:rsidR="3B69B607" w:rsidRDefault="3B69B607" w:rsidP="003E0032">
      <w:pPr>
        <w:jc w:val="center"/>
        <w:rPr>
          <w:sz w:val="20"/>
          <w:szCs w:val="20"/>
        </w:rPr>
      </w:pPr>
      <w:r w:rsidRPr="4B90F60D">
        <w:rPr>
          <w:b/>
          <w:bCs/>
          <w:sz w:val="20"/>
          <w:szCs w:val="20"/>
        </w:rPr>
        <w:t>Fig 1</w:t>
      </w:r>
      <w:r w:rsidRPr="4B90F60D">
        <w:rPr>
          <w:sz w:val="20"/>
          <w:szCs w:val="20"/>
        </w:rPr>
        <w:t xml:space="preserve">: </w:t>
      </w:r>
      <w:r w:rsidR="00FA202F">
        <w:rPr>
          <w:sz w:val="20"/>
          <w:szCs w:val="20"/>
        </w:rPr>
        <w:t xml:space="preserve">Normality of </w:t>
      </w:r>
      <w:r w:rsidR="00E41DD8">
        <w:rPr>
          <w:sz w:val="20"/>
          <w:szCs w:val="20"/>
        </w:rPr>
        <w:t>S</w:t>
      </w:r>
      <w:r w:rsidR="00FA202F">
        <w:rPr>
          <w:sz w:val="20"/>
          <w:szCs w:val="20"/>
        </w:rPr>
        <w:t xml:space="preserve">tock </w:t>
      </w:r>
      <w:r w:rsidR="00E41DD8">
        <w:rPr>
          <w:sz w:val="20"/>
          <w:szCs w:val="20"/>
        </w:rPr>
        <w:t>R</w:t>
      </w:r>
      <w:r w:rsidR="00FA202F">
        <w:rPr>
          <w:sz w:val="20"/>
          <w:szCs w:val="20"/>
        </w:rPr>
        <w:t>eturns</w:t>
      </w:r>
    </w:p>
    <w:p w14:paraId="5DA4793F" w14:textId="1C1CCF22" w:rsidR="00FE5FC5" w:rsidRPr="006C5764" w:rsidRDefault="003C7FE5" w:rsidP="00FE5FC5">
      <w:pPr>
        <w:rPr>
          <w:b/>
          <w:bCs/>
        </w:rPr>
      </w:pPr>
      <w:r w:rsidRPr="006C5764">
        <w:rPr>
          <w:b/>
          <w:bCs/>
        </w:rPr>
        <w:t xml:space="preserve">Performance </w:t>
      </w:r>
      <w:r w:rsidR="00EF1643" w:rsidRPr="006C5764">
        <w:rPr>
          <w:b/>
          <w:bCs/>
        </w:rPr>
        <w:t>of each stock over 5 years:</w:t>
      </w:r>
    </w:p>
    <w:tbl>
      <w:tblPr>
        <w:tblW w:w="7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tblGrid>
      <w:tr w:rsidR="00EF1643" w:rsidRPr="00EF1643" w14:paraId="6DDF6771" w14:textId="77777777" w:rsidTr="00EF1643">
        <w:trPr>
          <w:trHeight w:val="400"/>
        </w:trPr>
        <w:tc>
          <w:tcPr>
            <w:tcW w:w="1300" w:type="dxa"/>
            <w:noWrap/>
            <w:vAlign w:val="center"/>
            <w:hideMark/>
          </w:tcPr>
          <w:p w14:paraId="5046ECEE" w14:textId="77777777" w:rsidR="00EF1643" w:rsidRPr="00EF1643" w:rsidRDefault="00EF1643" w:rsidP="00EF1643">
            <w:pPr>
              <w:spacing w:after="0" w:line="240" w:lineRule="auto"/>
              <w:jc w:val="center"/>
              <w:rPr>
                <w:rFonts w:eastAsia="Times New Roman" w:cs="Times New Roman"/>
                <w:b/>
                <w:bCs/>
                <w:color w:val="000000"/>
                <w:kern w:val="0"/>
                <w:szCs w:val="22"/>
                <w14:ligatures w14:val="none"/>
              </w:rPr>
            </w:pPr>
            <w:r w:rsidRPr="00EF1643">
              <w:rPr>
                <w:rFonts w:eastAsia="Times New Roman" w:cs="Times New Roman"/>
                <w:b/>
                <w:bCs/>
                <w:color w:val="000000"/>
                <w:kern w:val="0"/>
                <w:szCs w:val="22"/>
                <w14:ligatures w14:val="none"/>
              </w:rPr>
              <w:t>Ticker</w:t>
            </w:r>
          </w:p>
        </w:tc>
        <w:tc>
          <w:tcPr>
            <w:tcW w:w="1300" w:type="dxa"/>
            <w:vAlign w:val="center"/>
            <w:hideMark/>
          </w:tcPr>
          <w:p w14:paraId="4BFC5834" w14:textId="77777777" w:rsidR="00EF1643" w:rsidRPr="00EF1643" w:rsidRDefault="00EF1643" w:rsidP="00EF1643">
            <w:pPr>
              <w:spacing w:after="0" w:line="240" w:lineRule="auto"/>
              <w:jc w:val="center"/>
              <w:rPr>
                <w:rFonts w:eastAsia="Times New Roman" w:cs="Times New Roman"/>
                <w:b/>
                <w:bCs/>
                <w:color w:val="000000"/>
                <w:kern w:val="0"/>
                <w:szCs w:val="22"/>
                <w14:ligatures w14:val="none"/>
              </w:rPr>
            </w:pPr>
            <w:r w:rsidRPr="00EF1643">
              <w:rPr>
                <w:rFonts w:eastAsia="Times New Roman" w:cs="Times New Roman"/>
                <w:b/>
                <w:bCs/>
                <w:color w:val="000000"/>
                <w:kern w:val="0"/>
                <w:szCs w:val="22"/>
                <w14:ligatures w14:val="none"/>
              </w:rPr>
              <w:t>Mean</w:t>
            </w:r>
          </w:p>
        </w:tc>
        <w:tc>
          <w:tcPr>
            <w:tcW w:w="1300" w:type="dxa"/>
            <w:vAlign w:val="center"/>
            <w:hideMark/>
          </w:tcPr>
          <w:p w14:paraId="2AD09264" w14:textId="77777777" w:rsidR="00EF1643" w:rsidRPr="00EF1643" w:rsidRDefault="00EF1643" w:rsidP="00EF1643">
            <w:pPr>
              <w:spacing w:after="0" w:line="240" w:lineRule="auto"/>
              <w:jc w:val="center"/>
              <w:rPr>
                <w:rFonts w:eastAsia="Times New Roman" w:cs="Times New Roman"/>
                <w:b/>
                <w:bCs/>
                <w:color w:val="000000"/>
                <w:kern w:val="0"/>
                <w:szCs w:val="22"/>
                <w14:ligatures w14:val="none"/>
              </w:rPr>
            </w:pPr>
            <w:r w:rsidRPr="00EF1643">
              <w:rPr>
                <w:rFonts w:eastAsia="Times New Roman" w:cs="Times New Roman"/>
                <w:b/>
                <w:bCs/>
                <w:color w:val="000000"/>
                <w:kern w:val="0"/>
                <w:szCs w:val="22"/>
                <w14:ligatures w14:val="none"/>
              </w:rPr>
              <w:t>Median</w:t>
            </w:r>
          </w:p>
        </w:tc>
        <w:tc>
          <w:tcPr>
            <w:tcW w:w="1300" w:type="dxa"/>
            <w:vAlign w:val="center"/>
            <w:hideMark/>
          </w:tcPr>
          <w:p w14:paraId="1E8CD574" w14:textId="77777777" w:rsidR="00EF1643" w:rsidRPr="00EF1643" w:rsidRDefault="00EF1643" w:rsidP="00EF1643">
            <w:pPr>
              <w:spacing w:after="0" w:line="240" w:lineRule="auto"/>
              <w:jc w:val="center"/>
              <w:rPr>
                <w:rFonts w:eastAsia="Times New Roman" w:cs="Times New Roman"/>
                <w:b/>
                <w:bCs/>
                <w:color w:val="000000"/>
                <w:kern w:val="0"/>
                <w:szCs w:val="22"/>
                <w14:ligatures w14:val="none"/>
              </w:rPr>
            </w:pPr>
            <w:proofErr w:type="spellStart"/>
            <w:r w:rsidRPr="00EF1643">
              <w:rPr>
                <w:rFonts w:eastAsia="Times New Roman" w:cs="Times New Roman"/>
                <w:b/>
                <w:bCs/>
                <w:color w:val="000000"/>
                <w:kern w:val="0"/>
                <w:szCs w:val="22"/>
                <w14:ligatures w14:val="none"/>
              </w:rPr>
              <w:t>StdDev</w:t>
            </w:r>
            <w:proofErr w:type="spellEnd"/>
          </w:p>
        </w:tc>
        <w:tc>
          <w:tcPr>
            <w:tcW w:w="1300" w:type="dxa"/>
            <w:vAlign w:val="center"/>
            <w:hideMark/>
          </w:tcPr>
          <w:p w14:paraId="1BE595CA" w14:textId="77777777" w:rsidR="00EF1643" w:rsidRPr="00EF1643" w:rsidRDefault="00EF1643" w:rsidP="00EF1643">
            <w:pPr>
              <w:spacing w:after="0" w:line="240" w:lineRule="auto"/>
              <w:jc w:val="center"/>
              <w:rPr>
                <w:rFonts w:eastAsia="Times New Roman" w:cs="Times New Roman"/>
                <w:b/>
                <w:bCs/>
                <w:color w:val="000000"/>
                <w:kern w:val="0"/>
                <w:szCs w:val="22"/>
                <w14:ligatures w14:val="none"/>
              </w:rPr>
            </w:pPr>
            <w:r w:rsidRPr="00EF1643">
              <w:rPr>
                <w:rFonts w:eastAsia="Times New Roman" w:cs="Times New Roman"/>
                <w:b/>
                <w:bCs/>
                <w:color w:val="000000"/>
                <w:kern w:val="0"/>
                <w:szCs w:val="22"/>
                <w14:ligatures w14:val="none"/>
              </w:rPr>
              <w:t>Skewness</w:t>
            </w:r>
          </w:p>
        </w:tc>
        <w:tc>
          <w:tcPr>
            <w:tcW w:w="1300" w:type="dxa"/>
            <w:noWrap/>
            <w:vAlign w:val="center"/>
            <w:hideMark/>
          </w:tcPr>
          <w:p w14:paraId="51B02745" w14:textId="77777777" w:rsidR="00EF1643" w:rsidRPr="00EF1643" w:rsidRDefault="00EF1643" w:rsidP="00EF1643">
            <w:pPr>
              <w:spacing w:after="0" w:line="240" w:lineRule="auto"/>
              <w:jc w:val="center"/>
              <w:rPr>
                <w:rFonts w:eastAsia="Times New Roman" w:cs="Times New Roman"/>
                <w:b/>
                <w:bCs/>
                <w:color w:val="000000"/>
                <w:kern w:val="0"/>
                <w:szCs w:val="22"/>
                <w14:ligatures w14:val="none"/>
              </w:rPr>
            </w:pPr>
            <w:r w:rsidRPr="00EF1643">
              <w:rPr>
                <w:rFonts w:eastAsia="Times New Roman" w:cs="Times New Roman"/>
                <w:b/>
                <w:bCs/>
                <w:color w:val="000000"/>
                <w:kern w:val="0"/>
                <w:szCs w:val="22"/>
                <w14:ligatures w14:val="none"/>
              </w:rPr>
              <w:t>Kurtosis</w:t>
            </w:r>
          </w:p>
        </w:tc>
      </w:tr>
      <w:tr w:rsidR="00EF1643" w:rsidRPr="00EF1643" w14:paraId="14A5F601" w14:textId="77777777" w:rsidTr="00EF1643">
        <w:trPr>
          <w:trHeight w:val="400"/>
        </w:trPr>
        <w:tc>
          <w:tcPr>
            <w:tcW w:w="1300" w:type="dxa"/>
            <w:noWrap/>
            <w:vAlign w:val="center"/>
            <w:hideMark/>
          </w:tcPr>
          <w:p w14:paraId="2E90510A"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JPM</w:t>
            </w:r>
          </w:p>
        </w:tc>
        <w:tc>
          <w:tcPr>
            <w:tcW w:w="1300" w:type="dxa"/>
            <w:noWrap/>
            <w:vAlign w:val="center"/>
            <w:hideMark/>
          </w:tcPr>
          <w:p w14:paraId="7181B131"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0.0041</w:t>
            </w:r>
          </w:p>
        </w:tc>
        <w:tc>
          <w:tcPr>
            <w:tcW w:w="1300" w:type="dxa"/>
            <w:noWrap/>
            <w:vAlign w:val="center"/>
            <w:hideMark/>
          </w:tcPr>
          <w:p w14:paraId="1777865C"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0.0064</w:t>
            </w:r>
          </w:p>
        </w:tc>
        <w:tc>
          <w:tcPr>
            <w:tcW w:w="1300" w:type="dxa"/>
            <w:noWrap/>
            <w:vAlign w:val="center"/>
            <w:hideMark/>
          </w:tcPr>
          <w:p w14:paraId="5F6A3E14"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0.0359</w:t>
            </w:r>
          </w:p>
        </w:tc>
        <w:tc>
          <w:tcPr>
            <w:tcW w:w="1300" w:type="dxa"/>
            <w:noWrap/>
            <w:vAlign w:val="center"/>
            <w:hideMark/>
          </w:tcPr>
          <w:p w14:paraId="09DC6A1F"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-0.2812</w:t>
            </w:r>
          </w:p>
        </w:tc>
        <w:tc>
          <w:tcPr>
            <w:tcW w:w="1300" w:type="dxa"/>
            <w:noWrap/>
            <w:vAlign w:val="center"/>
            <w:hideMark/>
          </w:tcPr>
          <w:p w14:paraId="67DFED78"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1.4033</w:t>
            </w:r>
          </w:p>
        </w:tc>
      </w:tr>
      <w:tr w:rsidR="00EF1643" w:rsidRPr="00EF1643" w14:paraId="5BD036BE" w14:textId="77777777" w:rsidTr="00EF1643">
        <w:trPr>
          <w:trHeight w:val="400"/>
        </w:trPr>
        <w:tc>
          <w:tcPr>
            <w:tcW w:w="1300" w:type="dxa"/>
            <w:noWrap/>
            <w:vAlign w:val="center"/>
            <w:hideMark/>
          </w:tcPr>
          <w:p w14:paraId="3DDB3CEF"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BAC</w:t>
            </w:r>
          </w:p>
        </w:tc>
        <w:tc>
          <w:tcPr>
            <w:tcW w:w="1300" w:type="dxa"/>
            <w:noWrap/>
            <w:vAlign w:val="center"/>
            <w:hideMark/>
          </w:tcPr>
          <w:p w14:paraId="1EBD7BFC"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0.0028</w:t>
            </w:r>
          </w:p>
        </w:tc>
        <w:tc>
          <w:tcPr>
            <w:tcW w:w="1300" w:type="dxa"/>
            <w:noWrap/>
            <w:vAlign w:val="center"/>
            <w:hideMark/>
          </w:tcPr>
          <w:p w14:paraId="664A403F"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0.0069</w:t>
            </w:r>
          </w:p>
        </w:tc>
        <w:tc>
          <w:tcPr>
            <w:tcW w:w="1300" w:type="dxa"/>
            <w:noWrap/>
            <w:vAlign w:val="center"/>
            <w:hideMark/>
          </w:tcPr>
          <w:p w14:paraId="498F9896"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0.0413</w:t>
            </w:r>
          </w:p>
        </w:tc>
        <w:tc>
          <w:tcPr>
            <w:tcW w:w="1300" w:type="dxa"/>
            <w:noWrap/>
            <w:vAlign w:val="center"/>
            <w:hideMark/>
          </w:tcPr>
          <w:p w14:paraId="24DD9B52"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-0.4461</w:t>
            </w:r>
          </w:p>
        </w:tc>
        <w:tc>
          <w:tcPr>
            <w:tcW w:w="1300" w:type="dxa"/>
            <w:noWrap/>
            <w:vAlign w:val="center"/>
            <w:hideMark/>
          </w:tcPr>
          <w:p w14:paraId="649C50AF"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1.5747</w:t>
            </w:r>
          </w:p>
        </w:tc>
      </w:tr>
      <w:tr w:rsidR="00EF1643" w:rsidRPr="00EF1643" w14:paraId="71BD1142" w14:textId="77777777" w:rsidTr="00EF1643">
        <w:trPr>
          <w:trHeight w:val="400"/>
        </w:trPr>
        <w:tc>
          <w:tcPr>
            <w:tcW w:w="1300" w:type="dxa"/>
            <w:noWrap/>
            <w:vAlign w:val="center"/>
            <w:hideMark/>
          </w:tcPr>
          <w:p w14:paraId="5DD109D0"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WFC</w:t>
            </w:r>
          </w:p>
        </w:tc>
        <w:tc>
          <w:tcPr>
            <w:tcW w:w="1300" w:type="dxa"/>
            <w:noWrap/>
            <w:vAlign w:val="center"/>
            <w:hideMark/>
          </w:tcPr>
          <w:p w14:paraId="377254E4"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0.0049</w:t>
            </w:r>
          </w:p>
        </w:tc>
        <w:tc>
          <w:tcPr>
            <w:tcW w:w="1300" w:type="dxa"/>
            <w:noWrap/>
            <w:vAlign w:val="center"/>
            <w:hideMark/>
          </w:tcPr>
          <w:p w14:paraId="382F90FC"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0.0046</w:t>
            </w:r>
          </w:p>
        </w:tc>
        <w:tc>
          <w:tcPr>
            <w:tcW w:w="1300" w:type="dxa"/>
            <w:noWrap/>
            <w:vAlign w:val="center"/>
            <w:hideMark/>
          </w:tcPr>
          <w:p w14:paraId="13D9EB71"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0.045</w:t>
            </w:r>
          </w:p>
        </w:tc>
        <w:tc>
          <w:tcPr>
            <w:tcW w:w="1300" w:type="dxa"/>
            <w:noWrap/>
            <w:vAlign w:val="center"/>
            <w:hideMark/>
          </w:tcPr>
          <w:p w14:paraId="2A2A0400"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-0.3231</w:t>
            </w:r>
          </w:p>
        </w:tc>
        <w:tc>
          <w:tcPr>
            <w:tcW w:w="1300" w:type="dxa"/>
            <w:noWrap/>
            <w:vAlign w:val="center"/>
            <w:hideMark/>
          </w:tcPr>
          <w:p w14:paraId="28E84573"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0.7536</w:t>
            </w:r>
          </w:p>
        </w:tc>
      </w:tr>
      <w:tr w:rsidR="00EF1643" w:rsidRPr="00EF1643" w14:paraId="68F2B18E" w14:textId="77777777" w:rsidTr="00EF1643">
        <w:trPr>
          <w:trHeight w:val="400"/>
        </w:trPr>
        <w:tc>
          <w:tcPr>
            <w:tcW w:w="1300" w:type="dxa"/>
            <w:noWrap/>
            <w:vAlign w:val="center"/>
            <w:hideMark/>
          </w:tcPr>
          <w:p w14:paraId="7D4C11ED"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GS</w:t>
            </w:r>
          </w:p>
        </w:tc>
        <w:tc>
          <w:tcPr>
            <w:tcW w:w="1300" w:type="dxa"/>
            <w:noWrap/>
            <w:vAlign w:val="center"/>
            <w:hideMark/>
          </w:tcPr>
          <w:p w14:paraId="6A58A22A"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0.005</w:t>
            </w:r>
          </w:p>
        </w:tc>
        <w:tc>
          <w:tcPr>
            <w:tcW w:w="1300" w:type="dxa"/>
            <w:noWrap/>
            <w:vAlign w:val="center"/>
            <w:hideMark/>
          </w:tcPr>
          <w:p w14:paraId="655202D7"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0.0036</w:t>
            </w:r>
          </w:p>
        </w:tc>
        <w:tc>
          <w:tcPr>
            <w:tcW w:w="1300" w:type="dxa"/>
            <w:noWrap/>
            <w:vAlign w:val="center"/>
            <w:hideMark/>
          </w:tcPr>
          <w:p w14:paraId="1643ED4A"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0.0406</w:t>
            </w:r>
          </w:p>
        </w:tc>
        <w:tc>
          <w:tcPr>
            <w:tcW w:w="1300" w:type="dxa"/>
            <w:noWrap/>
            <w:vAlign w:val="center"/>
            <w:hideMark/>
          </w:tcPr>
          <w:p w14:paraId="46F2FB09"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-0.11</w:t>
            </w:r>
          </w:p>
        </w:tc>
        <w:tc>
          <w:tcPr>
            <w:tcW w:w="1300" w:type="dxa"/>
            <w:noWrap/>
            <w:vAlign w:val="center"/>
            <w:hideMark/>
          </w:tcPr>
          <w:p w14:paraId="72956939"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0.8485</w:t>
            </w:r>
          </w:p>
        </w:tc>
      </w:tr>
      <w:tr w:rsidR="00EF1643" w:rsidRPr="00EF1643" w14:paraId="0E0F1EFC" w14:textId="77777777" w:rsidTr="00EF1643">
        <w:trPr>
          <w:trHeight w:val="400"/>
        </w:trPr>
        <w:tc>
          <w:tcPr>
            <w:tcW w:w="1300" w:type="dxa"/>
            <w:noWrap/>
            <w:vAlign w:val="center"/>
            <w:hideMark/>
          </w:tcPr>
          <w:p w14:paraId="41928C8C"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BLK</w:t>
            </w:r>
          </w:p>
        </w:tc>
        <w:tc>
          <w:tcPr>
            <w:tcW w:w="1300" w:type="dxa"/>
            <w:noWrap/>
            <w:vAlign w:val="center"/>
            <w:hideMark/>
          </w:tcPr>
          <w:p w14:paraId="2E26A948"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0.0023</w:t>
            </w:r>
          </w:p>
        </w:tc>
        <w:tc>
          <w:tcPr>
            <w:tcW w:w="1300" w:type="dxa"/>
            <w:noWrap/>
            <w:vAlign w:val="center"/>
            <w:hideMark/>
          </w:tcPr>
          <w:p w14:paraId="1C390181"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0.0037</w:t>
            </w:r>
          </w:p>
        </w:tc>
        <w:tc>
          <w:tcPr>
            <w:tcW w:w="1300" w:type="dxa"/>
            <w:noWrap/>
            <w:vAlign w:val="center"/>
            <w:hideMark/>
          </w:tcPr>
          <w:p w14:paraId="51FB7D3E"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0.0387</w:t>
            </w:r>
          </w:p>
        </w:tc>
        <w:tc>
          <w:tcPr>
            <w:tcW w:w="1300" w:type="dxa"/>
            <w:noWrap/>
            <w:vAlign w:val="center"/>
            <w:hideMark/>
          </w:tcPr>
          <w:p w14:paraId="38008306"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0.2088</w:t>
            </w:r>
          </w:p>
        </w:tc>
        <w:tc>
          <w:tcPr>
            <w:tcW w:w="1300" w:type="dxa"/>
            <w:noWrap/>
            <w:vAlign w:val="center"/>
            <w:hideMark/>
          </w:tcPr>
          <w:p w14:paraId="06AF4C4F"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1.6726</w:t>
            </w:r>
          </w:p>
        </w:tc>
      </w:tr>
      <w:tr w:rsidR="00EF1643" w:rsidRPr="00EF1643" w14:paraId="5A3630D9" w14:textId="77777777" w:rsidTr="00EF1643">
        <w:trPr>
          <w:trHeight w:val="400"/>
        </w:trPr>
        <w:tc>
          <w:tcPr>
            <w:tcW w:w="1300" w:type="dxa"/>
            <w:noWrap/>
            <w:vAlign w:val="center"/>
            <w:hideMark/>
          </w:tcPr>
          <w:p w14:paraId="75246A6F"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PLD</w:t>
            </w:r>
          </w:p>
        </w:tc>
        <w:tc>
          <w:tcPr>
            <w:tcW w:w="1300" w:type="dxa"/>
            <w:noWrap/>
            <w:vAlign w:val="center"/>
            <w:hideMark/>
          </w:tcPr>
          <w:p w14:paraId="111409B5"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0.0007</w:t>
            </w:r>
          </w:p>
        </w:tc>
        <w:tc>
          <w:tcPr>
            <w:tcW w:w="1300" w:type="dxa"/>
            <w:noWrap/>
            <w:vAlign w:val="center"/>
            <w:hideMark/>
          </w:tcPr>
          <w:p w14:paraId="48C50F17"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0.0042</w:t>
            </w:r>
          </w:p>
        </w:tc>
        <w:tc>
          <w:tcPr>
            <w:tcW w:w="1300" w:type="dxa"/>
            <w:noWrap/>
            <w:vAlign w:val="center"/>
            <w:hideMark/>
          </w:tcPr>
          <w:p w14:paraId="4AE0B0E2"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0.0391</w:t>
            </w:r>
          </w:p>
        </w:tc>
        <w:tc>
          <w:tcPr>
            <w:tcW w:w="1300" w:type="dxa"/>
            <w:noWrap/>
            <w:vAlign w:val="center"/>
            <w:hideMark/>
          </w:tcPr>
          <w:p w14:paraId="28EEAB8A"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-0.3784</w:t>
            </w:r>
          </w:p>
        </w:tc>
        <w:tc>
          <w:tcPr>
            <w:tcW w:w="1300" w:type="dxa"/>
            <w:noWrap/>
            <w:vAlign w:val="center"/>
            <w:hideMark/>
          </w:tcPr>
          <w:p w14:paraId="67379403"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1.4013</w:t>
            </w:r>
          </w:p>
        </w:tc>
      </w:tr>
      <w:tr w:rsidR="00EF1643" w:rsidRPr="00EF1643" w14:paraId="4FDF4F44" w14:textId="77777777" w:rsidTr="00EF1643">
        <w:trPr>
          <w:trHeight w:val="400"/>
        </w:trPr>
        <w:tc>
          <w:tcPr>
            <w:tcW w:w="1300" w:type="dxa"/>
            <w:noWrap/>
            <w:vAlign w:val="center"/>
            <w:hideMark/>
          </w:tcPr>
          <w:p w14:paraId="6BFCD50A"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AMT</w:t>
            </w:r>
          </w:p>
        </w:tc>
        <w:tc>
          <w:tcPr>
            <w:tcW w:w="1300" w:type="dxa"/>
            <w:noWrap/>
            <w:vAlign w:val="center"/>
            <w:hideMark/>
          </w:tcPr>
          <w:p w14:paraId="5D85C329"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-0.0008</w:t>
            </w:r>
          </w:p>
        </w:tc>
        <w:tc>
          <w:tcPr>
            <w:tcW w:w="1300" w:type="dxa"/>
            <w:noWrap/>
            <w:vAlign w:val="center"/>
            <w:hideMark/>
          </w:tcPr>
          <w:p w14:paraId="6F9CF6B3"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-0.001</w:t>
            </w:r>
          </w:p>
        </w:tc>
        <w:tc>
          <w:tcPr>
            <w:tcW w:w="1300" w:type="dxa"/>
            <w:noWrap/>
            <w:vAlign w:val="center"/>
            <w:hideMark/>
          </w:tcPr>
          <w:p w14:paraId="73B12610"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0.0375</w:t>
            </w:r>
          </w:p>
        </w:tc>
        <w:tc>
          <w:tcPr>
            <w:tcW w:w="1300" w:type="dxa"/>
            <w:noWrap/>
            <w:vAlign w:val="center"/>
            <w:hideMark/>
          </w:tcPr>
          <w:p w14:paraId="6E0E2986"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0.1663</w:t>
            </w:r>
          </w:p>
        </w:tc>
        <w:tc>
          <w:tcPr>
            <w:tcW w:w="1300" w:type="dxa"/>
            <w:noWrap/>
            <w:vAlign w:val="center"/>
            <w:hideMark/>
          </w:tcPr>
          <w:p w14:paraId="305BE14F"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0.068</w:t>
            </w:r>
          </w:p>
        </w:tc>
      </w:tr>
      <w:tr w:rsidR="00EF1643" w:rsidRPr="00EF1643" w14:paraId="329B44AF" w14:textId="77777777" w:rsidTr="00EF1643">
        <w:trPr>
          <w:trHeight w:val="400"/>
        </w:trPr>
        <w:tc>
          <w:tcPr>
            <w:tcW w:w="1300" w:type="dxa"/>
            <w:noWrap/>
            <w:vAlign w:val="center"/>
            <w:hideMark/>
          </w:tcPr>
          <w:p w14:paraId="44F0CD0D"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SPG</w:t>
            </w:r>
          </w:p>
        </w:tc>
        <w:tc>
          <w:tcPr>
            <w:tcW w:w="1300" w:type="dxa"/>
            <w:noWrap/>
            <w:vAlign w:val="center"/>
            <w:hideMark/>
          </w:tcPr>
          <w:p w14:paraId="64F75465"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0.0038</w:t>
            </w:r>
          </w:p>
        </w:tc>
        <w:tc>
          <w:tcPr>
            <w:tcW w:w="1300" w:type="dxa"/>
            <w:noWrap/>
            <w:vAlign w:val="center"/>
            <w:hideMark/>
          </w:tcPr>
          <w:p w14:paraId="7F6D9D60"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0.0033</w:t>
            </w:r>
          </w:p>
        </w:tc>
        <w:tc>
          <w:tcPr>
            <w:tcW w:w="1300" w:type="dxa"/>
            <w:noWrap/>
            <w:vAlign w:val="center"/>
            <w:hideMark/>
          </w:tcPr>
          <w:p w14:paraId="2B3B614A"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0.0403</w:t>
            </w:r>
          </w:p>
        </w:tc>
        <w:tc>
          <w:tcPr>
            <w:tcW w:w="1300" w:type="dxa"/>
            <w:noWrap/>
            <w:vAlign w:val="center"/>
            <w:hideMark/>
          </w:tcPr>
          <w:p w14:paraId="20101FA3"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0.4535</w:t>
            </w:r>
          </w:p>
        </w:tc>
        <w:tc>
          <w:tcPr>
            <w:tcW w:w="1300" w:type="dxa"/>
            <w:noWrap/>
            <w:vAlign w:val="center"/>
            <w:hideMark/>
          </w:tcPr>
          <w:p w14:paraId="259A7C32"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2.1311</w:t>
            </w:r>
          </w:p>
        </w:tc>
      </w:tr>
      <w:tr w:rsidR="00EF1643" w:rsidRPr="00EF1643" w14:paraId="0E7356A2" w14:textId="77777777" w:rsidTr="00EF1643">
        <w:trPr>
          <w:trHeight w:val="400"/>
        </w:trPr>
        <w:tc>
          <w:tcPr>
            <w:tcW w:w="1300" w:type="dxa"/>
            <w:noWrap/>
            <w:vAlign w:val="center"/>
            <w:hideMark/>
          </w:tcPr>
          <w:p w14:paraId="09A6C219"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AVB</w:t>
            </w:r>
          </w:p>
        </w:tc>
        <w:tc>
          <w:tcPr>
            <w:tcW w:w="1300" w:type="dxa"/>
            <w:noWrap/>
            <w:vAlign w:val="center"/>
            <w:hideMark/>
          </w:tcPr>
          <w:p w14:paraId="5D70E85C"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0.001</w:t>
            </w:r>
          </w:p>
        </w:tc>
        <w:tc>
          <w:tcPr>
            <w:tcW w:w="1300" w:type="dxa"/>
            <w:noWrap/>
            <w:vAlign w:val="center"/>
            <w:hideMark/>
          </w:tcPr>
          <w:p w14:paraId="4F8F02DD"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0.0017</w:t>
            </w:r>
          </w:p>
        </w:tc>
        <w:tc>
          <w:tcPr>
            <w:tcW w:w="1300" w:type="dxa"/>
            <w:noWrap/>
            <w:vAlign w:val="center"/>
            <w:hideMark/>
          </w:tcPr>
          <w:p w14:paraId="3C6DB246"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0.0308</w:t>
            </w:r>
          </w:p>
        </w:tc>
        <w:tc>
          <w:tcPr>
            <w:tcW w:w="1300" w:type="dxa"/>
            <w:noWrap/>
            <w:vAlign w:val="center"/>
            <w:hideMark/>
          </w:tcPr>
          <w:p w14:paraId="575D0709"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-0.0143</w:t>
            </w:r>
          </w:p>
        </w:tc>
        <w:tc>
          <w:tcPr>
            <w:tcW w:w="1300" w:type="dxa"/>
            <w:noWrap/>
            <w:vAlign w:val="center"/>
            <w:hideMark/>
          </w:tcPr>
          <w:p w14:paraId="26E3DBC8"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1.7356</w:t>
            </w:r>
          </w:p>
        </w:tc>
      </w:tr>
      <w:tr w:rsidR="00EF1643" w:rsidRPr="00EF1643" w14:paraId="371F4BEC" w14:textId="77777777" w:rsidTr="00EF1643">
        <w:trPr>
          <w:trHeight w:val="400"/>
        </w:trPr>
        <w:tc>
          <w:tcPr>
            <w:tcW w:w="1300" w:type="dxa"/>
            <w:noWrap/>
            <w:vAlign w:val="center"/>
            <w:hideMark/>
          </w:tcPr>
          <w:p w14:paraId="79CF498F"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O</w:t>
            </w:r>
          </w:p>
        </w:tc>
        <w:tc>
          <w:tcPr>
            <w:tcW w:w="1300" w:type="dxa"/>
            <w:noWrap/>
            <w:vAlign w:val="center"/>
            <w:hideMark/>
          </w:tcPr>
          <w:p w14:paraId="2045E272"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w:t>
            </w:r>
          </w:p>
        </w:tc>
        <w:tc>
          <w:tcPr>
            <w:tcW w:w="1300" w:type="dxa"/>
            <w:noWrap/>
            <w:vAlign w:val="center"/>
            <w:hideMark/>
          </w:tcPr>
          <w:p w14:paraId="340CEDAE"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-0.0006</w:t>
            </w:r>
          </w:p>
        </w:tc>
        <w:tc>
          <w:tcPr>
            <w:tcW w:w="1300" w:type="dxa"/>
            <w:noWrap/>
            <w:vAlign w:val="center"/>
            <w:hideMark/>
          </w:tcPr>
          <w:p w14:paraId="6F0703E0"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0.0256</w:t>
            </w:r>
          </w:p>
        </w:tc>
        <w:tc>
          <w:tcPr>
            <w:tcW w:w="1300" w:type="dxa"/>
            <w:noWrap/>
            <w:vAlign w:val="center"/>
            <w:hideMark/>
          </w:tcPr>
          <w:p w14:paraId="7B2C9624"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0.1023</w:t>
            </w:r>
          </w:p>
        </w:tc>
        <w:tc>
          <w:tcPr>
            <w:tcW w:w="1300" w:type="dxa"/>
            <w:noWrap/>
            <w:vAlign w:val="center"/>
            <w:hideMark/>
          </w:tcPr>
          <w:p w14:paraId="7888E753" w14:textId="77777777" w:rsidR="00EF1643" w:rsidRPr="00EF1643" w:rsidRDefault="00EF1643" w:rsidP="00EF1643">
            <w:pPr>
              <w:spacing w:after="0" w:line="240" w:lineRule="auto"/>
              <w:jc w:val="center"/>
              <w:rPr>
                <w:rFonts w:eastAsia="Times New Roman" w:cs="Times New Roman"/>
                <w:color w:val="000000"/>
                <w:kern w:val="0"/>
                <w:szCs w:val="22"/>
                <w14:ligatures w14:val="none"/>
              </w:rPr>
            </w:pPr>
            <w:r w:rsidRPr="00EF1643">
              <w:rPr>
                <w:rFonts w:eastAsia="Times New Roman" w:cs="Times New Roman"/>
                <w:color w:val="000000"/>
                <w:kern w:val="0"/>
                <w:szCs w:val="22"/>
                <w14:ligatures w14:val="none"/>
              </w:rPr>
              <w:t>0.2108</w:t>
            </w:r>
          </w:p>
        </w:tc>
      </w:tr>
    </w:tbl>
    <w:p w14:paraId="60617837" w14:textId="77777777" w:rsidR="00EF1643" w:rsidRPr="00E7160B" w:rsidRDefault="00EF1643" w:rsidP="00FE5FC5"/>
    <w:p w14:paraId="4D19A267" w14:textId="77777777" w:rsidR="00144142" w:rsidRDefault="00144142" w:rsidP="00FE5FC5">
      <w:pPr>
        <w:rPr>
          <w:b/>
          <w:bCs/>
        </w:rPr>
      </w:pPr>
    </w:p>
    <w:p w14:paraId="6ADC7116" w14:textId="13F22F9F" w:rsidR="00144142" w:rsidRPr="00E7160B" w:rsidRDefault="00144142" w:rsidP="00FE5FC5">
      <w:r>
        <w:rPr>
          <w:b/>
          <w:bCs/>
        </w:rPr>
        <w:lastRenderedPageBreak/>
        <w:t>Summary by sector:</w:t>
      </w:r>
    </w:p>
    <w:tbl>
      <w:tblPr>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5" w:type="dxa"/>
          <w:left w:w="144" w:type="dxa"/>
          <w:bottom w:w="15" w:type="dxa"/>
          <w:right w:w="144" w:type="dxa"/>
        </w:tblCellMar>
        <w:tblLook w:val="04A0" w:firstRow="1" w:lastRow="0" w:firstColumn="1" w:lastColumn="0" w:noHBand="0" w:noVBand="1"/>
      </w:tblPr>
      <w:tblGrid>
        <w:gridCol w:w="1241"/>
        <w:gridCol w:w="1220"/>
        <w:gridCol w:w="1007"/>
        <w:gridCol w:w="1325"/>
        <w:gridCol w:w="1369"/>
        <w:gridCol w:w="1173"/>
        <w:gridCol w:w="2015"/>
      </w:tblGrid>
      <w:tr w:rsidR="00FE5FC5" w:rsidRPr="002E763B" w14:paraId="764DCC5C" w14:textId="77777777" w:rsidTr="00A62938">
        <w:trPr>
          <w:tblHeader/>
          <w:jc w:val="center"/>
        </w:trPr>
        <w:tc>
          <w:tcPr>
            <w:tcW w:w="0" w:type="auto"/>
            <w:vAlign w:val="center"/>
            <w:hideMark/>
          </w:tcPr>
          <w:p w14:paraId="09CC3C6F" w14:textId="77777777" w:rsidR="00FE5FC5" w:rsidRPr="00977D5A" w:rsidRDefault="00FE5FC5" w:rsidP="00A62938">
            <w:pPr>
              <w:spacing w:after="0" w:line="240" w:lineRule="auto"/>
              <w:rPr>
                <w:b/>
                <w:bCs/>
                <w:sz w:val="20"/>
                <w:szCs w:val="21"/>
              </w:rPr>
            </w:pPr>
            <w:r w:rsidRPr="00977D5A">
              <w:rPr>
                <w:b/>
                <w:bCs/>
                <w:sz w:val="20"/>
                <w:szCs w:val="21"/>
              </w:rPr>
              <w:t>Sector</w:t>
            </w:r>
          </w:p>
        </w:tc>
        <w:tc>
          <w:tcPr>
            <w:tcW w:w="0" w:type="auto"/>
            <w:vAlign w:val="center"/>
            <w:hideMark/>
          </w:tcPr>
          <w:p w14:paraId="7B3719EE" w14:textId="77777777" w:rsidR="00FE5FC5" w:rsidRPr="00977D5A" w:rsidRDefault="00FE5FC5" w:rsidP="00A62938">
            <w:pPr>
              <w:spacing w:after="0" w:line="240" w:lineRule="auto"/>
              <w:rPr>
                <w:b/>
                <w:bCs/>
                <w:sz w:val="20"/>
                <w:szCs w:val="21"/>
              </w:rPr>
            </w:pPr>
            <w:r w:rsidRPr="00977D5A">
              <w:rPr>
                <w:b/>
                <w:bCs/>
                <w:sz w:val="20"/>
                <w:szCs w:val="21"/>
              </w:rPr>
              <w:t>Tickers</w:t>
            </w:r>
          </w:p>
        </w:tc>
        <w:tc>
          <w:tcPr>
            <w:tcW w:w="0" w:type="auto"/>
            <w:vAlign w:val="center"/>
            <w:hideMark/>
          </w:tcPr>
          <w:p w14:paraId="0BEAB4BA" w14:textId="77777777" w:rsidR="00FE5FC5" w:rsidRPr="00977D5A" w:rsidRDefault="00FE5FC5" w:rsidP="00A62938">
            <w:pPr>
              <w:spacing w:after="0" w:line="240" w:lineRule="auto"/>
              <w:rPr>
                <w:b/>
                <w:bCs/>
                <w:sz w:val="20"/>
                <w:szCs w:val="21"/>
              </w:rPr>
            </w:pPr>
            <w:r w:rsidRPr="00977D5A">
              <w:rPr>
                <w:b/>
                <w:bCs/>
                <w:sz w:val="20"/>
                <w:szCs w:val="21"/>
              </w:rPr>
              <w:t>Mean</w:t>
            </w:r>
          </w:p>
        </w:tc>
        <w:tc>
          <w:tcPr>
            <w:tcW w:w="0" w:type="auto"/>
            <w:vAlign w:val="center"/>
            <w:hideMark/>
          </w:tcPr>
          <w:p w14:paraId="46240163" w14:textId="77777777" w:rsidR="00FE5FC5" w:rsidRPr="00977D5A" w:rsidRDefault="00FE5FC5" w:rsidP="00A62938">
            <w:pPr>
              <w:spacing w:after="0" w:line="240" w:lineRule="auto"/>
              <w:rPr>
                <w:b/>
                <w:bCs/>
                <w:sz w:val="20"/>
                <w:szCs w:val="21"/>
              </w:rPr>
            </w:pPr>
            <w:r>
              <w:rPr>
                <w:b/>
                <w:bCs/>
                <w:sz w:val="20"/>
                <w:szCs w:val="21"/>
              </w:rPr>
              <w:t>Standard Deviation</w:t>
            </w:r>
          </w:p>
        </w:tc>
        <w:tc>
          <w:tcPr>
            <w:tcW w:w="0" w:type="auto"/>
            <w:vAlign w:val="center"/>
            <w:hideMark/>
          </w:tcPr>
          <w:p w14:paraId="6E56072F" w14:textId="77777777" w:rsidR="00FE5FC5" w:rsidRPr="00977D5A" w:rsidRDefault="00FE5FC5" w:rsidP="00A62938">
            <w:pPr>
              <w:spacing w:after="0" w:line="240" w:lineRule="auto"/>
              <w:rPr>
                <w:b/>
                <w:bCs/>
                <w:sz w:val="20"/>
                <w:szCs w:val="21"/>
              </w:rPr>
            </w:pPr>
            <w:r w:rsidRPr="00977D5A">
              <w:rPr>
                <w:b/>
                <w:bCs/>
                <w:sz w:val="20"/>
                <w:szCs w:val="21"/>
              </w:rPr>
              <w:t>Typical Skew</w:t>
            </w:r>
          </w:p>
        </w:tc>
        <w:tc>
          <w:tcPr>
            <w:tcW w:w="0" w:type="auto"/>
            <w:vAlign w:val="center"/>
            <w:hideMark/>
          </w:tcPr>
          <w:p w14:paraId="755E7634" w14:textId="77777777" w:rsidR="00FE5FC5" w:rsidRPr="00977D5A" w:rsidRDefault="00FE5FC5" w:rsidP="00A62938">
            <w:pPr>
              <w:spacing w:after="0" w:line="240" w:lineRule="auto"/>
              <w:rPr>
                <w:b/>
                <w:bCs/>
                <w:sz w:val="20"/>
                <w:szCs w:val="21"/>
              </w:rPr>
            </w:pPr>
            <w:r w:rsidRPr="00977D5A">
              <w:rPr>
                <w:b/>
                <w:bCs/>
                <w:sz w:val="20"/>
                <w:szCs w:val="21"/>
              </w:rPr>
              <w:t>Typical Kurtosis</w:t>
            </w:r>
          </w:p>
        </w:tc>
        <w:tc>
          <w:tcPr>
            <w:tcW w:w="0" w:type="auto"/>
            <w:vAlign w:val="center"/>
            <w:hideMark/>
          </w:tcPr>
          <w:p w14:paraId="43E9AAE4" w14:textId="77777777" w:rsidR="00FE5FC5" w:rsidRPr="00977D5A" w:rsidRDefault="00FE5FC5" w:rsidP="00A62938">
            <w:pPr>
              <w:spacing w:after="0" w:line="240" w:lineRule="auto"/>
              <w:rPr>
                <w:b/>
                <w:bCs/>
                <w:sz w:val="20"/>
                <w:szCs w:val="21"/>
              </w:rPr>
            </w:pPr>
            <w:r w:rsidRPr="00977D5A">
              <w:rPr>
                <w:b/>
                <w:bCs/>
                <w:sz w:val="20"/>
                <w:szCs w:val="21"/>
              </w:rPr>
              <w:t>Notes</w:t>
            </w:r>
          </w:p>
        </w:tc>
      </w:tr>
      <w:tr w:rsidR="00FE5FC5" w:rsidRPr="002E763B" w14:paraId="769F168B" w14:textId="77777777" w:rsidTr="00A62938">
        <w:trPr>
          <w:jc w:val="center"/>
        </w:trPr>
        <w:tc>
          <w:tcPr>
            <w:tcW w:w="0" w:type="auto"/>
            <w:vAlign w:val="center"/>
            <w:hideMark/>
          </w:tcPr>
          <w:p w14:paraId="21A5D5F7" w14:textId="77777777" w:rsidR="00FE5FC5" w:rsidRPr="00977D5A" w:rsidRDefault="00FE5FC5" w:rsidP="00A62938">
            <w:pPr>
              <w:spacing w:after="0" w:line="240" w:lineRule="auto"/>
              <w:rPr>
                <w:sz w:val="20"/>
                <w:szCs w:val="21"/>
              </w:rPr>
            </w:pPr>
            <w:r w:rsidRPr="00977D5A">
              <w:rPr>
                <w:b/>
                <w:bCs/>
                <w:sz w:val="20"/>
                <w:szCs w:val="21"/>
              </w:rPr>
              <w:t>Financials</w:t>
            </w:r>
          </w:p>
        </w:tc>
        <w:tc>
          <w:tcPr>
            <w:tcW w:w="0" w:type="auto"/>
            <w:vAlign w:val="center"/>
            <w:hideMark/>
          </w:tcPr>
          <w:p w14:paraId="720E37D3" w14:textId="77777777" w:rsidR="00FE5FC5" w:rsidRPr="00977D5A" w:rsidRDefault="00FE5FC5" w:rsidP="00A62938">
            <w:pPr>
              <w:spacing w:after="0" w:line="240" w:lineRule="auto"/>
              <w:jc w:val="center"/>
              <w:rPr>
                <w:sz w:val="20"/>
                <w:szCs w:val="21"/>
              </w:rPr>
            </w:pPr>
            <w:r w:rsidRPr="00977D5A">
              <w:rPr>
                <w:sz w:val="20"/>
                <w:szCs w:val="21"/>
              </w:rPr>
              <w:t>JPM, BAC, WFC, GS, BLK</w:t>
            </w:r>
          </w:p>
        </w:tc>
        <w:tc>
          <w:tcPr>
            <w:tcW w:w="0" w:type="auto"/>
            <w:vAlign w:val="center"/>
            <w:hideMark/>
          </w:tcPr>
          <w:p w14:paraId="2680845A" w14:textId="77777777" w:rsidR="00FE5FC5" w:rsidRPr="00977D5A" w:rsidRDefault="00FE5FC5" w:rsidP="00A62938">
            <w:pPr>
              <w:spacing w:after="0" w:line="240" w:lineRule="auto"/>
              <w:jc w:val="center"/>
              <w:rPr>
                <w:sz w:val="20"/>
                <w:szCs w:val="21"/>
              </w:rPr>
            </w:pPr>
            <w:r w:rsidRPr="00977D5A">
              <w:rPr>
                <w:sz w:val="20"/>
                <w:szCs w:val="21"/>
              </w:rPr>
              <w:t>0.002 – 0.005</w:t>
            </w:r>
          </w:p>
        </w:tc>
        <w:tc>
          <w:tcPr>
            <w:tcW w:w="0" w:type="auto"/>
            <w:vAlign w:val="center"/>
            <w:hideMark/>
          </w:tcPr>
          <w:p w14:paraId="2B623D59" w14:textId="77777777" w:rsidR="00FE5FC5" w:rsidRPr="00977D5A" w:rsidRDefault="00FE5FC5" w:rsidP="00A62938">
            <w:pPr>
              <w:spacing w:after="0" w:line="240" w:lineRule="auto"/>
              <w:jc w:val="center"/>
              <w:rPr>
                <w:sz w:val="20"/>
                <w:szCs w:val="21"/>
              </w:rPr>
            </w:pPr>
            <w:r w:rsidRPr="00977D5A">
              <w:rPr>
                <w:sz w:val="20"/>
                <w:szCs w:val="21"/>
              </w:rPr>
              <w:t>0.036 – 0.045</w:t>
            </w:r>
          </w:p>
        </w:tc>
        <w:tc>
          <w:tcPr>
            <w:tcW w:w="0" w:type="auto"/>
            <w:vAlign w:val="center"/>
            <w:hideMark/>
          </w:tcPr>
          <w:p w14:paraId="72D85233" w14:textId="77777777" w:rsidR="00FE5FC5" w:rsidRPr="00977D5A" w:rsidRDefault="00FE5FC5" w:rsidP="00A62938">
            <w:pPr>
              <w:spacing w:after="0" w:line="240" w:lineRule="auto"/>
              <w:jc w:val="center"/>
              <w:rPr>
                <w:sz w:val="20"/>
                <w:szCs w:val="21"/>
              </w:rPr>
            </w:pPr>
            <w:r w:rsidRPr="00977D5A">
              <w:rPr>
                <w:sz w:val="20"/>
                <w:szCs w:val="21"/>
              </w:rPr>
              <w:t>Slightly negative (-0.1 to -0.45)</w:t>
            </w:r>
          </w:p>
        </w:tc>
        <w:tc>
          <w:tcPr>
            <w:tcW w:w="0" w:type="auto"/>
            <w:vAlign w:val="center"/>
            <w:hideMark/>
          </w:tcPr>
          <w:p w14:paraId="6FD66AAE" w14:textId="77777777" w:rsidR="00FE5FC5" w:rsidRPr="00977D5A" w:rsidRDefault="00FE5FC5" w:rsidP="00A62938">
            <w:pPr>
              <w:spacing w:after="0" w:line="240" w:lineRule="auto"/>
              <w:jc w:val="center"/>
              <w:rPr>
                <w:sz w:val="20"/>
                <w:szCs w:val="21"/>
              </w:rPr>
            </w:pPr>
            <w:r w:rsidRPr="00977D5A">
              <w:rPr>
                <w:sz w:val="20"/>
                <w:szCs w:val="21"/>
              </w:rPr>
              <w:t>0.8 – 1.7</w:t>
            </w:r>
          </w:p>
        </w:tc>
        <w:tc>
          <w:tcPr>
            <w:tcW w:w="0" w:type="auto"/>
            <w:vAlign w:val="center"/>
            <w:hideMark/>
          </w:tcPr>
          <w:p w14:paraId="0FC794AB" w14:textId="77777777" w:rsidR="00FE5FC5" w:rsidRPr="00977D5A" w:rsidRDefault="00FE5FC5" w:rsidP="00A62938">
            <w:pPr>
              <w:spacing w:after="0" w:line="240" w:lineRule="auto"/>
              <w:rPr>
                <w:sz w:val="20"/>
                <w:szCs w:val="21"/>
              </w:rPr>
            </w:pPr>
            <w:r w:rsidRPr="00977D5A">
              <w:rPr>
                <w:sz w:val="20"/>
                <w:szCs w:val="21"/>
              </w:rPr>
              <w:t>Light tails, mild left-skew → modest downside asymmetry</w:t>
            </w:r>
          </w:p>
        </w:tc>
      </w:tr>
      <w:tr w:rsidR="00FE5FC5" w:rsidRPr="002E763B" w14:paraId="2A21026D" w14:textId="77777777" w:rsidTr="00A62938">
        <w:trPr>
          <w:jc w:val="center"/>
        </w:trPr>
        <w:tc>
          <w:tcPr>
            <w:tcW w:w="0" w:type="auto"/>
            <w:vAlign w:val="center"/>
            <w:hideMark/>
          </w:tcPr>
          <w:p w14:paraId="5030DC10" w14:textId="77777777" w:rsidR="00FE5FC5" w:rsidRPr="00977D5A" w:rsidRDefault="00FE5FC5" w:rsidP="00A62938">
            <w:pPr>
              <w:spacing w:after="0" w:line="240" w:lineRule="auto"/>
              <w:rPr>
                <w:sz w:val="20"/>
                <w:szCs w:val="21"/>
              </w:rPr>
            </w:pPr>
            <w:r w:rsidRPr="00977D5A">
              <w:rPr>
                <w:b/>
                <w:bCs/>
                <w:sz w:val="20"/>
                <w:szCs w:val="21"/>
              </w:rPr>
              <w:t>Real Estate</w:t>
            </w:r>
          </w:p>
        </w:tc>
        <w:tc>
          <w:tcPr>
            <w:tcW w:w="0" w:type="auto"/>
            <w:vAlign w:val="center"/>
            <w:hideMark/>
          </w:tcPr>
          <w:p w14:paraId="7D773E88" w14:textId="77777777" w:rsidR="00FE5FC5" w:rsidRPr="00977D5A" w:rsidRDefault="00FE5FC5" w:rsidP="00A62938">
            <w:pPr>
              <w:spacing w:after="0" w:line="240" w:lineRule="auto"/>
              <w:jc w:val="center"/>
              <w:rPr>
                <w:sz w:val="20"/>
                <w:szCs w:val="21"/>
              </w:rPr>
            </w:pPr>
            <w:r w:rsidRPr="00977D5A">
              <w:rPr>
                <w:sz w:val="20"/>
                <w:szCs w:val="21"/>
              </w:rPr>
              <w:t>PLD, AMT, SPG, AVB, O</w:t>
            </w:r>
          </w:p>
        </w:tc>
        <w:tc>
          <w:tcPr>
            <w:tcW w:w="0" w:type="auto"/>
            <w:vAlign w:val="center"/>
            <w:hideMark/>
          </w:tcPr>
          <w:p w14:paraId="62A6D6BF" w14:textId="77777777" w:rsidR="00FE5FC5" w:rsidRPr="00977D5A" w:rsidRDefault="00FE5FC5" w:rsidP="00A62938">
            <w:pPr>
              <w:spacing w:after="0" w:line="240" w:lineRule="auto"/>
              <w:jc w:val="center"/>
              <w:rPr>
                <w:sz w:val="20"/>
                <w:szCs w:val="21"/>
              </w:rPr>
            </w:pPr>
            <w:r w:rsidRPr="00977D5A">
              <w:rPr>
                <w:sz w:val="20"/>
                <w:szCs w:val="21"/>
              </w:rPr>
              <w:t>−0.001 – 0.004</w:t>
            </w:r>
          </w:p>
        </w:tc>
        <w:tc>
          <w:tcPr>
            <w:tcW w:w="0" w:type="auto"/>
            <w:vAlign w:val="center"/>
            <w:hideMark/>
          </w:tcPr>
          <w:p w14:paraId="35895A71" w14:textId="77777777" w:rsidR="00FE5FC5" w:rsidRPr="00977D5A" w:rsidRDefault="00FE5FC5" w:rsidP="00A62938">
            <w:pPr>
              <w:spacing w:after="0" w:line="240" w:lineRule="auto"/>
              <w:jc w:val="center"/>
              <w:rPr>
                <w:sz w:val="20"/>
                <w:szCs w:val="21"/>
              </w:rPr>
            </w:pPr>
            <w:r w:rsidRPr="00977D5A">
              <w:rPr>
                <w:sz w:val="20"/>
                <w:szCs w:val="21"/>
              </w:rPr>
              <w:t>0.026 – 0.040</w:t>
            </w:r>
          </w:p>
        </w:tc>
        <w:tc>
          <w:tcPr>
            <w:tcW w:w="0" w:type="auto"/>
            <w:vAlign w:val="center"/>
            <w:hideMark/>
          </w:tcPr>
          <w:p w14:paraId="715F80F5" w14:textId="77777777" w:rsidR="00FE5FC5" w:rsidRPr="00977D5A" w:rsidRDefault="00FE5FC5" w:rsidP="00A62938">
            <w:pPr>
              <w:spacing w:after="0" w:line="240" w:lineRule="auto"/>
              <w:jc w:val="center"/>
              <w:rPr>
                <w:sz w:val="20"/>
                <w:szCs w:val="21"/>
              </w:rPr>
            </w:pPr>
            <w:r w:rsidRPr="00977D5A">
              <w:rPr>
                <w:sz w:val="20"/>
                <w:szCs w:val="21"/>
              </w:rPr>
              <w:t>Mostly near zero (</w:t>
            </w:r>
            <w:r w:rsidRPr="002E763B">
              <w:rPr>
                <w:sz w:val="20"/>
                <w:szCs w:val="21"/>
              </w:rPr>
              <w:t>-</w:t>
            </w:r>
            <w:r w:rsidRPr="00977D5A">
              <w:rPr>
                <w:sz w:val="20"/>
                <w:szCs w:val="21"/>
              </w:rPr>
              <w:t>0.4 to +0.4)</w:t>
            </w:r>
          </w:p>
        </w:tc>
        <w:tc>
          <w:tcPr>
            <w:tcW w:w="0" w:type="auto"/>
            <w:vAlign w:val="center"/>
            <w:hideMark/>
          </w:tcPr>
          <w:p w14:paraId="77E32406" w14:textId="77777777" w:rsidR="00FE5FC5" w:rsidRPr="00977D5A" w:rsidRDefault="00FE5FC5" w:rsidP="00A62938">
            <w:pPr>
              <w:spacing w:after="0" w:line="240" w:lineRule="auto"/>
              <w:jc w:val="center"/>
              <w:rPr>
                <w:sz w:val="20"/>
                <w:szCs w:val="21"/>
              </w:rPr>
            </w:pPr>
            <w:r w:rsidRPr="00977D5A">
              <w:rPr>
                <w:sz w:val="20"/>
                <w:szCs w:val="21"/>
              </w:rPr>
              <w:t>0.1 – 2.1</w:t>
            </w:r>
          </w:p>
        </w:tc>
        <w:tc>
          <w:tcPr>
            <w:tcW w:w="0" w:type="auto"/>
            <w:vAlign w:val="center"/>
            <w:hideMark/>
          </w:tcPr>
          <w:p w14:paraId="5FE9DF1B" w14:textId="77777777" w:rsidR="00FE5FC5" w:rsidRPr="00977D5A" w:rsidRDefault="00FE5FC5" w:rsidP="00A62938">
            <w:pPr>
              <w:spacing w:after="0" w:line="240" w:lineRule="auto"/>
              <w:rPr>
                <w:sz w:val="20"/>
                <w:szCs w:val="21"/>
              </w:rPr>
            </w:pPr>
            <w:r w:rsidRPr="00977D5A">
              <w:rPr>
                <w:sz w:val="20"/>
                <w:szCs w:val="21"/>
              </w:rPr>
              <w:t>Generally symmetric; SPG exhibits heavier tails</w:t>
            </w:r>
          </w:p>
        </w:tc>
      </w:tr>
    </w:tbl>
    <w:p w14:paraId="4F66CD7D" w14:textId="77777777" w:rsidR="00FE5FC5" w:rsidRDefault="00FE5FC5" w:rsidP="00FE5FC5"/>
    <w:p w14:paraId="35E60F99" w14:textId="54C220F3" w:rsidR="00FE5FC5" w:rsidRDefault="000B33D9" w:rsidP="00FE5FC5">
      <w:r>
        <w:rPr>
          <w:b/>
          <w:bCs/>
        </w:rPr>
        <w:t>Key Findings -</w:t>
      </w:r>
      <w:r w:rsidR="007F784F">
        <w:rPr>
          <w:b/>
          <w:bCs/>
        </w:rPr>
        <w:t xml:space="preserve"> </w:t>
      </w:r>
      <w:r w:rsidR="00FE5FC5" w:rsidRPr="00431C9B">
        <w:rPr>
          <w:b/>
          <w:bCs/>
        </w:rPr>
        <w:t>Financials:</w:t>
      </w:r>
    </w:p>
    <w:p w14:paraId="55F13C98" w14:textId="77777777" w:rsidR="00FE5FC5" w:rsidRPr="00216813" w:rsidRDefault="00FE5FC5" w:rsidP="00FE5FC5">
      <w:pPr>
        <w:pStyle w:val="ListParagraph"/>
        <w:numPr>
          <w:ilvl w:val="0"/>
          <w:numId w:val="2"/>
        </w:numPr>
      </w:pPr>
      <w:r w:rsidRPr="00216813">
        <w:t>Return distributions appear approximately bell-shaped but slightly left-skewed, indicating occasional larger negative weeks.</w:t>
      </w:r>
    </w:p>
    <w:p w14:paraId="22AE6F28" w14:textId="77777777" w:rsidR="00FE5FC5" w:rsidRPr="00216813" w:rsidRDefault="00FE5FC5" w:rsidP="00FE5FC5">
      <w:pPr>
        <w:pStyle w:val="ListParagraph"/>
        <w:numPr>
          <w:ilvl w:val="0"/>
          <w:numId w:val="2"/>
        </w:numPr>
      </w:pPr>
      <w:r w:rsidRPr="00216813">
        <w:t>Kurtosis values &lt; 3 imply flatter-than-normal (platykurtic) profiles</w:t>
      </w:r>
      <w:r>
        <w:t xml:space="preserve"> – </w:t>
      </w:r>
      <w:r w:rsidRPr="00216813">
        <w:t>less tail risk relative to a true normal.</w:t>
      </w:r>
    </w:p>
    <w:p w14:paraId="18EB2681" w14:textId="77777777" w:rsidR="00FE5FC5" w:rsidRPr="00216813" w:rsidRDefault="00FE5FC5" w:rsidP="00FE5FC5">
      <w:pPr>
        <w:pStyle w:val="ListParagraph"/>
        <w:numPr>
          <w:ilvl w:val="0"/>
          <w:numId w:val="2"/>
        </w:numPr>
      </w:pPr>
      <w:r w:rsidRPr="00216813">
        <w:t>Among these, Goldman Sachs (GS) and BlackRock (BLK) are closest to normality, whereas BAC and WFC show more asymmetry.</w:t>
      </w:r>
    </w:p>
    <w:p w14:paraId="1030D598" w14:textId="0D74E5F5" w:rsidR="00FE5FC5" w:rsidRDefault="000B33D9" w:rsidP="00FE5FC5">
      <w:r>
        <w:rPr>
          <w:b/>
          <w:bCs/>
        </w:rPr>
        <w:t xml:space="preserve">Key Findings - </w:t>
      </w:r>
      <w:r w:rsidR="00FE5FC5" w:rsidRPr="00431C9B">
        <w:rPr>
          <w:b/>
          <w:bCs/>
        </w:rPr>
        <w:t>Real Estate:</w:t>
      </w:r>
    </w:p>
    <w:p w14:paraId="3C7EDA92" w14:textId="77777777" w:rsidR="00FE5FC5" w:rsidRDefault="00FE5FC5" w:rsidP="00FE5FC5">
      <w:pPr>
        <w:pStyle w:val="ListParagraph"/>
        <w:numPr>
          <w:ilvl w:val="0"/>
          <w:numId w:val="3"/>
        </w:numPr>
      </w:pPr>
      <w:r w:rsidRPr="00431C9B">
        <w:t>Returns are narrower and more symmetric than financials, consistent with lower volatility.</w:t>
      </w:r>
    </w:p>
    <w:p w14:paraId="6993EF46" w14:textId="77777777" w:rsidR="00FE5FC5" w:rsidRPr="00431C9B" w:rsidRDefault="00FE5FC5" w:rsidP="00FE5FC5">
      <w:pPr>
        <w:pStyle w:val="ListParagraph"/>
        <w:numPr>
          <w:ilvl w:val="0"/>
          <w:numId w:val="3"/>
        </w:numPr>
      </w:pPr>
      <w:r w:rsidRPr="00431C9B">
        <w:t xml:space="preserve">SPG (Simon Property Group) shows mild right-skew and higher kurtosis, suggesting sporadic positive jumps, while Realty Income (O) is nearly symmetric and </w:t>
      </w:r>
      <w:r>
        <w:t xml:space="preserve">the </w:t>
      </w:r>
      <w:r w:rsidRPr="00431C9B">
        <w:t>least volatile.</w:t>
      </w:r>
    </w:p>
    <w:p w14:paraId="716A6F95" w14:textId="5F885572" w:rsidR="000B25A8" w:rsidRPr="000B25A8" w:rsidRDefault="009834C2" w:rsidP="000B25A8">
      <w:pPr>
        <w:rPr>
          <w:b/>
          <w:bCs/>
          <w:sz w:val="20"/>
          <w:szCs w:val="20"/>
        </w:rPr>
      </w:pPr>
      <w:r>
        <w:rPr>
          <w:b/>
          <w:bCs/>
        </w:rPr>
        <w:t>Inter-</w:t>
      </w:r>
      <w:r w:rsidR="000B25A8" w:rsidRPr="000B25A8">
        <w:rPr>
          <w:b/>
          <w:bCs/>
        </w:rPr>
        <w:t>Sector Comparison</w:t>
      </w:r>
      <w:r w:rsidR="0034742A">
        <w:rPr>
          <w:b/>
          <w:bCs/>
        </w:rPr>
        <w:t>:</w:t>
      </w:r>
    </w:p>
    <w:tbl>
      <w:tblPr>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5" w:type="dxa"/>
          <w:left w:w="144" w:type="dxa"/>
          <w:bottom w:w="15" w:type="dxa"/>
          <w:right w:w="144" w:type="dxa"/>
        </w:tblCellMar>
        <w:tblLook w:val="04A0" w:firstRow="1" w:lastRow="0" w:firstColumn="1" w:lastColumn="0" w:noHBand="0" w:noVBand="1"/>
      </w:tblPr>
      <w:tblGrid>
        <w:gridCol w:w="2161"/>
        <w:gridCol w:w="3715"/>
        <w:gridCol w:w="3336"/>
      </w:tblGrid>
      <w:tr w:rsidR="009C3F33" w:rsidRPr="009C3F33" w14:paraId="09AA1DA2" w14:textId="77777777" w:rsidTr="00F5268E">
        <w:trPr>
          <w:trHeight w:val="432"/>
          <w:tblHeader/>
          <w:jc w:val="center"/>
        </w:trPr>
        <w:tc>
          <w:tcPr>
            <w:tcW w:w="0" w:type="auto"/>
            <w:vAlign w:val="center"/>
            <w:hideMark/>
          </w:tcPr>
          <w:p w14:paraId="7345FC5B" w14:textId="77777777" w:rsidR="009C3F33" w:rsidRPr="009C3F33" w:rsidRDefault="009C3F33" w:rsidP="00E94AFB">
            <w:pPr>
              <w:spacing w:after="0" w:line="240" w:lineRule="auto"/>
              <w:rPr>
                <w:b/>
                <w:bCs/>
                <w:sz w:val="20"/>
                <w:szCs w:val="20"/>
              </w:rPr>
            </w:pPr>
            <w:r w:rsidRPr="009C3F33">
              <w:rPr>
                <w:b/>
                <w:bCs/>
                <w:sz w:val="20"/>
                <w:szCs w:val="20"/>
              </w:rPr>
              <w:t>Aspect</w:t>
            </w:r>
          </w:p>
        </w:tc>
        <w:tc>
          <w:tcPr>
            <w:tcW w:w="0" w:type="auto"/>
            <w:vAlign w:val="center"/>
            <w:hideMark/>
          </w:tcPr>
          <w:p w14:paraId="5EEF2837" w14:textId="77777777" w:rsidR="009C3F33" w:rsidRPr="009C3F33" w:rsidRDefault="009C3F33" w:rsidP="00E94AFB">
            <w:pPr>
              <w:spacing w:after="0" w:line="240" w:lineRule="auto"/>
              <w:rPr>
                <w:b/>
                <w:bCs/>
                <w:sz w:val="20"/>
                <w:szCs w:val="20"/>
              </w:rPr>
            </w:pPr>
            <w:r w:rsidRPr="009C3F33">
              <w:rPr>
                <w:b/>
                <w:bCs/>
                <w:sz w:val="20"/>
                <w:szCs w:val="20"/>
              </w:rPr>
              <w:t>Financials</w:t>
            </w:r>
          </w:p>
        </w:tc>
        <w:tc>
          <w:tcPr>
            <w:tcW w:w="0" w:type="auto"/>
            <w:vAlign w:val="center"/>
            <w:hideMark/>
          </w:tcPr>
          <w:p w14:paraId="17E6BB3F" w14:textId="77777777" w:rsidR="009C3F33" w:rsidRPr="009C3F33" w:rsidRDefault="009C3F33" w:rsidP="00E94AFB">
            <w:pPr>
              <w:spacing w:after="0" w:line="240" w:lineRule="auto"/>
              <w:rPr>
                <w:b/>
                <w:bCs/>
                <w:sz w:val="20"/>
                <w:szCs w:val="20"/>
              </w:rPr>
            </w:pPr>
            <w:r w:rsidRPr="009C3F33">
              <w:rPr>
                <w:b/>
                <w:bCs/>
                <w:sz w:val="20"/>
                <w:szCs w:val="20"/>
              </w:rPr>
              <w:t>Real Estate</w:t>
            </w:r>
          </w:p>
        </w:tc>
      </w:tr>
      <w:tr w:rsidR="009C3F33" w:rsidRPr="009C3F33" w14:paraId="502BCA2D" w14:textId="77777777" w:rsidTr="00F5268E">
        <w:trPr>
          <w:jc w:val="center"/>
        </w:trPr>
        <w:tc>
          <w:tcPr>
            <w:tcW w:w="0" w:type="auto"/>
            <w:vAlign w:val="center"/>
            <w:hideMark/>
          </w:tcPr>
          <w:p w14:paraId="5E3F76BD" w14:textId="77777777" w:rsidR="009C3F33" w:rsidRPr="009C3F33" w:rsidRDefault="009C3F33" w:rsidP="00E94AFB">
            <w:pPr>
              <w:spacing w:after="0" w:line="240" w:lineRule="auto"/>
              <w:rPr>
                <w:sz w:val="20"/>
                <w:szCs w:val="20"/>
              </w:rPr>
            </w:pPr>
            <w:r w:rsidRPr="009C3F33">
              <w:rPr>
                <w:sz w:val="20"/>
                <w:szCs w:val="20"/>
              </w:rPr>
              <w:t>Average weekly return</w:t>
            </w:r>
          </w:p>
        </w:tc>
        <w:tc>
          <w:tcPr>
            <w:tcW w:w="0" w:type="auto"/>
            <w:vAlign w:val="center"/>
            <w:hideMark/>
          </w:tcPr>
          <w:p w14:paraId="43BB14EA" w14:textId="77777777" w:rsidR="009C3F33" w:rsidRPr="009C3F33" w:rsidRDefault="009C3F33" w:rsidP="00E94AFB">
            <w:pPr>
              <w:spacing w:after="0" w:line="240" w:lineRule="auto"/>
              <w:rPr>
                <w:sz w:val="20"/>
                <w:szCs w:val="20"/>
              </w:rPr>
            </w:pPr>
            <w:r w:rsidRPr="009C3F33">
              <w:rPr>
                <w:sz w:val="20"/>
                <w:szCs w:val="20"/>
              </w:rPr>
              <w:t>Slightly higher (≈ 0.4–0.5%)</w:t>
            </w:r>
          </w:p>
        </w:tc>
        <w:tc>
          <w:tcPr>
            <w:tcW w:w="0" w:type="auto"/>
            <w:vAlign w:val="center"/>
            <w:hideMark/>
          </w:tcPr>
          <w:p w14:paraId="7B1E3031" w14:textId="77777777" w:rsidR="009C3F33" w:rsidRPr="009C3F33" w:rsidRDefault="009C3F33" w:rsidP="00E94AFB">
            <w:pPr>
              <w:spacing w:after="0" w:line="240" w:lineRule="auto"/>
              <w:rPr>
                <w:sz w:val="20"/>
                <w:szCs w:val="20"/>
              </w:rPr>
            </w:pPr>
            <w:r w:rsidRPr="009C3F33">
              <w:rPr>
                <w:sz w:val="20"/>
                <w:szCs w:val="20"/>
              </w:rPr>
              <w:t>Lower (≈ 0.1–0.2%)</w:t>
            </w:r>
          </w:p>
        </w:tc>
      </w:tr>
      <w:tr w:rsidR="009C3F33" w:rsidRPr="009C3F33" w14:paraId="0A636438" w14:textId="77777777" w:rsidTr="00F5268E">
        <w:trPr>
          <w:jc w:val="center"/>
        </w:trPr>
        <w:tc>
          <w:tcPr>
            <w:tcW w:w="0" w:type="auto"/>
            <w:vAlign w:val="center"/>
            <w:hideMark/>
          </w:tcPr>
          <w:p w14:paraId="3AF7FC49" w14:textId="77777777" w:rsidR="009C3F33" w:rsidRPr="009C3F33" w:rsidRDefault="009C3F33" w:rsidP="00E94AFB">
            <w:pPr>
              <w:spacing w:after="0" w:line="240" w:lineRule="auto"/>
              <w:rPr>
                <w:sz w:val="20"/>
                <w:szCs w:val="20"/>
              </w:rPr>
            </w:pPr>
            <w:r w:rsidRPr="009C3F33">
              <w:rPr>
                <w:sz w:val="20"/>
                <w:szCs w:val="20"/>
              </w:rPr>
              <w:t>Volatility</w:t>
            </w:r>
          </w:p>
        </w:tc>
        <w:tc>
          <w:tcPr>
            <w:tcW w:w="0" w:type="auto"/>
            <w:vAlign w:val="center"/>
            <w:hideMark/>
          </w:tcPr>
          <w:p w14:paraId="5696517D" w14:textId="77777777" w:rsidR="009C3F33" w:rsidRPr="009C3F33" w:rsidRDefault="009C3F33" w:rsidP="00E94AFB">
            <w:pPr>
              <w:spacing w:after="0" w:line="240" w:lineRule="auto"/>
              <w:rPr>
                <w:sz w:val="20"/>
                <w:szCs w:val="20"/>
              </w:rPr>
            </w:pPr>
            <w:r w:rsidRPr="009C3F33">
              <w:rPr>
                <w:sz w:val="20"/>
                <w:szCs w:val="20"/>
              </w:rPr>
              <w:t>Higher (σ ≈ 4 %)</w:t>
            </w:r>
          </w:p>
        </w:tc>
        <w:tc>
          <w:tcPr>
            <w:tcW w:w="0" w:type="auto"/>
            <w:vAlign w:val="center"/>
            <w:hideMark/>
          </w:tcPr>
          <w:p w14:paraId="5FC10180" w14:textId="77777777" w:rsidR="009C3F33" w:rsidRPr="009C3F33" w:rsidRDefault="009C3F33" w:rsidP="00E94AFB">
            <w:pPr>
              <w:spacing w:after="0" w:line="240" w:lineRule="auto"/>
              <w:rPr>
                <w:sz w:val="20"/>
                <w:szCs w:val="20"/>
              </w:rPr>
            </w:pPr>
            <w:r w:rsidRPr="009C3F33">
              <w:rPr>
                <w:sz w:val="20"/>
                <w:szCs w:val="20"/>
              </w:rPr>
              <w:t>Lower (σ ≈ 3 %)</w:t>
            </w:r>
          </w:p>
        </w:tc>
      </w:tr>
      <w:tr w:rsidR="009C3F33" w:rsidRPr="009C3F33" w14:paraId="34336D31" w14:textId="77777777" w:rsidTr="00F5268E">
        <w:trPr>
          <w:jc w:val="center"/>
        </w:trPr>
        <w:tc>
          <w:tcPr>
            <w:tcW w:w="0" w:type="auto"/>
            <w:vAlign w:val="center"/>
            <w:hideMark/>
          </w:tcPr>
          <w:p w14:paraId="22086E38" w14:textId="77777777" w:rsidR="009C3F33" w:rsidRPr="009C3F33" w:rsidRDefault="009C3F33" w:rsidP="00E94AFB">
            <w:pPr>
              <w:spacing w:after="0" w:line="240" w:lineRule="auto"/>
              <w:rPr>
                <w:sz w:val="20"/>
                <w:szCs w:val="20"/>
              </w:rPr>
            </w:pPr>
            <w:r w:rsidRPr="009C3F33">
              <w:rPr>
                <w:sz w:val="20"/>
                <w:szCs w:val="20"/>
              </w:rPr>
              <w:t>Normality</w:t>
            </w:r>
          </w:p>
        </w:tc>
        <w:tc>
          <w:tcPr>
            <w:tcW w:w="0" w:type="auto"/>
            <w:vAlign w:val="center"/>
            <w:hideMark/>
          </w:tcPr>
          <w:p w14:paraId="387924D3" w14:textId="0CFAB0BF" w:rsidR="009C3F33" w:rsidRPr="009C3F33" w:rsidRDefault="009C3F33" w:rsidP="00E94AFB">
            <w:pPr>
              <w:spacing w:after="0" w:line="240" w:lineRule="auto"/>
              <w:rPr>
                <w:sz w:val="20"/>
                <w:szCs w:val="20"/>
              </w:rPr>
            </w:pPr>
            <w:r w:rsidRPr="009C3F33">
              <w:rPr>
                <w:sz w:val="20"/>
                <w:szCs w:val="20"/>
              </w:rPr>
              <w:t>Mildly non-normal (left-skew</w:t>
            </w:r>
            <w:r>
              <w:rPr>
                <w:sz w:val="20"/>
                <w:szCs w:val="20"/>
              </w:rPr>
              <w:t>ed</w:t>
            </w:r>
            <w:r w:rsidRPr="009C3F33">
              <w:rPr>
                <w:sz w:val="20"/>
                <w:szCs w:val="20"/>
              </w:rPr>
              <w:t>)</w:t>
            </w:r>
          </w:p>
        </w:tc>
        <w:tc>
          <w:tcPr>
            <w:tcW w:w="0" w:type="auto"/>
            <w:vAlign w:val="center"/>
            <w:hideMark/>
          </w:tcPr>
          <w:p w14:paraId="1A867B43" w14:textId="77777777" w:rsidR="009C3F33" w:rsidRPr="009C3F33" w:rsidRDefault="009C3F33" w:rsidP="00E94AFB">
            <w:pPr>
              <w:spacing w:after="0" w:line="240" w:lineRule="auto"/>
              <w:rPr>
                <w:sz w:val="20"/>
                <w:szCs w:val="20"/>
              </w:rPr>
            </w:pPr>
            <w:r w:rsidRPr="009C3F33">
              <w:rPr>
                <w:sz w:val="20"/>
                <w:szCs w:val="20"/>
              </w:rPr>
              <w:t>Closer to normal, lighter tails</w:t>
            </w:r>
          </w:p>
        </w:tc>
      </w:tr>
      <w:tr w:rsidR="009C3F33" w:rsidRPr="009C3F33" w14:paraId="2ADC712C" w14:textId="77777777" w:rsidTr="00F5268E">
        <w:trPr>
          <w:jc w:val="center"/>
        </w:trPr>
        <w:tc>
          <w:tcPr>
            <w:tcW w:w="0" w:type="auto"/>
            <w:vAlign w:val="center"/>
            <w:hideMark/>
          </w:tcPr>
          <w:p w14:paraId="33F0BEF4" w14:textId="77777777" w:rsidR="009C3F33" w:rsidRPr="009C3F33" w:rsidRDefault="009C3F33" w:rsidP="00E94AFB">
            <w:pPr>
              <w:spacing w:after="0" w:line="240" w:lineRule="auto"/>
              <w:rPr>
                <w:sz w:val="20"/>
                <w:szCs w:val="20"/>
              </w:rPr>
            </w:pPr>
            <w:r w:rsidRPr="009C3F33">
              <w:rPr>
                <w:sz w:val="20"/>
                <w:szCs w:val="20"/>
              </w:rPr>
              <w:t>Implication</w:t>
            </w:r>
          </w:p>
        </w:tc>
        <w:tc>
          <w:tcPr>
            <w:tcW w:w="0" w:type="auto"/>
            <w:vAlign w:val="center"/>
            <w:hideMark/>
          </w:tcPr>
          <w:p w14:paraId="35DA5B6D" w14:textId="77777777" w:rsidR="009C3F33" w:rsidRPr="009C3F33" w:rsidRDefault="009C3F33" w:rsidP="00E94AFB">
            <w:pPr>
              <w:spacing w:after="0" w:line="240" w:lineRule="auto"/>
              <w:rPr>
                <w:sz w:val="20"/>
                <w:szCs w:val="20"/>
              </w:rPr>
            </w:pPr>
            <w:r w:rsidRPr="009C3F33">
              <w:rPr>
                <w:sz w:val="20"/>
                <w:szCs w:val="20"/>
              </w:rPr>
              <w:t>More responsive to macro &amp; rate shocks</w:t>
            </w:r>
          </w:p>
        </w:tc>
        <w:tc>
          <w:tcPr>
            <w:tcW w:w="0" w:type="auto"/>
            <w:vAlign w:val="center"/>
            <w:hideMark/>
          </w:tcPr>
          <w:p w14:paraId="14F234B3" w14:textId="77777777" w:rsidR="009C3F33" w:rsidRPr="009C3F33" w:rsidRDefault="009C3F33" w:rsidP="00E94AFB">
            <w:pPr>
              <w:spacing w:after="0" w:line="240" w:lineRule="auto"/>
              <w:rPr>
                <w:sz w:val="20"/>
                <w:szCs w:val="20"/>
              </w:rPr>
            </w:pPr>
            <w:r w:rsidRPr="009C3F33">
              <w:rPr>
                <w:sz w:val="20"/>
                <w:szCs w:val="20"/>
              </w:rPr>
              <w:t>More stable, income-driven profiles</w:t>
            </w:r>
          </w:p>
        </w:tc>
      </w:tr>
    </w:tbl>
    <w:p w14:paraId="78C071A9" w14:textId="77777777" w:rsidR="00743C54" w:rsidRDefault="00743C54" w:rsidP="009C3F33">
      <w:pPr>
        <w:rPr>
          <w:sz w:val="20"/>
          <w:szCs w:val="20"/>
        </w:rPr>
      </w:pPr>
    </w:p>
    <w:p w14:paraId="111B0B30" w14:textId="3BF20D0B" w:rsidR="00B37A43" w:rsidRDefault="00BB7781" w:rsidP="009C3F33">
      <w:pPr>
        <w:rPr>
          <w:sz w:val="20"/>
          <w:szCs w:val="20"/>
        </w:rPr>
      </w:pPr>
      <w:r w:rsidRPr="00BB7781">
        <w:rPr>
          <w:sz w:val="20"/>
          <w:szCs w:val="20"/>
        </w:rPr>
        <w:t>Overall, weekly log returns for both sectors are approximately symmetric with light tails, though financials display higher volatility and slight negative skewness.</w:t>
      </w:r>
      <w:r w:rsidR="0057520A">
        <w:rPr>
          <w:sz w:val="20"/>
          <w:szCs w:val="20"/>
        </w:rPr>
        <w:t xml:space="preserve"> </w:t>
      </w:r>
      <w:r w:rsidRPr="00BB7781">
        <w:rPr>
          <w:sz w:val="20"/>
          <w:szCs w:val="20"/>
        </w:rPr>
        <w:t>This suggests greater downside sensitivity to interest-rate or policy shifts, while real-estate equities show smoother, yield-driven performance.</w:t>
      </w:r>
      <w:r w:rsidRPr="00BB7781">
        <w:rPr>
          <w:sz w:val="20"/>
          <w:szCs w:val="20"/>
        </w:rPr>
        <w:br/>
        <w:t>The observed distributions justify further cross-sector regression or beta analysis in Step 2, using step1_returns.csv as the common input dataset.</w:t>
      </w:r>
    </w:p>
    <w:p w14:paraId="71C34F49" w14:textId="043EABCD" w:rsidR="00052064" w:rsidRPr="00DC16E7" w:rsidRDefault="00FA202F" w:rsidP="007A3A61">
      <w:pPr>
        <w:pStyle w:val="Heading2"/>
      </w:pPr>
      <w:bookmarkStart w:id="4" w:name="_Toc212322825"/>
      <w:r>
        <w:lastRenderedPageBreak/>
        <w:t xml:space="preserve">(b) </w:t>
      </w:r>
      <w:r w:rsidRPr="00FA202F">
        <w:t xml:space="preserve">Covariance and </w:t>
      </w:r>
      <w:r w:rsidR="000F25D6">
        <w:t>C</w:t>
      </w:r>
      <w:r w:rsidRPr="00FA202F">
        <w:t xml:space="preserve">orrelation </w:t>
      </w:r>
      <w:r w:rsidR="000F25D6">
        <w:t>A</w:t>
      </w:r>
      <w:r w:rsidRPr="00FA202F">
        <w:t>nalysis</w:t>
      </w:r>
      <w:bookmarkEnd w:id="4"/>
    </w:p>
    <w:p w14:paraId="5A0CE0D1" w14:textId="7E842021" w:rsidR="00D614E0" w:rsidRPr="00D614E0" w:rsidRDefault="00D614E0" w:rsidP="00FA202F">
      <w:r>
        <w:t>Weekly log returns for the ten selected companies were analyzed alongside the S&amp;P 500 index over the same period. The data were aligned by date to ensure consistency and used to construct both covariance and correlation matrices. These matrices are used to capture how closely returns move together and the extent to which each stock’s risk interacts with others in the portfolio. The resulting statistics and visualizations provide a basis for assessing intra-sector, cross-sector, and market-wide relationships in preparation for portfolio-level risk evaluation.</w:t>
      </w:r>
    </w:p>
    <w:p w14:paraId="38A86FC6" w14:textId="2EFE3BD6" w:rsidR="00FA202F" w:rsidRPr="004E234B" w:rsidRDefault="00FA202F" w:rsidP="00FA202F">
      <w:pPr>
        <w:rPr>
          <w:b/>
          <w:bCs/>
        </w:rPr>
      </w:pPr>
      <w:r w:rsidRPr="004E234B">
        <w:rPr>
          <w:b/>
          <w:bCs/>
        </w:rPr>
        <w:t>Key Findings</w:t>
      </w:r>
      <w:r w:rsidR="006C5764">
        <w:rPr>
          <w:b/>
          <w:bCs/>
        </w:rPr>
        <w:t>:</w:t>
      </w:r>
    </w:p>
    <w:p w14:paraId="30D4D3F9" w14:textId="77777777" w:rsidR="00FA202F" w:rsidRPr="00543049" w:rsidRDefault="00FA202F" w:rsidP="0047145C">
      <w:pPr>
        <w:pStyle w:val="ListParagraph"/>
        <w:numPr>
          <w:ilvl w:val="0"/>
          <w:numId w:val="1"/>
        </w:numPr>
        <w:rPr>
          <w:b/>
          <w:bCs/>
        </w:rPr>
      </w:pPr>
      <w:r w:rsidRPr="00543049">
        <w:rPr>
          <w:b/>
          <w:bCs/>
        </w:rPr>
        <w:t>Intra-Financial Correlation ≈ 0.75:</w:t>
      </w:r>
    </w:p>
    <w:p w14:paraId="6FD4D783" w14:textId="2BB17F23" w:rsidR="00FA202F" w:rsidRPr="00543049" w:rsidRDefault="00FA202F" w:rsidP="0047145C">
      <w:pPr>
        <w:pStyle w:val="ListParagraph"/>
        <w:numPr>
          <w:ilvl w:val="1"/>
          <w:numId w:val="1"/>
        </w:numPr>
      </w:pPr>
      <w:r w:rsidRPr="00543049">
        <w:t xml:space="preserve">Indicates very strong co-movement among </w:t>
      </w:r>
      <w:r w:rsidR="008630CB" w:rsidRPr="00543049">
        <w:t>financial</w:t>
      </w:r>
      <w:r w:rsidRPr="00543049">
        <w:t xml:space="preserve"> sector stocks (JPM, BAC, WFC, GS, BLK).</w:t>
      </w:r>
    </w:p>
    <w:p w14:paraId="535CB78C" w14:textId="5D36F7F0" w:rsidR="00FA202F" w:rsidRPr="00543049" w:rsidRDefault="00FA202F" w:rsidP="0047145C">
      <w:pPr>
        <w:pStyle w:val="ListParagraph"/>
        <w:numPr>
          <w:ilvl w:val="1"/>
          <w:numId w:val="1"/>
        </w:numPr>
      </w:pPr>
      <w:r w:rsidRPr="00543049">
        <w:t xml:space="preserve">Suggests limited diversification within the sector—banks and asset managers </w:t>
      </w:r>
      <w:r w:rsidR="00543049">
        <w:t>r</w:t>
      </w:r>
      <w:r w:rsidRPr="00543049">
        <w:t>espond similarly to interest-rate or credit-spread shifts.</w:t>
      </w:r>
    </w:p>
    <w:p w14:paraId="26FA528C" w14:textId="77777777" w:rsidR="00FA202F" w:rsidRPr="00543049" w:rsidRDefault="00FA202F" w:rsidP="0047145C">
      <w:pPr>
        <w:pStyle w:val="ListParagraph"/>
        <w:numPr>
          <w:ilvl w:val="0"/>
          <w:numId w:val="1"/>
        </w:numPr>
        <w:rPr>
          <w:b/>
          <w:bCs/>
        </w:rPr>
      </w:pPr>
      <w:r w:rsidRPr="00543049">
        <w:rPr>
          <w:b/>
          <w:bCs/>
        </w:rPr>
        <w:t>Intra-Real Estate (REIT) Correlation ≈ 0.54:</w:t>
      </w:r>
    </w:p>
    <w:p w14:paraId="6C3D92C8" w14:textId="77777777" w:rsidR="00FA202F" w:rsidRPr="00543049" w:rsidRDefault="00FA202F" w:rsidP="0047145C">
      <w:pPr>
        <w:pStyle w:val="ListParagraph"/>
        <w:numPr>
          <w:ilvl w:val="1"/>
          <w:numId w:val="1"/>
        </w:numPr>
      </w:pPr>
      <w:r w:rsidRPr="00543049">
        <w:t>Moderate co-movement across Real Estate firms (PLD, AMT, SPG, AVB, O).</w:t>
      </w:r>
    </w:p>
    <w:p w14:paraId="1134FF44" w14:textId="77777777" w:rsidR="00FA202F" w:rsidRPr="00543049" w:rsidRDefault="00FA202F" w:rsidP="0047145C">
      <w:pPr>
        <w:pStyle w:val="ListParagraph"/>
        <w:numPr>
          <w:ilvl w:val="1"/>
          <w:numId w:val="1"/>
        </w:numPr>
      </w:pPr>
      <w:r w:rsidRPr="00543049">
        <w:t>Reflects that REITs share exposure to financing costs but differ in property focus and leverage profiles.</w:t>
      </w:r>
    </w:p>
    <w:p w14:paraId="393189E1" w14:textId="77777777" w:rsidR="00FA202F" w:rsidRPr="00543049" w:rsidRDefault="00FA202F" w:rsidP="0047145C">
      <w:pPr>
        <w:pStyle w:val="ListParagraph"/>
        <w:numPr>
          <w:ilvl w:val="0"/>
          <w:numId w:val="1"/>
        </w:numPr>
        <w:rPr>
          <w:b/>
          <w:bCs/>
        </w:rPr>
      </w:pPr>
      <w:r w:rsidRPr="00543049">
        <w:rPr>
          <w:b/>
          <w:bCs/>
        </w:rPr>
        <w:t>Cross-Sector (Financial ↔ Real Estate) Correlation ≈ 0.41:</w:t>
      </w:r>
    </w:p>
    <w:p w14:paraId="3C833CBA" w14:textId="77777777" w:rsidR="00FA202F" w:rsidRPr="00543049" w:rsidRDefault="00FA202F" w:rsidP="0047145C">
      <w:pPr>
        <w:pStyle w:val="ListParagraph"/>
        <w:numPr>
          <w:ilvl w:val="1"/>
          <w:numId w:val="1"/>
        </w:numPr>
      </w:pPr>
      <w:r w:rsidRPr="00543049">
        <w:t>Lower than within-sector averages, showing meaningful though not perfect diversification when combining the two sectors.</w:t>
      </w:r>
    </w:p>
    <w:p w14:paraId="11BD8A0F" w14:textId="77777777" w:rsidR="00FA202F" w:rsidRPr="00543049" w:rsidRDefault="00FA202F" w:rsidP="0047145C">
      <w:pPr>
        <w:pStyle w:val="ListParagraph"/>
        <w:numPr>
          <w:ilvl w:val="1"/>
          <w:numId w:val="1"/>
        </w:numPr>
      </w:pPr>
      <w:r w:rsidRPr="00543049">
        <w:t>Portfolio risk can be reduced slightly by holding both groups together.</w:t>
      </w:r>
    </w:p>
    <w:p w14:paraId="2F6616CD" w14:textId="77777777" w:rsidR="00FA202F" w:rsidRPr="00543049" w:rsidRDefault="00FA202F" w:rsidP="0047145C">
      <w:pPr>
        <w:pStyle w:val="ListParagraph"/>
        <w:numPr>
          <w:ilvl w:val="0"/>
          <w:numId w:val="1"/>
        </w:numPr>
        <w:rPr>
          <w:b/>
          <w:bCs/>
        </w:rPr>
      </w:pPr>
      <w:r w:rsidRPr="00543049">
        <w:rPr>
          <w:b/>
          <w:bCs/>
        </w:rPr>
        <w:t>Relationship with S&amp;P 500 (Index Ticker SP500_ret):</w:t>
      </w:r>
    </w:p>
    <w:p w14:paraId="7A857688" w14:textId="77777777" w:rsidR="00FA202F" w:rsidRPr="00543049" w:rsidRDefault="00FA202F" w:rsidP="0047145C">
      <w:pPr>
        <w:pStyle w:val="ListParagraph"/>
        <w:numPr>
          <w:ilvl w:val="1"/>
          <w:numId w:val="1"/>
        </w:numPr>
      </w:pPr>
      <w:r w:rsidRPr="00543049">
        <w:rPr>
          <w:b/>
          <w:bCs/>
        </w:rPr>
        <w:t xml:space="preserve">Highest correlation: </w:t>
      </w:r>
      <w:r w:rsidRPr="00543049">
        <w:t>BLK (≈ 0.51) — diversified global asset manager tracking market performance closely.</w:t>
      </w:r>
    </w:p>
    <w:p w14:paraId="6D214B38" w14:textId="77777777" w:rsidR="00FA202F" w:rsidRPr="00543049" w:rsidRDefault="00FA202F" w:rsidP="0047145C">
      <w:pPr>
        <w:pStyle w:val="ListParagraph"/>
        <w:numPr>
          <w:ilvl w:val="1"/>
          <w:numId w:val="1"/>
        </w:numPr>
        <w:rPr>
          <w:b/>
          <w:bCs/>
        </w:rPr>
      </w:pPr>
      <w:r w:rsidRPr="00543049">
        <w:rPr>
          <w:b/>
          <w:bCs/>
        </w:rPr>
        <w:t xml:space="preserve">Moderate correlations </w:t>
      </w:r>
      <w:r w:rsidRPr="00543049">
        <w:t>(≈ 0.42–0.44): JPM, BAC, GS, AVB — large firms whose earnings move with macro trends.</w:t>
      </w:r>
    </w:p>
    <w:p w14:paraId="314FA173" w14:textId="69182B52" w:rsidR="00FA202F" w:rsidRPr="00543049" w:rsidRDefault="00FA202F" w:rsidP="0047145C">
      <w:pPr>
        <w:pStyle w:val="ListParagraph"/>
        <w:numPr>
          <w:ilvl w:val="1"/>
          <w:numId w:val="1"/>
        </w:numPr>
      </w:pPr>
      <w:r w:rsidRPr="00543049">
        <w:rPr>
          <w:b/>
          <w:bCs/>
        </w:rPr>
        <w:t xml:space="preserve">Lower correlations (&lt; 0.40): </w:t>
      </w:r>
      <w:r w:rsidRPr="00543049">
        <w:t>O, PLD, SPG, WFC, AMT — offer partial diversification</w:t>
      </w:r>
      <w:r w:rsidR="00543049">
        <w:t xml:space="preserve"> </w:t>
      </w:r>
      <w:r w:rsidRPr="00543049">
        <w:t xml:space="preserve">versus </w:t>
      </w:r>
      <w:r w:rsidR="003C1D50">
        <w:t xml:space="preserve">the </w:t>
      </w:r>
      <w:r w:rsidRPr="00543049">
        <w:t>broad equity market.</w:t>
      </w:r>
    </w:p>
    <w:p w14:paraId="56F1873A" w14:textId="77777777" w:rsidR="00FA202F" w:rsidRPr="00543049" w:rsidRDefault="00FA202F" w:rsidP="0047145C">
      <w:pPr>
        <w:pStyle w:val="ListParagraph"/>
        <w:numPr>
          <w:ilvl w:val="0"/>
          <w:numId w:val="1"/>
        </w:numPr>
        <w:rPr>
          <w:b/>
          <w:bCs/>
        </w:rPr>
      </w:pPr>
      <w:r w:rsidRPr="00543049">
        <w:rPr>
          <w:b/>
          <w:bCs/>
        </w:rPr>
        <w:t>Overall pattern:</w:t>
      </w:r>
    </w:p>
    <w:p w14:paraId="329A516D" w14:textId="77777777" w:rsidR="00FA202F" w:rsidRPr="00543049" w:rsidRDefault="00FA202F" w:rsidP="0047145C">
      <w:pPr>
        <w:pStyle w:val="ListParagraph"/>
        <w:numPr>
          <w:ilvl w:val="1"/>
          <w:numId w:val="1"/>
        </w:numPr>
      </w:pPr>
      <w:r w:rsidRPr="00543049">
        <w:t>Financials exhibit stronger interconnected risk; Real Estate provides moderate diversification.</w:t>
      </w:r>
    </w:p>
    <w:p w14:paraId="1F6F89F9" w14:textId="3D850194" w:rsidR="00B215CA" w:rsidRPr="00543049" w:rsidRDefault="00FA202F" w:rsidP="0047145C">
      <w:pPr>
        <w:pStyle w:val="ListParagraph"/>
        <w:numPr>
          <w:ilvl w:val="1"/>
          <w:numId w:val="1"/>
        </w:numPr>
      </w:pPr>
      <w:r w:rsidRPr="00543049">
        <w:lastRenderedPageBreak/>
        <w:t>Both sectors are positively correlated with the S&amp;P 500, confirming general market dependence but also highlighting that certain REITs (notably AMT) can cushion market volatility.</w:t>
      </w:r>
      <w:r w:rsidR="00716115" w:rsidRPr="00543049">
        <w:t xml:space="preserve"> </w:t>
      </w:r>
    </w:p>
    <w:p w14:paraId="77CF3731" w14:textId="67F23F09" w:rsidR="008C7499" w:rsidRDefault="00CA3E79" w:rsidP="00806CA3">
      <w:pPr>
        <w:jc w:val="center"/>
      </w:pPr>
      <w:r>
        <w:rPr>
          <w:noProof/>
        </w:rPr>
        <w:drawing>
          <wp:inline distT="0" distB="0" distL="0" distR="0" wp14:anchorId="69378E8E" wp14:editId="3946BBC1">
            <wp:extent cx="4114800" cy="3501258"/>
            <wp:effectExtent l="0" t="0" r="0" b="4445"/>
            <wp:docPr id="120406407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64072" name="Picture 1" descr="A screenshot of a graph&#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3501258"/>
                    </a:xfrm>
                    <a:prstGeom prst="rect">
                      <a:avLst/>
                    </a:prstGeom>
                    <a:noFill/>
                    <a:ln>
                      <a:noFill/>
                    </a:ln>
                  </pic:spPr>
                </pic:pic>
              </a:graphicData>
            </a:graphic>
          </wp:inline>
        </w:drawing>
      </w:r>
    </w:p>
    <w:p w14:paraId="654755D6" w14:textId="19035BC7" w:rsidR="00EA4E46" w:rsidRDefault="5E9BD30E" w:rsidP="003E0032">
      <w:pPr>
        <w:jc w:val="center"/>
        <w:rPr>
          <w:sz w:val="20"/>
          <w:szCs w:val="20"/>
        </w:rPr>
      </w:pPr>
      <w:r w:rsidRPr="4B90F60D">
        <w:rPr>
          <w:b/>
          <w:bCs/>
          <w:sz w:val="20"/>
          <w:szCs w:val="20"/>
        </w:rPr>
        <w:t xml:space="preserve">Fig </w:t>
      </w:r>
      <w:r w:rsidR="7346EF61" w:rsidRPr="4B90F60D">
        <w:rPr>
          <w:b/>
          <w:bCs/>
          <w:sz w:val="20"/>
          <w:szCs w:val="20"/>
        </w:rPr>
        <w:t>2</w:t>
      </w:r>
      <w:r w:rsidRPr="4B90F60D">
        <w:rPr>
          <w:sz w:val="20"/>
          <w:szCs w:val="20"/>
        </w:rPr>
        <w:t xml:space="preserve">: </w:t>
      </w:r>
      <w:r w:rsidR="016C37CC" w:rsidRPr="4B90F60D">
        <w:rPr>
          <w:sz w:val="20"/>
          <w:szCs w:val="20"/>
        </w:rPr>
        <w:t xml:space="preserve">The </w:t>
      </w:r>
      <w:r w:rsidR="007F621C">
        <w:rPr>
          <w:sz w:val="20"/>
          <w:szCs w:val="20"/>
        </w:rPr>
        <w:t>Correlation Heatmap</w:t>
      </w:r>
    </w:p>
    <w:p w14:paraId="6BE8F7E9" w14:textId="60EA28B4" w:rsidR="00826FF8" w:rsidRDefault="00826FF8" w:rsidP="00AF439B">
      <w:pPr>
        <w:pStyle w:val="Heading2"/>
      </w:pPr>
      <w:bookmarkStart w:id="5" w:name="_Toc212322826"/>
      <w:r>
        <w:t xml:space="preserve">(c) </w:t>
      </w:r>
      <w:r w:rsidR="00D62CA1">
        <w:t>S</w:t>
      </w:r>
      <w:r w:rsidR="00D62CA1" w:rsidRPr="00D62CA1">
        <w:t xml:space="preserve">tock </w:t>
      </w:r>
      <w:r w:rsidR="000B65E0">
        <w:t>R</w:t>
      </w:r>
      <w:r w:rsidR="00D62CA1" w:rsidRPr="00D62CA1">
        <w:t xml:space="preserve">eturns and </w:t>
      </w:r>
      <w:r w:rsidR="000B65E0">
        <w:t>F</w:t>
      </w:r>
      <w:r w:rsidR="00D62CA1" w:rsidRPr="00D62CA1">
        <w:t xml:space="preserve">inancial </w:t>
      </w:r>
      <w:r w:rsidR="000B65E0">
        <w:t>F</w:t>
      </w:r>
      <w:r w:rsidR="00D62CA1" w:rsidRPr="00D62CA1">
        <w:t>undamentals</w:t>
      </w:r>
      <w:r w:rsidR="00D62CA1">
        <w:t xml:space="preserve"> </w:t>
      </w:r>
      <w:r w:rsidR="000B65E0">
        <w:t>R</w:t>
      </w:r>
      <w:r w:rsidR="00D62CA1">
        <w:t xml:space="preserve">elationship </w:t>
      </w:r>
      <w:r w:rsidR="000B65E0">
        <w:t>A</w:t>
      </w:r>
      <w:r w:rsidR="00D62CA1">
        <w:t>nalysis</w:t>
      </w:r>
      <w:bookmarkEnd w:id="5"/>
    </w:p>
    <w:p w14:paraId="43D63DF7" w14:textId="77777777" w:rsidR="00C75B75" w:rsidRDefault="006E5BDE" w:rsidP="00D62CA1">
      <w:r w:rsidRPr="006E5BDE">
        <w:t xml:space="preserve">While </w:t>
      </w:r>
      <w:r>
        <w:t>this step</w:t>
      </w:r>
      <w:r w:rsidRPr="006E5BDE">
        <w:t xml:space="preserve"> primarily examines the relationship between stock returns and financial fundamentals, we also extend the analysis to include volatility to better understand the risk dimension of those same fundamentals. </w:t>
      </w:r>
      <w:r w:rsidR="00F1349A" w:rsidRPr="00F1349A">
        <w:t xml:space="preserve">By merging each company’s average return and volatility (from </w:t>
      </w:r>
      <w:r w:rsidR="00F1349A">
        <w:t>the previous</w:t>
      </w:r>
      <w:r w:rsidR="00610B0F">
        <w:t xml:space="preserve"> steps</w:t>
      </w:r>
      <w:r w:rsidR="00F1349A" w:rsidRPr="00F1349A">
        <w:t>) with fundamental metrics from</w:t>
      </w:r>
      <w:r w:rsidRPr="006E5BDE">
        <w:t xml:space="preserve"> Capital IQ</w:t>
      </w:r>
      <w:r w:rsidR="00610B0F">
        <w:t xml:space="preserve"> (</w:t>
      </w:r>
      <w:r w:rsidR="00F1349A" w:rsidRPr="00F1349A">
        <w:t>such as ROE</w:t>
      </w:r>
      <w:r w:rsidRPr="006E5BDE">
        <w:t xml:space="preserve">, leverage, valuation, </w:t>
      </w:r>
      <w:r w:rsidR="00F1349A" w:rsidRPr="00F1349A">
        <w:t xml:space="preserve">and </w:t>
      </w:r>
      <w:r w:rsidRPr="006E5BDE">
        <w:t>dividend yield</w:t>
      </w:r>
      <w:r w:rsidR="00610B0F">
        <w:t>)</w:t>
      </w:r>
      <w:r w:rsidR="00F3743C">
        <w:t>,</w:t>
      </w:r>
      <w:r w:rsidR="00610B0F">
        <w:t xml:space="preserve"> </w:t>
      </w:r>
      <w:r w:rsidRPr="006E5BDE">
        <w:t xml:space="preserve">we </w:t>
      </w:r>
      <w:r w:rsidR="00F1349A" w:rsidRPr="00F1349A">
        <w:t>examined</w:t>
      </w:r>
      <w:r w:rsidRPr="006E5BDE">
        <w:t xml:space="preserve"> how firm characteristics </w:t>
      </w:r>
      <w:r w:rsidR="00F1349A" w:rsidRPr="00F1349A">
        <w:t>relate to</w:t>
      </w:r>
      <w:r w:rsidRPr="006E5BDE">
        <w:t xml:space="preserve"> performance and stability. </w:t>
      </w:r>
    </w:p>
    <w:p w14:paraId="558ED23A" w14:textId="6A4A466C" w:rsidR="00C75B75" w:rsidRPr="004E234B" w:rsidRDefault="00C75B75" w:rsidP="00C75B75">
      <w:pPr>
        <w:rPr>
          <w:b/>
          <w:bCs/>
        </w:rPr>
      </w:pPr>
      <w:r w:rsidRPr="004E234B">
        <w:rPr>
          <w:b/>
          <w:bCs/>
        </w:rPr>
        <w:t>Key Findings</w:t>
      </w:r>
      <w:r w:rsidR="006C5764">
        <w:rPr>
          <w:b/>
          <w:bCs/>
        </w:rPr>
        <w:t>:</w:t>
      </w:r>
    </w:p>
    <w:p w14:paraId="18E68F7A" w14:textId="77777777" w:rsidR="005A55D8" w:rsidRDefault="005A55D8" w:rsidP="005A55D8">
      <w:pPr>
        <w:pStyle w:val="ListParagraph"/>
        <w:numPr>
          <w:ilvl w:val="0"/>
          <w:numId w:val="2"/>
        </w:numPr>
      </w:pPr>
      <w:r>
        <w:t>Leverage (Debt-to-Equity) shows the strongest association with both higher returns and higher volatility, confirming that debt amplifies risk exposure.</w:t>
      </w:r>
    </w:p>
    <w:p w14:paraId="0572CC56" w14:textId="77777777" w:rsidR="005A55D8" w:rsidRDefault="005A55D8" w:rsidP="005A55D8">
      <w:pPr>
        <w:pStyle w:val="ListParagraph"/>
        <w:numPr>
          <w:ilvl w:val="0"/>
          <w:numId w:val="2"/>
        </w:numPr>
      </w:pPr>
      <w:r>
        <w:t>Profitability metrics (ROE, EBIT/Interest) relate positively but moderately to returns, suggesting efficient firms earn higher returns without proportionate increases in risk.</w:t>
      </w:r>
    </w:p>
    <w:p w14:paraId="7D3CD59E" w14:textId="6F81FA7C" w:rsidR="005A55D8" w:rsidRDefault="005A55D8" w:rsidP="005A55D8">
      <w:pPr>
        <w:pStyle w:val="ListParagraph"/>
        <w:numPr>
          <w:ilvl w:val="0"/>
          <w:numId w:val="2"/>
        </w:numPr>
      </w:pPr>
      <w:r>
        <w:lastRenderedPageBreak/>
        <w:t xml:space="preserve">High-dividend and high-valuation stocks </w:t>
      </w:r>
      <w:r w:rsidR="000E2778">
        <w:t>deliver</w:t>
      </w:r>
      <w:r>
        <w:t xml:space="preserve"> lower returns and lower volatility, typical of mature, defensive firms.</w:t>
      </w:r>
    </w:p>
    <w:p w14:paraId="27DC2FC5" w14:textId="605B8919" w:rsidR="00A540EB" w:rsidRPr="00D62CA1" w:rsidRDefault="005A55D8" w:rsidP="005A55D8">
      <w:pPr>
        <w:pStyle w:val="ListParagraph"/>
        <w:numPr>
          <w:ilvl w:val="0"/>
          <w:numId w:val="2"/>
        </w:numPr>
      </w:pPr>
      <w:r>
        <w:t xml:space="preserve">Extended volatility-based plots </w:t>
      </w:r>
      <w:r w:rsidR="00D37EB8">
        <w:t>illustrate</w:t>
      </w:r>
      <w:r>
        <w:t xml:space="preserve"> that leverage and firm size are primary drivers of risk sensitivity within and across sectors</w:t>
      </w:r>
      <w:r w:rsidR="006E5BDE" w:rsidRPr="006E5BDE">
        <w:t>.</w:t>
      </w:r>
    </w:p>
    <w:p w14:paraId="3913E40D" w14:textId="20A20991" w:rsidR="00FD3453" w:rsidRDefault="00E143A0" w:rsidP="00AD3E39">
      <w:pPr>
        <w:jc w:val="center"/>
      </w:pPr>
      <w:r w:rsidRPr="00E143A0">
        <w:rPr>
          <w:noProof/>
        </w:rPr>
        <w:drawing>
          <wp:inline distT="0" distB="0" distL="0" distR="0" wp14:anchorId="0355C849" wp14:editId="7AD607E1">
            <wp:extent cx="5029200" cy="2493645"/>
            <wp:effectExtent l="0" t="0" r="0" b="0"/>
            <wp:docPr id="1586074454"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74454" name="Picture 1" descr="A graph of different sizes and colors&#10;&#10;AI-generated content may be incorrect."/>
                    <pic:cNvPicPr/>
                  </pic:nvPicPr>
                  <pic:blipFill>
                    <a:blip r:embed="rId11"/>
                    <a:stretch>
                      <a:fillRect/>
                    </a:stretch>
                  </pic:blipFill>
                  <pic:spPr>
                    <a:xfrm>
                      <a:off x="0" y="0"/>
                      <a:ext cx="5029200" cy="2493645"/>
                    </a:xfrm>
                    <a:prstGeom prst="rect">
                      <a:avLst/>
                    </a:prstGeom>
                  </pic:spPr>
                </pic:pic>
              </a:graphicData>
            </a:graphic>
          </wp:inline>
        </w:drawing>
      </w:r>
    </w:p>
    <w:p w14:paraId="024BCED1" w14:textId="557C9979" w:rsidR="00E143A0" w:rsidRPr="00826FF8" w:rsidRDefault="00E143A0" w:rsidP="00AD3E39">
      <w:pPr>
        <w:jc w:val="center"/>
      </w:pPr>
      <w:r w:rsidRPr="00E143A0">
        <w:rPr>
          <w:noProof/>
        </w:rPr>
        <w:drawing>
          <wp:inline distT="0" distB="0" distL="0" distR="0" wp14:anchorId="28188B7A" wp14:editId="58EA4D30">
            <wp:extent cx="5029200" cy="2493645"/>
            <wp:effectExtent l="0" t="0" r="0" b="0"/>
            <wp:docPr id="185498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85102" name=""/>
                    <pic:cNvPicPr/>
                  </pic:nvPicPr>
                  <pic:blipFill>
                    <a:blip r:embed="rId12"/>
                    <a:stretch>
                      <a:fillRect/>
                    </a:stretch>
                  </pic:blipFill>
                  <pic:spPr>
                    <a:xfrm>
                      <a:off x="0" y="0"/>
                      <a:ext cx="5029200" cy="2493645"/>
                    </a:xfrm>
                    <a:prstGeom prst="rect">
                      <a:avLst/>
                    </a:prstGeom>
                  </pic:spPr>
                </pic:pic>
              </a:graphicData>
            </a:graphic>
          </wp:inline>
        </w:drawing>
      </w:r>
    </w:p>
    <w:p w14:paraId="001BF083" w14:textId="56A10D45" w:rsidR="00C3110E" w:rsidRPr="00C3110E" w:rsidRDefault="00C3110E" w:rsidP="00DE5AB6">
      <w:pPr>
        <w:jc w:val="center"/>
        <w:rPr>
          <w:sz w:val="20"/>
          <w:szCs w:val="20"/>
        </w:rPr>
      </w:pPr>
      <w:r w:rsidRPr="4B90F60D">
        <w:rPr>
          <w:b/>
          <w:bCs/>
          <w:sz w:val="20"/>
          <w:szCs w:val="20"/>
        </w:rPr>
        <w:t xml:space="preserve">Fig </w:t>
      </w:r>
      <w:r>
        <w:rPr>
          <w:b/>
          <w:bCs/>
          <w:sz w:val="20"/>
          <w:szCs w:val="20"/>
        </w:rPr>
        <w:t>3</w:t>
      </w:r>
      <w:r w:rsidRPr="4B90F60D">
        <w:rPr>
          <w:sz w:val="20"/>
          <w:szCs w:val="20"/>
        </w:rPr>
        <w:t xml:space="preserve">: </w:t>
      </w:r>
      <w:r>
        <w:rPr>
          <w:sz w:val="20"/>
          <w:szCs w:val="20"/>
        </w:rPr>
        <w:t>Scatterplots</w:t>
      </w:r>
      <w:r w:rsidR="00DE5AB6">
        <w:rPr>
          <w:sz w:val="20"/>
          <w:szCs w:val="20"/>
        </w:rPr>
        <w:t xml:space="preserve"> -</w:t>
      </w:r>
      <w:r w:rsidR="00DE5AB6" w:rsidRPr="00DE5AB6">
        <w:t xml:space="preserve"> </w:t>
      </w:r>
      <w:r w:rsidR="00DE5AB6" w:rsidRPr="00DE5AB6">
        <w:rPr>
          <w:sz w:val="20"/>
          <w:szCs w:val="20"/>
        </w:rPr>
        <w:t>Stock returns</w:t>
      </w:r>
      <w:r w:rsidR="00DE5AB6">
        <w:rPr>
          <w:sz w:val="20"/>
          <w:szCs w:val="20"/>
        </w:rPr>
        <w:t xml:space="preserve"> vs</w:t>
      </w:r>
      <w:r w:rsidR="00DE5AB6" w:rsidRPr="00DE5AB6">
        <w:rPr>
          <w:sz w:val="20"/>
          <w:szCs w:val="20"/>
        </w:rPr>
        <w:t xml:space="preserve"> financial fundamentals</w:t>
      </w:r>
    </w:p>
    <w:p w14:paraId="2CAB4438" w14:textId="77777777" w:rsidR="000A6F39" w:rsidRDefault="00BD49C8" w:rsidP="00BD49C8">
      <w:r w:rsidRPr="00B735AB">
        <w:rPr>
          <w:i/>
        </w:rPr>
        <w:t>Note:</w:t>
      </w:r>
      <w:r>
        <w:t xml:space="preserve"> </w:t>
      </w:r>
      <w:r w:rsidRPr="00BD49C8">
        <w:t>During the data merge with Capital IQ fundamentals, several variables contained missing or null values (e.g., Gross Margin %, Net Margin %, EBITDA Margin %, and Interest Coverage Ratio).</w:t>
      </w:r>
    </w:p>
    <w:p w14:paraId="3A0298E7" w14:textId="273097AE" w:rsidR="000A6F39" w:rsidRDefault="00BD49C8" w:rsidP="000A6F39">
      <w:pPr>
        <w:pStyle w:val="ListParagraph"/>
        <w:numPr>
          <w:ilvl w:val="0"/>
          <w:numId w:val="11"/>
        </w:numPr>
      </w:pPr>
      <w:r w:rsidRPr="00BD49C8">
        <w:t xml:space="preserve">These are not data-quality </w:t>
      </w:r>
      <w:r w:rsidR="00730F3B">
        <w:t>issues</w:t>
      </w:r>
      <w:r w:rsidRPr="00BD49C8">
        <w:t xml:space="preserve"> but stem from </w:t>
      </w:r>
      <w:r w:rsidRPr="000616C9">
        <w:rPr>
          <w:i/>
        </w:rPr>
        <w:t>sector-specific accounting conventions</w:t>
      </w:r>
      <w:r w:rsidRPr="00BD49C8">
        <w:t>.</w:t>
      </w:r>
      <w:r w:rsidRPr="00BD49C8">
        <w:br/>
        <w:t xml:space="preserve">Banks and diversified financial institutions (JPM, BAC, WFC, GS, BLK) report net interest </w:t>
      </w:r>
      <w:r w:rsidRPr="00BD49C8">
        <w:lastRenderedPageBreak/>
        <w:t>income rather than cost-of-goods-based margins and therefore do not disclose gross or operating margins in a comparable format.</w:t>
      </w:r>
    </w:p>
    <w:p w14:paraId="559DE81B" w14:textId="77777777" w:rsidR="006B2907" w:rsidRDefault="00BD49C8" w:rsidP="006B2907">
      <w:pPr>
        <w:pStyle w:val="ListParagraph"/>
        <w:numPr>
          <w:ilvl w:val="0"/>
          <w:numId w:val="11"/>
        </w:numPr>
      </w:pPr>
      <w:r w:rsidRPr="00BD49C8">
        <w:t>Similarly, interest coverage ratios are not meaningful for banks because interest expense is a function of their core lending business, whereas for Real Estate Investment Trusts (REITs)</w:t>
      </w:r>
      <w:r w:rsidR="008964BB">
        <w:t>,</w:t>
      </w:r>
      <w:r w:rsidRPr="00BD49C8">
        <w:t xml:space="preserve"> such ratios reflect debt-service capacity.</w:t>
      </w:r>
      <w:r w:rsidR="006B2907">
        <w:t xml:space="preserve"> </w:t>
      </w:r>
      <w:r w:rsidRPr="00BD49C8">
        <w:t>Consequently, these fields appear as “N/A” for financial institutions but are valid for REITs</w:t>
      </w:r>
      <w:r w:rsidR="006B2907">
        <w:t>.</w:t>
      </w:r>
    </w:p>
    <w:p w14:paraId="1117BB8B" w14:textId="6E49C25C" w:rsidR="00BD49C8" w:rsidRPr="00C3110E" w:rsidRDefault="00BD49C8" w:rsidP="000A6F39">
      <w:pPr>
        <w:pStyle w:val="ListParagraph"/>
        <w:numPr>
          <w:ilvl w:val="0"/>
          <w:numId w:val="11"/>
        </w:numPr>
      </w:pPr>
      <w:r w:rsidRPr="00BD49C8">
        <w:t>This distinction highlights inherent differences in financial statement structures across sectors</w:t>
      </w:r>
      <w:r w:rsidR="009B1668">
        <w:t xml:space="preserve">. </w:t>
      </w:r>
      <w:r w:rsidR="000F5B78">
        <w:t>H</w:t>
      </w:r>
      <w:r w:rsidR="000F5B78" w:rsidRPr="000F5B78">
        <w:t>ence,</w:t>
      </w:r>
      <w:r w:rsidR="009B1668">
        <w:t xml:space="preserve"> the</w:t>
      </w:r>
      <w:r w:rsidRPr="00BD49C8">
        <w:t xml:space="preserve"> cross-sector fundamental analysis focus</w:t>
      </w:r>
      <w:r w:rsidR="004E1844">
        <w:t>ed</w:t>
      </w:r>
      <w:r w:rsidRPr="00BD49C8">
        <w:t xml:space="preserve"> on comparable </w:t>
      </w:r>
      <w:r w:rsidR="000F5B78" w:rsidRPr="000F5B78">
        <w:t>metrics</w:t>
      </w:r>
      <w:r w:rsidRPr="00BD49C8">
        <w:t xml:space="preserve"> such as ROE, Debt-to-Equity, Market Capitalization, and Dividend Yield.</w:t>
      </w:r>
    </w:p>
    <w:p w14:paraId="6A3191AD" w14:textId="190F3C50" w:rsidR="00191CEA" w:rsidRDefault="00D3115C" w:rsidP="00AF439B">
      <w:pPr>
        <w:pStyle w:val="Heading2"/>
      </w:pPr>
      <w:bookmarkStart w:id="6" w:name="_Toc212322827"/>
      <w:r w:rsidRPr="00AF439B">
        <w:t>(d)</w:t>
      </w:r>
      <w:r w:rsidR="00191CEA" w:rsidRPr="00AF439B">
        <w:t xml:space="preserve"> Equal-weighted Portfolio Construction &amp; Performance Analysis</w:t>
      </w:r>
      <w:bookmarkEnd w:id="6"/>
    </w:p>
    <w:p w14:paraId="7810ACBC" w14:textId="78A6CED9" w:rsidR="00AF439B" w:rsidRDefault="00BC048F" w:rsidP="00AF439B">
      <w:r w:rsidRPr="00BC048F">
        <w:t>This step constructs an equal-weighted portfolio of ten selected stocks</w:t>
      </w:r>
      <w:r w:rsidR="00B12012">
        <w:t xml:space="preserve"> </w:t>
      </w:r>
      <w:r w:rsidRPr="00BC048F">
        <w:t>(</w:t>
      </w:r>
      <w:r w:rsidR="00225D4D" w:rsidRPr="00BC048F">
        <w:t>Financial</w:t>
      </w:r>
      <w:r w:rsidR="00225D4D">
        <w:t xml:space="preserve">: </w:t>
      </w:r>
      <w:r w:rsidRPr="00BC048F">
        <w:t>JPM, BAC, WFC, GS, BLK</w:t>
      </w:r>
      <w:r w:rsidR="005D6522">
        <w:t>,</w:t>
      </w:r>
      <w:r w:rsidR="00225D4D">
        <w:t xml:space="preserve"> </w:t>
      </w:r>
      <w:r w:rsidR="005D6522">
        <w:t xml:space="preserve">and </w:t>
      </w:r>
      <w:r w:rsidR="00225D4D" w:rsidRPr="00BC048F">
        <w:t>Real Estate</w:t>
      </w:r>
      <w:r w:rsidR="00225D4D">
        <w:t xml:space="preserve">: </w:t>
      </w:r>
      <w:r w:rsidRPr="00BC048F">
        <w:t>PLD, AMT, SPG, AVB, O)</w:t>
      </w:r>
      <w:r w:rsidR="00BB4B7A">
        <w:t xml:space="preserve"> </w:t>
      </w:r>
      <w:r w:rsidRPr="00BC048F">
        <w:t>to evaluate its performance relative to the market benchmark (S&amp;P 500) under the influence of monetary-policy changes.</w:t>
      </w:r>
    </w:p>
    <w:p w14:paraId="0DDF7E7F" w14:textId="04A7314E" w:rsidR="00043C74" w:rsidRPr="005F3300" w:rsidRDefault="00043C74" w:rsidP="00043C74">
      <w:pPr>
        <w:pStyle w:val="ListParagraph"/>
        <w:numPr>
          <w:ilvl w:val="0"/>
          <w:numId w:val="9"/>
        </w:numPr>
        <w:rPr>
          <w:rFonts w:ascii="Aptos" w:hAnsi="Aptos"/>
          <w:szCs w:val="22"/>
        </w:rPr>
      </w:pPr>
      <w:r w:rsidRPr="005F3300">
        <w:rPr>
          <w:rFonts w:ascii="Aptos" w:hAnsi="Aptos"/>
          <w:szCs w:val="22"/>
        </w:rPr>
        <w:t>An equal-weighted portfolio was formed by assigning identical weights of 10% to each stock</w:t>
      </w:r>
      <w:r w:rsidR="00C47837" w:rsidRPr="005F3300">
        <w:rPr>
          <w:rFonts w:ascii="Aptos" w:hAnsi="Aptos"/>
          <w:szCs w:val="22"/>
        </w:rPr>
        <w:t xml:space="preserve"> (</w:t>
      </w:r>
      <w:r w:rsidR="00A95809" w:rsidRPr="005F3300">
        <w:rPr>
          <w:rFonts w:ascii="Aptos" w:hAnsi="Aptos"/>
          <w:szCs w:val="22"/>
        </w:rPr>
        <w:t xml:space="preserve">log returns </w:t>
      </w:r>
      <w:r w:rsidR="005E6193" w:rsidRPr="005F3300">
        <w:rPr>
          <w:rFonts w:ascii="Aptos" w:hAnsi="Aptos"/>
          <w:szCs w:val="22"/>
        </w:rPr>
        <w:t xml:space="preserve">for each stock </w:t>
      </w:r>
      <m:oMath>
        <m:sSub>
          <m:sSubPr>
            <m:ctrlPr>
              <w:rPr>
                <w:rFonts w:ascii="Cambria Math" w:hAnsi="Cambria Math"/>
                <w:iCs/>
                <w:szCs w:val="22"/>
              </w:rPr>
            </m:ctrlPr>
          </m:sSubPr>
          <m:e>
            <m:r>
              <m:rPr>
                <m:sty m:val="p"/>
              </m:rPr>
              <w:rPr>
                <w:rFonts w:ascii="Cambria Math" w:hAnsi="Cambria Math"/>
                <w:szCs w:val="22"/>
              </w:rPr>
              <m:t>R</m:t>
            </m:r>
          </m:e>
          <m:sub>
            <m:r>
              <m:rPr>
                <m:sty m:val="p"/>
              </m:rPr>
              <w:rPr>
                <w:rFonts w:ascii="Cambria Math" w:hAnsi="Cambria Math"/>
                <w:szCs w:val="22"/>
              </w:rPr>
              <m:t>i</m:t>
            </m:r>
          </m:sub>
        </m:sSub>
        <m:r>
          <m:rPr>
            <m:sty m:val="p"/>
          </m:rPr>
          <w:rPr>
            <w:rFonts w:ascii="Cambria Math" w:hAnsi="Cambria Math"/>
            <w:szCs w:val="22"/>
          </w:rPr>
          <m:t>(t)</m:t>
        </m:r>
      </m:oMath>
      <w:r w:rsidR="005E6193" w:rsidRPr="005F3300">
        <w:rPr>
          <w:rFonts w:ascii="Aptos" w:eastAsiaTheme="minorEastAsia" w:hAnsi="Aptos"/>
          <w:szCs w:val="22"/>
        </w:rPr>
        <w:t xml:space="preserve"> were taken from the output of part (a) return analysis</w:t>
      </w:r>
      <w:r w:rsidR="005F72EB" w:rsidRPr="005F3300">
        <w:rPr>
          <w:rFonts w:ascii="Aptos" w:eastAsiaTheme="minorEastAsia" w:hAnsi="Aptos"/>
          <w:szCs w:val="22"/>
        </w:rPr>
        <w:t>)</w:t>
      </w:r>
      <w:r w:rsidR="005E6193" w:rsidRPr="005F3300">
        <w:rPr>
          <w:rFonts w:ascii="Aptos" w:eastAsiaTheme="minorEastAsia" w:hAnsi="Aptos"/>
          <w:szCs w:val="22"/>
        </w:rPr>
        <w:t>.</w:t>
      </w:r>
    </w:p>
    <w:p w14:paraId="2B77506A" w14:textId="67A6B3AC" w:rsidR="00E55A50" w:rsidRPr="00BB0126" w:rsidRDefault="00000000" w:rsidP="00E55A50">
      <w:pPr>
        <w:ind w:left="720"/>
        <w:rPr>
          <w:rFonts w:ascii="Aptos" w:hAnsi="Aptos"/>
          <w:szCs w:val="22"/>
        </w:rPr>
      </w:pPr>
      <m:oMathPara>
        <m:oMathParaPr>
          <m:jc m:val="center"/>
        </m:oMathParaPr>
        <m:oMath>
          <m:sSub>
            <m:sSubPr>
              <m:ctrlPr>
                <w:rPr>
                  <w:rFonts w:ascii="Cambria Math" w:hAnsi="Cambria Math"/>
                  <w:iCs/>
                  <w:szCs w:val="22"/>
                </w:rPr>
              </m:ctrlPr>
            </m:sSubPr>
            <m:e>
              <m:r>
                <m:rPr>
                  <m:sty m:val="p"/>
                </m:rPr>
                <w:rPr>
                  <w:rFonts w:ascii="Cambria Math" w:hAnsi="Cambria Math"/>
                  <w:szCs w:val="22"/>
                </w:rPr>
                <m:t>R</m:t>
              </m:r>
            </m:e>
            <m:sub>
              <m:r>
                <m:rPr>
                  <m:sty m:val="p"/>
                </m:rPr>
                <w:rPr>
                  <w:rFonts w:ascii="Cambria Math" w:hAnsi="Cambria Math"/>
                  <w:szCs w:val="22"/>
                </w:rPr>
                <m:t>p</m:t>
              </m:r>
            </m:sub>
          </m:sSub>
          <m:d>
            <m:dPr>
              <m:ctrlPr>
                <w:rPr>
                  <w:rFonts w:ascii="Cambria Math" w:hAnsi="Cambria Math"/>
                  <w:iCs/>
                  <w:szCs w:val="22"/>
                </w:rPr>
              </m:ctrlPr>
            </m:dPr>
            <m:e>
              <m:r>
                <m:rPr>
                  <m:sty m:val="p"/>
                </m:rPr>
                <w:rPr>
                  <w:rFonts w:ascii="Cambria Math" w:hAnsi="Cambria Math"/>
                  <w:szCs w:val="22"/>
                </w:rPr>
                <m:t>t</m:t>
              </m:r>
            </m:e>
          </m:d>
          <m:r>
            <m:rPr>
              <m:sty m:val="p"/>
            </m:rPr>
            <w:rPr>
              <w:rFonts w:ascii="Cambria Math" w:hAnsi="Cambria Math"/>
              <w:szCs w:val="22"/>
            </w:rPr>
            <m:t>=</m:t>
          </m:r>
          <m:nary>
            <m:naryPr>
              <m:chr m:val="∑"/>
              <m:limLoc m:val="undOvr"/>
              <m:ctrlPr>
                <w:rPr>
                  <w:rFonts w:ascii="Cambria Math" w:hAnsi="Cambria Math"/>
                  <w:iCs/>
                  <w:szCs w:val="22"/>
                </w:rPr>
              </m:ctrlPr>
            </m:naryPr>
            <m:sub>
              <m:r>
                <m:rPr>
                  <m:sty m:val="p"/>
                </m:rPr>
                <w:rPr>
                  <w:rFonts w:ascii="Cambria Math" w:hAnsi="Cambria Math"/>
                  <w:szCs w:val="22"/>
                </w:rPr>
                <m:t>i=1</m:t>
              </m:r>
            </m:sub>
            <m:sup>
              <m:r>
                <m:rPr>
                  <m:sty m:val="p"/>
                </m:rPr>
                <w:rPr>
                  <w:rFonts w:ascii="Cambria Math" w:hAnsi="Cambria Math"/>
                  <w:szCs w:val="22"/>
                </w:rPr>
                <m:t>10</m:t>
              </m:r>
            </m:sup>
            <m:e>
              <m:sSub>
                <m:sSubPr>
                  <m:ctrlPr>
                    <w:rPr>
                      <w:rFonts w:ascii="Cambria Math" w:hAnsi="Cambria Math"/>
                      <w:iCs/>
                      <w:szCs w:val="22"/>
                    </w:rPr>
                  </m:ctrlPr>
                </m:sSubPr>
                <m:e>
                  <m:sSub>
                    <m:sSubPr>
                      <m:ctrlPr>
                        <w:rPr>
                          <w:rFonts w:ascii="Cambria Math" w:hAnsi="Cambria Math"/>
                          <w:iCs/>
                          <w:szCs w:val="22"/>
                        </w:rPr>
                      </m:ctrlPr>
                    </m:sSubPr>
                    <m:e>
                      <m:r>
                        <m:rPr>
                          <m:sty m:val="p"/>
                        </m:rPr>
                        <w:rPr>
                          <w:rFonts w:ascii="Cambria Math" w:hAnsi="Cambria Math"/>
                          <w:szCs w:val="22"/>
                        </w:rPr>
                        <m:t>w</m:t>
                      </m:r>
                    </m:e>
                    <m:sub>
                      <m:r>
                        <m:rPr>
                          <m:sty m:val="p"/>
                        </m:rPr>
                        <w:rPr>
                          <w:rFonts w:ascii="Cambria Math" w:hAnsi="Cambria Math"/>
                          <w:szCs w:val="22"/>
                        </w:rPr>
                        <m:t>i</m:t>
                      </m:r>
                    </m:sub>
                  </m:sSub>
                  <m:r>
                    <m:rPr>
                      <m:sty m:val="p"/>
                    </m:rPr>
                    <w:rPr>
                      <w:rFonts w:ascii="Cambria Math" w:hAnsi="Cambria Math"/>
                      <w:szCs w:val="22"/>
                    </w:rPr>
                    <m:t>×R</m:t>
                  </m:r>
                </m:e>
                <m:sub>
                  <m:r>
                    <m:rPr>
                      <m:sty m:val="p"/>
                    </m:rPr>
                    <w:rPr>
                      <w:rFonts w:ascii="Cambria Math" w:hAnsi="Cambria Math"/>
                      <w:szCs w:val="22"/>
                    </w:rPr>
                    <m:t>i</m:t>
                  </m:r>
                </m:sub>
              </m:sSub>
              <m:r>
                <m:rPr>
                  <m:sty m:val="p"/>
                </m:rPr>
                <w:rPr>
                  <w:rFonts w:ascii="Cambria Math" w:hAnsi="Cambria Math"/>
                  <w:szCs w:val="22"/>
                </w:rPr>
                <m:t>(t)</m:t>
              </m:r>
            </m:e>
          </m:nary>
          <m:r>
            <w:rPr>
              <w:rFonts w:ascii="Cambria Math" w:hAnsi="Cambria Math"/>
              <w:szCs w:val="22"/>
            </w:rPr>
            <m:t>=</m:t>
          </m:r>
          <m:nary>
            <m:naryPr>
              <m:chr m:val="∑"/>
              <m:limLoc m:val="undOvr"/>
              <m:ctrlPr>
                <w:rPr>
                  <w:rFonts w:ascii="Cambria Math" w:hAnsi="Cambria Math"/>
                  <w:iCs/>
                  <w:szCs w:val="22"/>
                </w:rPr>
              </m:ctrlPr>
            </m:naryPr>
            <m:sub>
              <m:r>
                <m:rPr>
                  <m:sty m:val="p"/>
                </m:rPr>
                <w:rPr>
                  <w:rFonts w:ascii="Cambria Math" w:hAnsi="Cambria Math"/>
                  <w:szCs w:val="22"/>
                </w:rPr>
                <m:t>i=1</m:t>
              </m:r>
            </m:sub>
            <m:sup>
              <m:r>
                <m:rPr>
                  <m:sty m:val="p"/>
                </m:rPr>
                <w:rPr>
                  <w:rFonts w:ascii="Cambria Math" w:hAnsi="Cambria Math"/>
                  <w:szCs w:val="22"/>
                </w:rPr>
                <m:t>10</m:t>
              </m:r>
            </m:sup>
            <m:e>
              <m:sSub>
                <m:sSubPr>
                  <m:ctrlPr>
                    <w:rPr>
                      <w:rFonts w:ascii="Cambria Math" w:hAnsi="Cambria Math"/>
                      <w:iCs/>
                      <w:szCs w:val="22"/>
                    </w:rPr>
                  </m:ctrlPr>
                </m:sSubPr>
                <m:e>
                  <m:f>
                    <m:fPr>
                      <m:ctrlPr>
                        <w:rPr>
                          <w:rFonts w:ascii="Cambria Math" w:hAnsi="Cambria Math"/>
                          <w:iCs/>
                          <w:szCs w:val="22"/>
                        </w:rPr>
                      </m:ctrlPr>
                    </m:fPr>
                    <m:num>
                      <m:r>
                        <m:rPr>
                          <m:sty m:val="p"/>
                        </m:rPr>
                        <w:rPr>
                          <w:rFonts w:ascii="Cambria Math" w:hAnsi="Cambria Math"/>
                          <w:szCs w:val="22"/>
                        </w:rPr>
                        <m:t>1</m:t>
                      </m:r>
                    </m:num>
                    <m:den>
                      <m:r>
                        <m:rPr>
                          <m:sty m:val="p"/>
                        </m:rPr>
                        <w:rPr>
                          <w:rFonts w:ascii="Cambria Math" w:hAnsi="Cambria Math"/>
                          <w:szCs w:val="22"/>
                        </w:rPr>
                        <m:t>10</m:t>
                      </m:r>
                    </m:den>
                  </m:f>
                  <m:r>
                    <m:rPr>
                      <m:sty m:val="p"/>
                    </m:rPr>
                    <w:rPr>
                      <w:rFonts w:ascii="Cambria Math" w:hAnsi="Cambria Math"/>
                      <w:szCs w:val="22"/>
                    </w:rPr>
                    <m:t>×R</m:t>
                  </m:r>
                </m:e>
                <m:sub>
                  <m:r>
                    <m:rPr>
                      <m:sty m:val="p"/>
                    </m:rPr>
                    <w:rPr>
                      <w:rFonts w:ascii="Cambria Math" w:hAnsi="Cambria Math"/>
                      <w:szCs w:val="22"/>
                    </w:rPr>
                    <m:t>i</m:t>
                  </m:r>
                </m:sub>
              </m:sSub>
              <m:r>
                <m:rPr>
                  <m:sty m:val="p"/>
                </m:rPr>
                <w:rPr>
                  <w:rFonts w:ascii="Cambria Math" w:hAnsi="Cambria Math"/>
                  <w:szCs w:val="22"/>
                </w:rPr>
                <m:t>(t)</m:t>
              </m:r>
            </m:e>
          </m:nary>
        </m:oMath>
      </m:oMathPara>
    </w:p>
    <w:p w14:paraId="2B84FE66" w14:textId="7DBBC725" w:rsidR="00D3115C" w:rsidRPr="005F3300" w:rsidRDefault="00982CED" w:rsidP="005E1420">
      <w:pPr>
        <w:pStyle w:val="ListParagraph"/>
        <w:numPr>
          <w:ilvl w:val="0"/>
          <w:numId w:val="9"/>
        </w:numPr>
        <w:rPr>
          <w:rFonts w:ascii="Aptos" w:hAnsi="Aptos"/>
          <w:szCs w:val="22"/>
        </w:rPr>
      </w:pPr>
      <w:r w:rsidRPr="005F3300">
        <w:rPr>
          <w:rFonts w:ascii="Aptos" w:hAnsi="Aptos"/>
          <w:szCs w:val="22"/>
        </w:rPr>
        <w:t xml:space="preserve">The </w:t>
      </w:r>
      <w:r w:rsidR="00AD1B45" w:rsidRPr="005F3300">
        <w:rPr>
          <w:rFonts w:ascii="Aptos" w:hAnsi="Aptos"/>
          <w:szCs w:val="22"/>
        </w:rPr>
        <w:t>weekly mean return (</w:t>
      </w:r>
      <m:oMath>
        <m:sSub>
          <m:sSubPr>
            <m:ctrlPr>
              <w:rPr>
                <w:rFonts w:ascii="Cambria Math" w:hAnsi="Cambria Math"/>
                <w:szCs w:val="22"/>
              </w:rPr>
            </m:ctrlPr>
          </m:sSubPr>
          <m:e>
            <m:acc>
              <m:accPr>
                <m:chr m:val="ˉ"/>
                <m:ctrlPr>
                  <w:rPr>
                    <w:rFonts w:ascii="Cambria Math" w:hAnsi="Cambria Math"/>
                    <w:szCs w:val="22"/>
                  </w:rPr>
                </m:ctrlPr>
              </m:accPr>
              <m:e>
                <m:r>
                  <m:rPr>
                    <m:sty m:val="p"/>
                  </m:rPr>
                  <w:rPr>
                    <w:rFonts w:ascii="Cambria Math" w:hAnsi="Cambria Math"/>
                    <w:szCs w:val="22"/>
                  </w:rPr>
                  <m:t>R</m:t>
                </m:r>
              </m:e>
            </m:acc>
          </m:e>
          <m:sub>
            <m:r>
              <m:rPr>
                <m:sty m:val="p"/>
              </m:rPr>
              <w:rPr>
                <w:rFonts w:ascii="Cambria Math" w:hAnsi="Cambria Math"/>
                <w:szCs w:val="22"/>
              </w:rPr>
              <m:t>p</m:t>
            </m:r>
          </m:sub>
        </m:sSub>
      </m:oMath>
      <w:r w:rsidR="00AD1B45" w:rsidRPr="005F3300">
        <w:rPr>
          <w:rFonts w:ascii="Aptos" w:hAnsi="Aptos"/>
          <w:szCs w:val="22"/>
        </w:rPr>
        <w:t>), volatility (</w:t>
      </w:r>
      <m:oMath>
        <m:sSub>
          <m:sSubPr>
            <m:ctrlPr>
              <w:rPr>
                <w:rFonts w:ascii="Cambria Math" w:hAnsi="Cambria Math"/>
                <w:szCs w:val="22"/>
              </w:rPr>
            </m:ctrlPr>
          </m:sSubPr>
          <m:e>
            <m:r>
              <m:rPr>
                <m:sty m:val="p"/>
              </m:rPr>
              <w:rPr>
                <w:rFonts w:ascii="Cambria Math" w:hAnsi="Cambria Math"/>
                <w:szCs w:val="22"/>
              </w:rPr>
              <m:t>σ</m:t>
            </m:r>
          </m:e>
          <m:sub>
            <m:r>
              <m:rPr>
                <m:sty m:val="p"/>
              </m:rPr>
              <w:rPr>
                <w:rFonts w:ascii="Cambria Math" w:hAnsi="Cambria Math"/>
                <w:szCs w:val="22"/>
              </w:rPr>
              <m:t>p</m:t>
            </m:r>
          </m:sub>
        </m:sSub>
      </m:oMath>
      <w:r w:rsidR="00AD1B45" w:rsidRPr="005F3300">
        <w:rPr>
          <w:rFonts w:ascii="Aptos" w:hAnsi="Aptos"/>
          <w:szCs w:val="22"/>
        </w:rPr>
        <w:t>), and Sharpe ratio were computed as:</w:t>
      </w:r>
    </w:p>
    <w:p w14:paraId="6C49B06F" w14:textId="5FBDAE59" w:rsidR="00C90755" w:rsidRPr="00BB0126" w:rsidRDefault="00002C57" w:rsidP="00C90755">
      <w:pPr>
        <w:ind w:left="720"/>
        <w:rPr>
          <w:rStyle w:val="vlist-s"/>
          <w:rFonts w:ascii="Aptos" w:eastAsiaTheme="minorEastAsia" w:hAnsi="Aptos"/>
          <w:szCs w:val="22"/>
        </w:rPr>
      </w:pPr>
      <m:oMathPara>
        <m:oMathParaPr>
          <m:jc m:val="center"/>
        </m:oMathParaPr>
        <m:oMath>
          <m:r>
            <m:rPr>
              <m:sty m:val="p"/>
            </m:rPr>
            <w:rPr>
              <w:rStyle w:val="mord"/>
              <w:rFonts w:ascii="Cambria Math" w:hAnsi="Cambria Math"/>
              <w:szCs w:val="22"/>
            </w:rPr>
            <m:t xml:space="preserve">Sharpe </m:t>
          </m:r>
          <m:sSub>
            <m:sSubPr>
              <m:ctrlPr>
                <w:rPr>
                  <w:rStyle w:val="mord"/>
                  <w:rFonts w:ascii="Cambria Math" w:hAnsi="Cambria Math"/>
                  <w:szCs w:val="22"/>
                </w:rPr>
              </m:ctrlPr>
            </m:sSubPr>
            <m:e>
              <m:r>
                <m:rPr>
                  <m:sty m:val="p"/>
                </m:rPr>
                <w:rPr>
                  <w:rStyle w:val="mord"/>
                  <w:rFonts w:ascii="Cambria Math" w:hAnsi="Cambria Math"/>
                  <w:szCs w:val="22"/>
                </w:rPr>
                <m:t>Ratio</m:t>
              </m:r>
            </m:e>
            <m:sub>
              <m:r>
                <m:rPr>
                  <m:sty m:val="p"/>
                </m:rPr>
                <w:rPr>
                  <w:rStyle w:val="mord"/>
                  <w:rFonts w:ascii="Cambria Math" w:hAnsi="Cambria Math"/>
                  <w:szCs w:val="22"/>
                </w:rPr>
                <m:t>p</m:t>
              </m:r>
            </m:sub>
          </m:sSub>
          <m:r>
            <m:rPr>
              <m:sty m:val="p"/>
            </m:rPr>
            <w:rPr>
              <w:rStyle w:val="vlist-s"/>
              <w:rFonts w:ascii="Cambria Math" w:hAnsi="Cambria Math" w:cs="Arial"/>
              <w:szCs w:val="22"/>
            </w:rPr>
            <m:t>​</m:t>
          </m:r>
          <m:r>
            <m:rPr>
              <m:sty m:val="p"/>
            </m:rPr>
            <w:rPr>
              <w:rStyle w:val="mrel"/>
              <w:rFonts w:ascii="Cambria Math" w:hAnsi="Cambria Math"/>
              <w:szCs w:val="22"/>
            </w:rPr>
            <m:t>=</m:t>
          </m:r>
          <m:f>
            <m:fPr>
              <m:ctrlPr>
                <w:rPr>
                  <w:rStyle w:val="vlist-s"/>
                  <w:rFonts w:ascii="Cambria Math" w:hAnsi="Cambria Math"/>
                  <w:szCs w:val="22"/>
                </w:rPr>
              </m:ctrlPr>
            </m:fPr>
            <m:num>
              <m:acc>
                <m:accPr>
                  <m:chr m:val="̅"/>
                  <m:ctrlPr>
                    <w:rPr>
                      <w:rStyle w:val="mord"/>
                      <w:rFonts w:ascii="Cambria Math" w:hAnsi="Cambria Math"/>
                      <w:szCs w:val="22"/>
                    </w:rPr>
                  </m:ctrlPr>
                </m:accPr>
                <m:e>
                  <m:r>
                    <m:rPr>
                      <m:sty m:val="p"/>
                    </m:rPr>
                    <w:rPr>
                      <w:rStyle w:val="mord"/>
                      <w:rFonts w:ascii="Cambria Math" w:hAnsi="Cambria Math"/>
                      <w:szCs w:val="22"/>
                    </w:rPr>
                    <m:t>R</m:t>
                  </m:r>
                </m:e>
              </m:acc>
              <m:sSub>
                <m:sSubPr>
                  <m:ctrlPr>
                    <w:rPr>
                      <w:rStyle w:val="vlist-s"/>
                      <w:rFonts w:ascii="Cambria Math" w:hAnsi="Cambria Math" w:cs="Arial"/>
                      <w:szCs w:val="22"/>
                    </w:rPr>
                  </m:ctrlPr>
                </m:sSubPr>
                <m:e>
                  <m:r>
                    <m:rPr>
                      <m:sty m:val="p"/>
                    </m:rPr>
                    <w:rPr>
                      <w:rStyle w:val="vlist-s"/>
                      <w:rFonts w:ascii="Cambria Math" w:hAnsi="Cambria Math" w:cs="Arial"/>
                      <w:szCs w:val="22"/>
                    </w:rPr>
                    <m:t>​</m:t>
                  </m:r>
                </m:e>
                <m:sub>
                  <m:r>
                    <m:rPr>
                      <m:sty m:val="p"/>
                    </m:rPr>
                    <w:rPr>
                      <w:rStyle w:val="vlist-s"/>
                      <w:rFonts w:ascii="Cambria Math" w:hAnsi="Cambria Math" w:cs="Arial"/>
                      <w:szCs w:val="22"/>
                    </w:rPr>
                    <m:t>p</m:t>
                  </m:r>
                </m:sub>
              </m:sSub>
              <m:r>
                <m:rPr>
                  <m:sty m:val="p"/>
                </m:rPr>
                <w:rPr>
                  <w:rStyle w:val="mbin"/>
                  <w:rFonts w:ascii="Cambria Math" w:hAnsi="Cambria Math"/>
                  <w:szCs w:val="22"/>
                </w:rPr>
                <m:t>-</m:t>
              </m:r>
              <m:sSub>
                <m:sSubPr>
                  <m:ctrlPr>
                    <w:rPr>
                      <w:rStyle w:val="mord"/>
                      <w:rFonts w:ascii="Cambria Math" w:hAnsi="Cambria Math"/>
                      <w:szCs w:val="22"/>
                    </w:rPr>
                  </m:ctrlPr>
                </m:sSubPr>
                <m:e>
                  <m:r>
                    <m:rPr>
                      <m:sty m:val="p"/>
                    </m:rPr>
                    <w:rPr>
                      <w:rStyle w:val="mord"/>
                      <w:rFonts w:ascii="Cambria Math" w:hAnsi="Cambria Math"/>
                      <w:szCs w:val="22"/>
                    </w:rPr>
                    <m:t>r</m:t>
                  </m:r>
                  <m:ctrlPr>
                    <w:rPr>
                      <w:rStyle w:val="mbin"/>
                      <w:rFonts w:ascii="Cambria Math" w:hAnsi="Cambria Math"/>
                      <w:szCs w:val="22"/>
                    </w:rPr>
                  </m:ctrlPr>
                </m:e>
                <m:sub>
                  <m:r>
                    <m:rPr>
                      <m:sty m:val="p"/>
                    </m:rPr>
                    <w:rPr>
                      <w:rStyle w:val="mord"/>
                      <w:rFonts w:ascii="Cambria Math" w:hAnsi="Cambria Math"/>
                      <w:szCs w:val="22"/>
                    </w:rPr>
                    <m:t>f</m:t>
                  </m:r>
                </m:sub>
              </m:sSub>
              <m:r>
                <m:rPr>
                  <m:sty m:val="p"/>
                </m:rPr>
                <w:rPr>
                  <w:rStyle w:val="vlist-s"/>
                  <w:rFonts w:ascii="Cambria Math" w:hAnsi="Cambria Math" w:cs="Arial"/>
                  <w:szCs w:val="22"/>
                </w:rPr>
                <m:t>​</m:t>
              </m:r>
              <m:r>
                <m:rPr>
                  <m:sty m:val="p"/>
                </m:rPr>
                <w:rPr>
                  <w:rStyle w:val="vlist-s"/>
                  <w:rFonts w:ascii="Cambria Math" w:hAnsi="Cambria Math"/>
                  <w:szCs w:val="22"/>
                </w:rPr>
                <m:t>​</m:t>
              </m:r>
            </m:num>
            <m:den>
              <m:sSub>
                <m:sSubPr>
                  <m:ctrlPr>
                    <w:rPr>
                      <w:rStyle w:val="mord"/>
                      <w:rFonts w:ascii="Cambria Math" w:hAnsi="Cambria Math"/>
                      <w:szCs w:val="22"/>
                    </w:rPr>
                  </m:ctrlPr>
                </m:sSubPr>
                <m:e>
                  <m:r>
                    <m:rPr>
                      <m:sty m:val="p"/>
                    </m:rPr>
                    <w:rPr>
                      <w:rStyle w:val="mord"/>
                      <w:rFonts w:ascii="Cambria Math" w:hAnsi="Cambria Math"/>
                      <w:szCs w:val="22"/>
                    </w:rPr>
                    <m:t>σ</m:t>
                  </m:r>
                </m:e>
                <m:sub>
                  <m:r>
                    <m:rPr>
                      <m:sty m:val="p"/>
                    </m:rPr>
                    <w:rPr>
                      <w:rStyle w:val="mord"/>
                      <w:rFonts w:ascii="Cambria Math" w:hAnsi="Cambria Math"/>
                      <w:szCs w:val="22"/>
                    </w:rPr>
                    <m:t>p</m:t>
                  </m:r>
                </m:sub>
              </m:sSub>
            </m:den>
          </m:f>
        </m:oMath>
      </m:oMathPara>
    </w:p>
    <w:p w14:paraId="45787EE7" w14:textId="1552702C" w:rsidR="00E3301D" w:rsidRPr="005F3300" w:rsidRDefault="00000000" w:rsidP="00E3301D">
      <w:pPr>
        <w:pStyle w:val="ListParagraph"/>
        <w:numPr>
          <w:ilvl w:val="0"/>
          <w:numId w:val="9"/>
        </w:numPr>
        <w:rPr>
          <w:rFonts w:ascii="Aptos" w:hAnsi="Aptos"/>
          <w:szCs w:val="22"/>
        </w:rPr>
      </w:pPr>
      <m:oMath>
        <m:sSub>
          <m:sSubPr>
            <m:ctrlPr>
              <w:rPr>
                <w:rFonts w:ascii="Cambria Math" w:hAnsi="Cambria Math"/>
                <w:iCs/>
                <w:szCs w:val="22"/>
              </w:rPr>
            </m:ctrlPr>
          </m:sSubPr>
          <m:e>
            <m:r>
              <m:rPr>
                <m:sty m:val="p"/>
              </m:rPr>
              <w:rPr>
                <w:rFonts w:ascii="Cambria Math" w:hAnsi="Cambria Math"/>
                <w:szCs w:val="22"/>
              </w:rPr>
              <m:t>r</m:t>
            </m:r>
          </m:e>
          <m:sub>
            <m:r>
              <m:rPr>
                <m:sty m:val="p"/>
              </m:rPr>
              <w:rPr>
                <w:rFonts w:ascii="Cambria Math" w:hAnsi="Cambria Math"/>
                <w:szCs w:val="22"/>
              </w:rPr>
              <m:t>f</m:t>
            </m:r>
          </m:sub>
        </m:sSub>
      </m:oMath>
      <w:r w:rsidR="00B6289C" w:rsidRPr="005F3300">
        <w:rPr>
          <w:rFonts w:ascii="Aptos" w:eastAsiaTheme="minorEastAsia" w:hAnsi="Aptos"/>
          <w:iCs/>
          <w:szCs w:val="22"/>
        </w:rPr>
        <w:t xml:space="preserve"> </w:t>
      </w:r>
      <w:r w:rsidR="00E3301D" w:rsidRPr="005F3300">
        <w:rPr>
          <w:rFonts w:ascii="Aptos" w:hAnsi="Aptos"/>
          <w:szCs w:val="22"/>
        </w:rPr>
        <w:t>is the weekly risk-free rate derived from the 13-Week T-Bill yield</w:t>
      </w:r>
      <w:r w:rsidR="006A4DDF" w:rsidRPr="005F3300">
        <w:rPr>
          <w:rFonts w:ascii="Aptos" w:hAnsi="Aptos"/>
          <w:szCs w:val="22"/>
        </w:rPr>
        <w:t xml:space="preserve"> (annualized % yield)</w:t>
      </w:r>
      <w:r w:rsidR="00E3301D" w:rsidRPr="005F3300">
        <w:rPr>
          <w:rFonts w:ascii="Aptos" w:hAnsi="Aptos"/>
          <w:szCs w:val="22"/>
        </w:rPr>
        <w:t>:</w:t>
      </w:r>
    </w:p>
    <w:p w14:paraId="3A751D7A" w14:textId="173EDB68" w:rsidR="000B7D55" w:rsidRPr="00BB0126" w:rsidRDefault="00000000" w:rsidP="000B7D55">
      <w:pPr>
        <w:ind w:left="720"/>
        <w:rPr>
          <w:rStyle w:val="mord"/>
          <w:rFonts w:ascii="Aptos" w:eastAsiaTheme="minorEastAsia" w:hAnsi="Aptos"/>
          <w:szCs w:val="22"/>
        </w:rPr>
      </w:pPr>
      <m:oMathPara>
        <m:oMathParaPr>
          <m:jc m:val="center"/>
        </m:oMathParaPr>
        <m:oMath>
          <m:sSub>
            <m:sSubPr>
              <m:ctrlPr>
                <w:rPr>
                  <w:rStyle w:val="mord"/>
                  <w:rFonts w:ascii="Cambria Math" w:hAnsi="Cambria Math"/>
                  <w:szCs w:val="22"/>
                </w:rPr>
              </m:ctrlPr>
            </m:sSubPr>
            <m:e>
              <m:r>
                <m:rPr>
                  <m:sty m:val="p"/>
                </m:rPr>
                <w:rPr>
                  <w:rStyle w:val="mord"/>
                  <w:rFonts w:ascii="Cambria Math" w:hAnsi="Cambria Math"/>
                  <w:szCs w:val="22"/>
                </w:rPr>
                <m:t>r</m:t>
              </m:r>
            </m:e>
            <m:sub>
              <m:r>
                <m:rPr>
                  <m:sty m:val="p"/>
                </m:rPr>
                <w:rPr>
                  <w:rStyle w:val="mord"/>
                  <w:rFonts w:ascii="Cambria Math" w:hAnsi="Cambria Math"/>
                  <w:szCs w:val="22"/>
                </w:rPr>
                <m:t>f</m:t>
              </m:r>
            </m:sub>
          </m:sSub>
          <m:r>
            <m:rPr>
              <m:sty m:val="p"/>
            </m:rPr>
            <w:rPr>
              <w:rStyle w:val="vlist-s"/>
              <w:rFonts w:ascii="Cambria Math" w:hAnsi="Cambria Math" w:cs="Arial"/>
              <w:szCs w:val="22"/>
            </w:rPr>
            <m:t>​</m:t>
          </m:r>
          <m:r>
            <m:rPr>
              <m:sty m:val="p"/>
            </m:rPr>
            <w:rPr>
              <w:rStyle w:val="mrel"/>
              <w:rFonts w:ascii="Cambria Math" w:hAnsi="Cambria Math"/>
              <w:szCs w:val="22"/>
            </w:rPr>
            <m:t>=</m:t>
          </m:r>
          <m:sSup>
            <m:sSupPr>
              <m:ctrlPr>
                <w:rPr>
                  <w:rStyle w:val="delimsizing"/>
                  <w:rFonts w:ascii="Cambria Math" w:hAnsi="Cambria Math"/>
                  <w:szCs w:val="22"/>
                </w:rPr>
              </m:ctrlPr>
            </m:sSupPr>
            <m:e>
              <m:d>
                <m:dPr>
                  <m:ctrlPr>
                    <w:rPr>
                      <w:rStyle w:val="delimsizing"/>
                      <w:rFonts w:ascii="Cambria Math" w:hAnsi="Cambria Math"/>
                      <w:szCs w:val="22"/>
                    </w:rPr>
                  </m:ctrlPr>
                </m:dPr>
                <m:e>
                  <m:r>
                    <m:rPr>
                      <m:sty m:val="p"/>
                    </m:rPr>
                    <w:rPr>
                      <w:rStyle w:val="mord"/>
                      <w:rFonts w:ascii="Cambria Math" w:hAnsi="Cambria Math"/>
                      <w:szCs w:val="22"/>
                    </w:rPr>
                    <m:t>1</m:t>
                  </m:r>
                  <m:r>
                    <w:rPr>
                      <w:rStyle w:val="mbin"/>
                      <w:rFonts w:ascii="Cambria Math" w:hAnsi="Cambria Math"/>
                      <w:szCs w:val="22"/>
                    </w:rPr>
                    <m:t>+</m:t>
                  </m:r>
                  <m:f>
                    <m:fPr>
                      <m:ctrlPr>
                        <w:rPr>
                          <w:rStyle w:val="vlist-s"/>
                          <w:rFonts w:ascii="Cambria Math" w:hAnsi="Cambria Math" w:cs="Arial"/>
                          <w:szCs w:val="22"/>
                        </w:rPr>
                      </m:ctrlPr>
                    </m:fPr>
                    <m:num>
                      <m:sSub>
                        <m:sSubPr>
                          <m:ctrlPr>
                            <w:rPr>
                              <w:rStyle w:val="mord"/>
                              <w:rFonts w:ascii="Cambria Math" w:hAnsi="Cambria Math"/>
                              <w:szCs w:val="22"/>
                            </w:rPr>
                          </m:ctrlPr>
                        </m:sSubPr>
                        <m:e>
                          <m:r>
                            <m:rPr>
                              <m:sty m:val="p"/>
                            </m:rPr>
                            <w:rPr>
                              <w:rStyle w:val="mord"/>
                              <w:rFonts w:ascii="Cambria Math" w:hAnsi="Cambria Math"/>
                              <w:szCs w:val="22"/>
                            </w:rPr>
                            <m:t>Y</m:t>
                          </m:r>
                          <m:ctrlPr>
                            <w:rPr>
                              <w:rStyle w:val="mbin"/>
                              <w:rFonts w:ascii="Cambria Math" w:hAnsi="Cambria Math"/>
                              <w:i/>
                              <w:iCs/>
                              <w:szCs w:val="22"/>
                            </w:rPr>
                          </m:ctrlPr>
                        </m:e>
                        <m:sub>
                          <m:r>
                            <m:rPr>
                              <m:sty m:val="p"/>
                            </m:rPr>
                            <w:rPr>
                              <w:rStyle w:val="mord"/>
                              <w:rFonts w:ascii="Cambria Math" w:hAnsi="Cambria Math"/>
                              <w:szCs w:val="22"/>
                            </w:rPr>
                            <m:t>TBill</m:t>
                          </m:r>
                        </m:sub>
                      </m:sSub>
                      <m:ctrlPr>
                        <w:rPr>
                          <w:rStyle w:val="mbin"/>
                          <w:rFonts w:ascii="Cambria Math" w:hAnsi="Cambria Math"/>
                          <w:i/>
                          <w:iCs/>
                          <w:szCs w:val="22"/>
                        </w:rPr>
                      </m:ctrlPr>
                    </m:num>
                    <m:den>
                      <m:r>
                        <m:rPr>
                          <m:sty m:val="p"/>
                        </m:rPr>
                        <w:rPr>
                          <w:rStyle w:val="vlist-s"/>
                          <w:rFonts w:ascii="Cambria Math" w:hAnsi="Cambria Math" w:cs="Arial"/>
                          <w:szCs w:val="22"/>
                        </w:rPr>
                        <m:t>100</m:t>
                      </m:r>
                    </m:den>
                  </m:f>
                  <m:r>
                    <m:rPr>
                      <m:sty m:val="p"/>
                    </m:rPr>
                    <w:rPr>
                      <w:rStyle w:val="vlist-s"/>
                      <w:rFonts w:ascii="Cambria Math" w:hAnsi="Cambria Math" w:cs="Arial"/>
                      <w:szCs w:val="22"/>
                    </w:rPr>
                    <m:t>​​</m:t>
                  </m:r>
                </m:e>
              </m:d>
              <m:ctrlPr>
                <w:rPr>
                  <w:rStyle w:val="delimsizing"/>
                  <w:rFonts w:ascii="Cambria Math" w:hAnsi="Cambria Math"/>
                  <w:i/>
                  <w:szCs w:val="22"/>
                </w:rPr>
              </m:ctrlPr>
            </m:e>
            <m:sup>
              <m:f>
                <m:fPr>
                  <m:ctrlPr>
                    <w:rPr>
                      <w:rStyle w:val="mord"/>
                      <w:rFonts w:ascii="Cambria Math" w:hAnsi="Cambria Math"/>
                      <w:szCs w:val="22"/>
                    </w:rPr>
                  </m:ctrlPr>
                </m:fPr>
                <m:num>
                  <m:r>
                    <m:rPr>
                      <m:sty m:val="p"/>
                    </m:rPr>
                    <w:rPr>
                      <w:rStyle w:val="mord"/>
                      <w:rFonts w:ascii="Cambria Math" w:hAnsi="Cambria Math"/>
                      <w:szCs w:val="22"/>
                    </w:rPr>
                    <m:t>1</m:t>
                  </m:r>
                  <m:ctrlPr>
                    <w:rPr>
                      <w:rStyle w:val="delimsizing"/>
                      <w:rFonts w:ascii="Cambria Math" w:hAnsi="Cambria Math"/>
                      <w:szCs w:val="22"/>
                    </w:rPr>
                  </m:ctrlPr>
                </m:num>
                <m:den>
                  <m:r>
                    <m:rPr>
                      <m:sty m:val="p"/>
                    </m:rPr>
                    <w:rPr>
                      <w:rStyle w:val="mord"/>
                      <w:rFonts w:ascii="Cambria Math" w:hAnsi="Cambria Math"/>
                      <w:szCs w:val="22"/>
                    </w:rPr>
                    <m:t>52</m:t>
                  </m:r>
                </m:den>
              </m:f>
            </m:sup>
          </m:sSup>
          <m:r>
            <w:rPr>
              <w:rStyle w:val="mbin"/>
              <w:rFonts w:ascii="Cambria Math" w:hAnsi="Cambria Math"/>
              <w:szCs w:val="22"/>
            </w:rPr>
            <m:t>-</m:t>
          </m:r>
          <m:r>
            <m:rPr>
              <m:sty m:val="p"/>
            </m:rPr>
            <w:rPr>
              <w:rStyle w:val="mord"/>
              <w:rFonts w:ascii="Cambria Math" w:hAnsi="Cambria Math"/>
              <w:szCs w:val="22"/>
            </w:rPr>
            <m:t>1</m:t>
          </m:r>
        </m:oMath>
      </m:oMathPara>
    </w:p>
    <w:p w14:paraId="37F81AF9" w14:textId="41726C67" w:rsidR="00FD6BDF" w:rsidRPr="00847967" w:rsidRDefault="00F16A7A" w:rsidP="004D21CF">
      <w:pPr>
        <w:pStyle w:val="ListParagraph"/>
        <w:numPr>
          <w:ilvl w:val="0"/>
          <w:numId w:val="9"/>
        </w:numPr>
        <w:rPr>
          <w:rFonts w:ascii="Aptos" w:hAnsi="Aptos"/>
          <w:szCs w:val="22"/>
        </w:rPr>
      </w:pPr>
      <w:r w:rsidRPr="005F3300">
        <w:rPr>
          <w:rFonts w:ascii="Aptos" w:hAnsi="Aptos"/>
          <w:szCs w:val="22"/>
        </w:rPr>
        <w:t xml:space="preserve">All data series were aligned on a </w:t>
      </w:r>
      <w:r w:rsidR="00D14142" w:rsidRPr="005F3300">
        <w:rPr>
          <w:rFonts w:ascii="Aptos" w:hAnsi="Aptos"/>
          <w:szCs w:val="22"/>
        </w:rPr>
        <w:t>typical</w:t>
      </w:r>
      <w:r w:rsidRPr="005F3300">
        <w:rPr>
          <w:rFonts w:ascii="Aptos" w:hAnsi="Aptos"/>
          <w:szCs w:val="22"/>
        </w:rPr>
        <w:t xml:space="preserve"> weekly frequency (Friday close). </w:t>
      </w:r>
      <w:r w:rsidR="00C47FB6" w:rsidRPr="005F3300">
        <w:rPr>
          <w:rFonts w:ascii="Aptos" w:hAnsi="Aptos"/>
          <w:szCs w:val="22"/>
        </w:rPr>
        <w:t>The portfolio’s average weekly return was similar to that of the S&amp;P 500, but its volatility was higher due to concentration in two rate-sensitive sectors. Consequently, its Sharpe ratio was slightly lower than the market’s.</w:t>
      </w:r>
    </w:p>
    <w:tbl>
      <w:tblPr>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5" w:type="dxa"/>
          <w:left w:w="144" w:type="dxa"/>
          <w:bottom w:w="15" w:type="dxa"/>
          <w:right w:w="144" w:type="dxa"/>
        </w:tblCellMar>
        <w:tblLook w:val="04A0" w:firstRow="1" w:lastRow="0" w:firstColumn="1" w:lastColumn="0" w:noHBand="0" w:noVBand="1"/>
      </w:tblPr>
      <w:tblGrid>
        <w:gridCol w:w="2141"/>
        <w:gridCol w:w="1789"/>
        <w:gridCol w:w="1746"/>
      </w:tblGrid>
      <w:tr w:rsidR="00944972" w:rsidRPr="007F1C5B" w14:paraId="334B359F" w14:textId="77777777" w:rsidTr="00944972">
        <w:trPr>
          <w:trHeight w:val="432"/>
          <w:tblHeader/>
          <w:jc w:val="center"/>
        </w:trPr>
        <w:tc>
          <w:tcPr>
            <w:tcW w:w="0" w:type="auto"/>
            <w:vAlign w:val="center"/>
            <w:hideMark/>
          </w:tcPr>
          <w:p w14:paraId="58714DDD" w14:textId="77777777" w:rsidR="00944972" w:rsidRPr="007F1C5B" w:rsidRDefault="00944972" w:rsidP="00944972">
            <w:pPr>
              <w:spacing w:after="0" w:line="240" w:lineRule="auto"/>
              <w:rPr>
                <w:b/>
                <w:bCs/>
                <w:sz w:val="20"/>
                <w:szCs w:val="20"/>
              </w:rPr>
            </w:pPr>
            <w:r w:rsidRPr="007F1C5B">
              <w:rPr>
                <w:b/>
                <w:bCs/>
                <w:sz w:val="20"/>
                <w:szCs w:val="20"/>
              </w:rPr>
              <w:lastRenderedPageBreak/>
              <w:t>Metric</w:t>
            </w:r>
          </w:p>
        </w:tc>
        <w:tc>
          <w:tcPr>
            <w:tcW w:w="0" w:type="auto"/>
            <w:vAlign w:val="center"/>
            <w:hideMark/>
          </w:tcPr>
          <w:p w14:paraId="0DC506A2" w14:textId="77777777" w:rsidR="00944972" w:rsidRPr="007F1C5B" w:rsidRDefault="00944972" w:rsidP="00944972">
            <w:pPr>
              <w:spacing w:after="0" w:line="240" w:lineRule="auto"/>
              <w:ind w:left="720"/>
              <w:rPr>
                <w:b/>
                <w:bCs/>
                <w:sz w:val="20"/>
                <w:szCs w:val="20"/>
              </w:rPr>
            </w:pPr>
            <w:r w:rsidRPr="007F1C5B">
              <w:rPr>
                <w:b/>
                <w:bCs/>
                <w:sz w:val="20"/>
                <w:szCs w:val="20"/>
              </w:rPr>
              <w:t>Portfolio</w:t>
            </w:r>
          </w:p>
        </w:tc>
        <w:tc>
          <w:tcPr>
            <w:tcW w:w="0" w:type="auto"/>
            <w:vAlign w:val="center"/>
            <w:hideMark/>
          </w:tcPr>
          <w:p w14:paraId="5A9C252E" w14:textId="77777777" w:rsidR="00944972" w:rsidRPr="007F1C5B" w:rsidRDefault="00944972" w:rsidP="00944972">
            <w:pPr>
              <w:spacing w:after="0" w:line="240" w:lineRule="auto"/>
              <w:ind w:left="720"/>
              <w:rPr>
                <w:b/>
                <w:bCs/>
                <w:sz w:val="20"/>
                <w:szCs w:val="20"/>
              </w:rPr>
            </w:pPr>
            <w:r w:rsidRPr="007F1C5B">
              <w:rPr>
                <w:b/>
                <w:bCs/>
                <w:sz w:val="20"/>
                <w:szCs w:val="20"/>
              </w:rPr>
              <w:t>S&amp;P 500</w:t>
            </w:r>
          </w:p>
        </w:tc>
      </w:tr>
      <w:tr w:rsidR="00944972" w:rsidRPr="007F1C5B" w14:paraId="49DC00B3" w14:textId="77777777" w:rsidTr="00944972">
        <w:trPr>
          <w:jc w:val="center"/>
        </w:trPr>
        <w:tc>
          <w:tcPr>
            <w:tcW w:w="0" w:type="auto"/>
            <w:vAlign w:val="center"/>
            <w:hideMark/>
          </w:tcPr>
          <w:p w14:paraId="6754DB6B" w14:textId="77777777" w:rsidR="00944972" w:rsidRPr="007F1C5B" w:rsidRDefault="00944972" w:rsidP="00944972">
            <w:pPr>
              <w:spacing w:after="0" w:line="240" w:lineRule="auto"/>
              <w:rPr>
                <w:sz w:val="20"/>
                <w:szCs w:val="20"/>
              </w:rPr>
            </w:pPr>
            <w:r w:rsidRPr="007F1C5B">
              <w:rPr>
                <w:sz w:val="20"/>
                <w:szCs w:val="20"/>
              </w:rPr>
              <w:t>Mean Weekly Return</w:t>
            </w:r>
          </w:p>
        </w:tc>
        <w:tc>
          <w:tcPr>
            <w:tcW w:w="0" w:type="auto"/>
            <w:vAlign w:val="center"/>
            <w:hideMark/>
          </w:tcPr>
          <w:p w14:paraId="3D727CBA" w14:textId="77777777" w:rsidR="00944972" w:rsidRPr="007F1C5B" w:rsidRDefault="00944972" w:rsidP="00944972">
            <w:pPr>
              <w:spacing w:after="0" w:line="240" w:lineRule="auto"/>
              <w:rPr>
                <w:sz w:val="20"/>
                <w:szCs w:val="20"/>
              </w:rPr>
            </w:pPr>
            <w:r w:rsidRPr="007F1C5B">
              <w:rPr>
                <w:sz w:val="20"/>
                <w:szCs w:val="20"/>
              </w:rPr>
              <w:t>0.00259 (0.26 %)</w:t>
            </w:r>
          </w:p>
        </w:tc>
        <w:tc>
          <w:tcPr>
            <w:tcW w:w="0" w:type="auto"/>
            <w:vAlign w:val="center"/>
            <w:hideMark/>
          </w:tcPr>
          <w:p w14:paraId="6C27B1C7" w14:textId="77777777" w:rsidR="00944972" w:rsidRPr="007F1C5B" w:rsidRDefault="00944972" w:rsidP="00944972">
            <w:pPr>
              <w:spacing w:after="0" w:line="240" w:lineRule="auto"/>
              <w:rPr>
                <w:sz w:val="20"/>
                <w:szCs w:val="20"/>
              </w:rPr>
            </w:pPr>
            <w:r w:rsidRPr="007F1C5B">
              <w:rPr>
                <w:sz w:val="20"/>
                <w:szCs w:val="20"/>
              </w:rPr>
              <w:t>0.00275 (0.27 %)</w:t>
            </w:r>
          </w:p>
        </w:tc>
      </w:tr>
      <w:tr w:rsidR="00944972" w:rsidRPr="007F1C5B" w14:paraId="70DC59B9" w14:textId="77777777" w:rsidTr="00944972">
        <w:trPr>
          <w:jc w:val="center"/>
        </w:trPr>
        <w:tc>
          <w:tcPr>
            <w:tcW w:w="0" w:type="auto"/>
            <w:vAlign w:val="center"/>
            <w:hideMark/>
          </w:tcPr>
          <w:p w14:paraId="1813B1F7" w14:textId="77777777" w:rsidR="00944972" w:rsidRPr="007F1C5B" w:rsidRDefault="00944972" w:rsidP="00944972">
            <w:pPr>
              <w:spacing w:after="0" w:line="240" w:lineRule="auto"/>
              <w:rPr>
                <w:sz w:val="20"/>
                <w:szCs w:val="20"/>
              </w:rPr>
            </w:pPr>
            <w:r w:rsidRPr="007F1C5B">
              <w:rPr>
                <w:sz w:val="20"/>
                <w:szCs w:val="20"/>
              </w:rPr>
              <w:t>Weekly Volatility (σ)</w:t>
            </w:r>
          </w:p>
        </w:tc>
        <w:tc>
          <w:tcPr>
            <w:tcW w:w="0" w:type="auto"/>
            <w:vAlign w:val="center"/>
            <w:hideMark/>
          </w:tcPr>
          <w:p w14:paraId="469F0987" w14:textId="77777777" w:rsidR="00944972" w:rsidRPr="007F1C5B" w:rsidRDefault="00944972" w:rsidP="00944972">
            <w:pPr>
              <w:spacing w:after="0" w:line="240" w:lineRule="auto"/>
              <w:rPr>
                <w:sz w:val="20"/>
                <w:szCs w:val="20"/>
              </w:rPr>
            </w:pPr>
            <w:r w:rsidRPr="007F1C5B">
              <w:rPr>
                <w:sz w:val="20"/>
                <w:szCs w:val="20"/>
              </w:rPr>
              <w:t>0.02818 (2.82 %)</w:t>
            </w:r>
          </w:p>
        </w:tc>
        <w:tc>
          <w:tcPr>
            <w:tcW w:w="0" w:type="auto"/>
            <w:vAlign w:val="center"/>
            <w:hideMark/>
          </w:tcPr>
          <w:p w14:paraId="5E3D4DBE" w14:textId="77777777" w:rsidR="00944972" w:rsidRPr="007F1C5B" w:rsidRDefault="00944972" w:rsidP="00944972">
            <w:pPr>
              <w:spacing w:after="0" w:line="240" w:lineRule="auto"/>
              <w:rPr>
                <w:sz w:val="20"/>
                <w:szCs w:val="20"/>
              </w:rPr>
            </w:pPr>
            <w:r w:rsidRPr="007F1C5B">
              <w:rPr>
                <w:sz w:val="20"/>
                <w:szCs w:val="20"/>
              </w:rPr>
              <w:t>0.02284 (2.28 %)</w:t>
            </w:r>
          </w:p>
        </w:tc>
      </w:tr>
      <w:tr w:rsidR="00944972" w:rsidRPr="007F1C5B" w14:paraId="41563647" w14:textId="77777777" w:rsidTr="00944972">
        <w:trPr>
          <w:jc w:val="center"/>
        </w:trPr>
        <w:tc>
          <w:tcPr>
            <w:tcW w:w="0" w:type="auto"/>
            <w:vAlign w:val="center"/>
            <w:hideMark/>
          </w:tcPr>
          <w:p w14:paraId="506AF708" w14:textId="77777777" w:rsidR="00944972" w:rsidRPr="007F1C5B" w:rsidRDefault="00944972" w:rsidP="00944972">
            <w:pPr>
              <w:spacing w:after="0" w:line="240" w:lineRule="auto"/>
              <w:rPr>
                <w:sz w:val="20"/>
                <w:szCs w:val="20"/>
              </w:rPr>
            </w:pPr>
            <w:r w:rsidRPr="007F1C5B">
              <w:rPr>
                <w:sz w:val="20"/>
                <w:szCs w:val="20"/>
              </w:rPr>
              <w:t>Sharpe Ratio (weekly)</w:t>
            </w:r>
          </w:p>
        </w:tc>
        <w:tc>
          <w:tcPr>
            <w:tcW w:w="0" w:type="auto"/>
            <w:vAlign w:val="center"/>
            <w:hideMark/>
          </w:tcPr>
          <w:p w14:paraId="3293CC3E" w14:textId="77777777" w:rsidR="00944972" w:rsidRPr="007F1C5B" w:rsidRDefault="00944972" w:rsidP="00944972">
            <w:pPr>
              <w:spacing w:after="0" w:line="240" w:lineRule="auto"/>
              <w:rPr>
                <w:sz w:val="20"/>
                <w:szCs w:val="20"/>
              </w:rPr>
            </w:pPr>
            <w:r w:rsidRPr="007F1C5B">
              <w:rPr>
                <w:sz w:val="20"/>
                <w:szCs w:val="20"/>
              </w:rPr>
              <w:t>0.071</w:t>
            </w:r>
          </w:p>
        </w:tc>
        <w:tc>
          <w:tcPr>
            <w:tcW w:w="0" w:type="auto"/>
            <w:vAlign w:val="center"/>
            <w:hideMark/>
          </w:tcPr>
          <w:p w14:paraId="6B0F344C" w14:textId="77777777" w:rsidR="00944972" w:rsidRPr="007F1C5B" w:rsidRDefault="00944972" w:rsidP="00944972">
            <w:pPr>
              <w:spacing w:after="0" w:line="240" w:lineRule="auto"/>
              <w:rPr>
                <w:sz w:val="20"/>
                <w:szCs w:val="20"/>
              </w:rPr>
            </w:pPr>
            <w:r w:rsidRPr="007F1C5B">
              <w:rPr>
                <w:sz w:val="20"/>
                <w:szCs w:val="20"/>
              </w:rPr>
              <w:t>0.095</w:t>
            </w:r>
          </w:p>
        </w:tc>
      </w:tr>
      <w:tr w:rsidR="00944972" w:rsidRPr="007F1C5B" w14:paraId="04F1135F" w14:textId="77777777" w:rsidTr="00944972">
        <w:trPr>
          <w:jc w:val="center"/>
        </w:trPr>
        <w:tc>
          <w:tcPr>
            <w:tcW w:w="0" w:type="auto"/>
            <w:vAlign w:val="center"/>
            <w:hideMark/>
          </w:tcPr>
          <w:p w14:paraId="236D2693" w14:textId="77777777" w:rsidR="00944972" w:rsidRPr="007F1C5B" w:rsidRDefault="00944972" w:rsidP="00944972">
            <w:pPr>
              <w:spacing w:after="0" w:line="240" w:lineRule="auto"/>
              <w:rPr>
                <w:sz w:val="20"/>
                <w:szCs w:val="20"/>
              </w:rPr>
            </w:pPr>
            <w:r w:rsidRPr="007F1C5B">
              <w:rPr>
                <w:sz w:val="20"/>
                <w:szCs w:val="20"/>
              </w:rPr>
              <w:t>Annualized Return</w:t>
            </w:r>
          </w:p>
        </w:tc>
        <w:tc>
          <w:tcPr>
            <w:tcW w:w="0" w:type="auto"/>
            <w:vAlign w:val="center"/>
            <w:hideMark/>
          </w:tcPr>
          <w:p w14:paraId="2D6D94A5" w14:textId="77777777" w:rsidR="00944972" w:rsidRPr="007F1C5B" w:rsidRDefault="00944972" w:rsidP="00944972">
            <w:pPr>
              <w:spacing w:after="0" w:line="240" w:lineRule="auto"/>
              <w:rPr>
                <w:sz w:val="20"/>
                <w:szCs w:val="20"/>
              </w:rPr>
            </w:pPr>
            <w:r w:rsidRPr="007F1C5B">
              <w:rPr>
                <w:sz w:val="20"/>
                <w:szCs w:val="20"/>
              </w:rPr>
              <w:t>13.48 %</w:t>
            </w:r>
          </w:p>
        </w:tc>
        <w:tc>
          <w:tcPr>
            <w:tcW w:w="0" w:type="auto"/>
            <w:vAlign w:val="center"/>
            <w:hideMark/>
          </w:tcPr>
          <w:p w14:paraId="5FEC3D1B" w14:textId="77777777" w:rsidR="00944972" w:rsidRPr="007F1C5B" w:rsidRDefault="00944972" w:rsidP="00944972">
            <w:pPr>
              <w:spacing w:after="0" w:line="240" w:lineRule="auto"/>
              <w:rPr>
                <w:sz w:val="20"/>
                <w:szCs w:val="20"/>
              </w:rPr>
            </w:pPr>
            <w:r w:rsidRPr="007F1C5B">
              <w:rPr>
                <w:sz w:val="20"/>
                <w:szCs w:val="20"/>
              </w:rPr>
              <w:t>14.29 %</w:t>
            </w:r>
          </w:p>
        </w:tc>
      </w:tr>
      <w:tr w:rsidR="00944972" w:rsidRPr="007F1C5B" w14:paraId="7F5B0E8A" w14:textId="77777777" w:rsidTr="00944972">
        <w:trPr>
          <w:jc w:val="center"/>
        </w:trPr>
        <w:tc>
          <w:tcPr>
            <w:tcW w:w="0" w:type="auto"/>
            <w:vAlign w:val="center"/>
            <w:hideMark/>
          </w:tcPr>
          <w:p w14:paraId="2F80DFD5" w14:textId="77777777" w:rsidR="00944972" w:rsidRPr="007F1C5B" w:rsidRDefault="00944972" w:rsidP="00944972">
            <w:pPr>
              <w:spacing w:after="0" w:line="240" w:lineRule="auto"/>
              <w:rPr>
                <w:sz w:val="20"/>
                <w:szCs w:val="20"/>
              </w:rPr>
            </w:pPr>
            <w:r w:rsidRPr="007F1C5B">
              <w:rPr>
                <w:sz w:val="20"/>
                <w:szCs w:val="20"/>
              </w:rPr>
              <w:t>Annualized Volatility</w:t>
            </w:r>
          </w:p>
        </w:tc>
        <w:tc>
          <w:tcPr>
            <w:tcW w:w="0" w:type="auto"/>
            <w:vAlign w:val="center"/>
            <w:hideMark/>
          </w:tcPr>
          <w:p w14:paraId="7E17AA51" w14:textId="77777777" w:rsidR="00944972" w:rsidRPr="007F1C5B" w:rsidRDefault="00944972" w:rsidP="00944972">
            <w:pPr>
              <w:spacing w:after="0" w:line="240" w:lineRule="auto"/>
              <w:rPr>
                <w:sz w:val="20"/>
                <w:szCs w:val="20"/>
              </w:rPr>
            </w:pPr>
            <w:r w:rsidRPr="007F1C5B">
              <w:rPr>
                <w:sz w:val="20"/>
                <w:szCs w:val="20"/>
              </w:rPr>
              <w:t>20.32 %</w:t>
            </w:r>
          </w:p>
        </w:tc>
        <w:tc>
          <w:tcPr>
            <w:tcW w:w="0" w:type="auto"/>
            <w:vAlign w:val="center"/>
            <w:hideMark/>
          </w:tcPr>
          <w:p w14:paraId="6CEDF19D" w14:textId="77777777" w:rsidR="00944972" w:rsidRPr="007F1C5B" w:rsidRDefault="00944972" w:rsidP="00944972">
            <w:pPr>
              <w:spacing w:after="0" w:line="240" w:lineRule="auto"/>
              <w:rPr>
                <w:sz w:val="20"/>
                <w:szCs w:val="20"/>
              </w:rPr>
            </w:pPr>
            <w:r w:rsidRPr="007F1C5B">
              <w:rPr>
                <w:sz w:val="20"/>
                <w:szCs w:val="20"/>
              </w:rPr>
              <w:t>16.47 %</w:t>
            </w:r>
          </w:p>
        </w:tc>
      </w:tr>
      <w:tr w:rsidR="00944972" w:rsidRPr="007F1C5B" w14:paraId="16C7298D" w14:textId="77777777" w:rsidTr="00944972">
        <w:trPr>
          <w:jc w:val="center"/>
        </w:trPr>
        <w:tc>
          <w:tcPr>
            <w:tcW w:w="0" w:type="auto"/>
            <w:vAlign w:val="center"/>
            <w:hideMark/>
          </w:tcPr>
          <w:p w14:paraId="6349C3BC" w14:textId="77777777" w:rsidR="00944972" w:rsidRPr="007F1C5B" w:rsidRDefault="00944972" w:rsidP="00944972">
            <w:pPr>
              <w:spacing w:after="0" w:line="240" w:lineRule="auto"/>
              <w:rPr>
                <w:sz w:val="20"/>
                <w:szCs w:val="20"/>
              </w:rPr>
            </w:pPr>
            <w:r w:rsidRPr="007F1C5B">
              <w:rPr>
                <w:sz w:val="20"/>
                <w:szCs w:val="20"/>
              </w:rPr>
              <w:t>Annualized Sharpe</w:t>
            </w:r>
          </w:p>
        </w:tc>
        <w:tc>
          <w:tcPr>
            <w:tcW w:w="0" w:type="auto"/>
            <w:vAlign w:val="center"/>
            <w:hideMark/>
          </w:tcPr>
          <w:p w14:paraId="1FE6EA07" w14:textId="77777777" w:rsidR="00944972" w:rsidRPr="007F1C5B" w:rsidRDefault="00944972" w:rsidP="00944972">
            <w:pPr>
              <w:spacing w:after="0" w:line="240" w:lineRule="auto"/>
              <w:rPr>
                <w:sz w:val="20"/>
                <w:szCs w:val="20"/>
              </w:rPr>
            </w:pPr>
            <w:r w:rsidRPr="007F1C5B">
              <w:rPr>
                <w:sz w:val="20"/>
                <w:szCs w:val="20"/>
              </w:rPr>
              <w:t>0.51</w:t>
            </w:r>
          </w:p>
        </w:tc>
        <w:tc>
          <w:tcPr>
            <w:tcW w:w="0" w:type="auto"/>
            <w:vAlign w:val="center"/>
            <w:hideMark/>
          </w:tcPr>
          <w:p w14:paraId="78ACC324" w14:textId="77777777" w:rsidR="00944972" w:rsidRPr="007F1C5B" w:rsidRDefault="00944972" w:rsidP="00944972">
            <w:pPr>
              <w:spacing w:after="0" w:line="240" w:lineRule="auto"/>
              <w:rPr>
                <w:sz w:val="20"/>
                <w:szCs w:val="20"/>
              </w:rPr>
            </w:pPr>
            <w:r w:rsidRPr="007F1C5B">
              <w:rPr>
                <w:sz w:val="20"/>
                <w:szCs w:val="20"/>
              </w:rPr>
              <w:t>0.68</w:t>
            </w:r>
          </w:p>
        </w:tc>
      </w:tr>
    </w:tbl>
    <w:p w14:paraId="71AD3AD0" w14:textId="77777777" w:rsidR="00847967" w:rsidRPr="00944972" w:rsidRDefault="00847967" w:rsidP="00944972">
      <w:pPr>
        <w:rPr>
          <w:rFonts w:ascii="Aptos" w:hAnsi="Aptos"/>
          <w:szCs w:val="22"/>
        </w:rPr>
      </w:pPr>
    </w:p>
    <w:p w14:paraId="500A1A4F" w14:textId="00E5D333" w:rsidR="003939B6" w:rsidRDefault="003939B6" w:rsidP="003E0032">
      <w:pPr>
        <w:jc w:val="center"/>
        <w:rPr>
          <w:sz w:val="20"/>
          <w:szCs w:val="20"/>
        </w:rPr>
      </w:pPr>
      <w:r w:rsidRPr="003939B6">
        <w:rPr>
          <w:noProof/>
          <w:sz w:val="20"/>
          <w:szCs w:val="20"/>
        </w:rPr>
        <w:drawing>
          <wp:inline distT="0" distB="0" distL="0" distR="0" wp14:anchorId="0BE3EBC0" wp14:editId="034C0739">
            <wp:extent cx="4206240" cy="2511611"/>
            <wp:effectExtent l="0" t="0" r="0" b="3175"/>
            <wp:docPr id="767026278" name="Picture 1" descr="A graph showing a short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6278" name="Picture 1" descr="A graph showing a short line graph&#10;&#10;AI-generated content may be incorrect."/>
                    <pic:cNvPicPr/>
                  </pic:nvPicPr>
                  <pic:blipFill>
                    <a:blip r:embed="rId13"/>
                    <a:stretch>
                      <a:fillRect/>
                    </a:stretch>
                  </pic:blipFill>
                  <pic:spPr>
                    <a:xfrm>
                      <a:off x="0" y="0"/>
                      <a:ext cx="4206240" cy="2511611"/>
                    </a:xfrm>
                    <a:prstGeom prst="rect">
                      <a:avLst/>
                    </a:prstGeom>
                  </pic:spPr>
                </pic:pic>
              </a:graphicData>
            </a:graphic>
          </wp:inline>
        </w:drawing>
      </w:r>
    </w:p>
    <w:p w14:paraId="524D04F3" w14:textId="6134FFAE" w:rsidR="00DF6411" w:rsidRPr="00DF6411" w:rsidRDefault="00DF6411" w:rsidP="003E0032">
      <w:pPr>
        <w:jc w:val="center"/>
        <w:rPr>
          <w:sz w:val="20"/>
          <w:szCs w:val="20"/>
        </w:rPr>
      </w:pPr>
      <w:r w:rsidRPr="00DF6411">
        <w:rPr>
          <w:b/>
          <w:bCs/>
          <w:sz w:val="20"/>
          <w:szCs w:val="20"/>
        </w:rPr>
        <w:t xml:space="preserve">Fig </w:t>
      </w:r>
      <w:r w:rsidR="005668CC">
        <w:rPr>
          <w:b/>
          <w:bCs/>
          <w:sz w:val="20"/>
          <w:szCs w:val="20"/>
        </w:rPr>
        <w:t>4</w:t>
      </w:r>
      <w:r w:rsidRPr="00DF6411">
        <w:rPr>
          <w:sz w:val="20"/>
          <w:szCs w:val="20"/>
        </w:rPr>
        <w:t xml:space="preserve">: </w:t>
      </w:r>
      <w:r w:rsidR="00F84C4B" w:rsidRPr="00F84C4B">
        <w:rPr>
          <w:sz w:val="20"/>
          <w:szCs w:val="20"/>
        </w:rPr>
        <w:t>Cumulative Return</w:t>
      </w:r>
      <w:r w:rsidR="00F84C4B">
        <w:rPr>
          <w:sz w:val="20"/>
          <w:szCs w:val="20"/>
        </w:rPr>
        <w:t>s from</w:t>
      </w:r>
      <w:r w:rsidR="00F84C4B" w:rsidRPr="00F84C4B">
        <w:rPr>
          <w:sz w:val="20"/>
          <w:szCs w:val="20"/>
        </w:rPr>
        <w:t xml:space="preserve"> Equal-Weighted Portfolio vs S&amp;P 500</w:t>
      </w:r>
    </w:p>
    <w:p w14:paraId="6B882ABB" w14:textId="6993394C" w:rsidR="007334BA" w:rsidRPr="00093921" w:rsidRDefault="007334BA" w:rsidP="00093921">
      <w:pPr>
        <w:pStyle w:val="ListParagraph"/>
        <w:numPr>
          <w:ilvl w:val="0"/>
          <w:numId w:val="9"/>
        </w:numPr>
        <w:rPr>
          <w:szCs w:val="22"/>
        </w:rPr>
      </w:pPr>
      <w:r w:rsidRPr="005F3300">
        <w:rPr>
          <w:szCs w:val="22"/>
        </w:rPr>
        <w:t>Cumulative-return comparison (Figure 4-1) shows that while the portfolio generally tracks the S&amp;P 500’s trend, its smaller sectoral diversification led to greater fluctuations during rate-policy shifts.</w:t>
      </w:r>
    </w:p>
    <w:p w14:paraId="05A876A0" w14:textId="4FEE53A6" w:rsidR="00093921" w:rsidRPr="005F3300" w:rsidRDefault="00093921" w:rsidP="00093921">
      <w:pPr>
        <w:pStyle w:val="ListParagraph"/>
        <w:numPr>
          <w:ilvl w:val="0"/>
          <w:numId w:val="9"/>
        </w:numPr>
        <w:rPr>
          <w:szCs w:val="22"/>
        </w:rPr>
      </w:pPr>
      <w:r w:rsidRPr="005F3300">
        <w:rPr>
          <w:szCs w:val="22"/>
        </w:rPr>
        <w:t>The portfolio achieved comparable returns but with ~20 % higher volatility than the benchmark.</w:t>
      </w:r>
    </w:p>
    <w:p w14:paraId="2ADB94E5" w14:textId="050BEDF6" w:rsidR="00093921" w:rsidRPr="005F3300" w:rsidRDefault="00093921" w:rsidP="00093921">
      <w:pPr>
        <w:pStyle w:val="ListParagraph"/>
        <w:numPr>
          <w:ilvl w:val="0"/>
          <w:numId w:val="9"/>
        </w:numPr>
        <w:rPr>
          <w:szCs w:val="22"/>
        </w:rPr>
      </w:pPr>
      <w:r w:rsidRPr="005F3300">
        <w:rPr>
          <w:szCs w:val="22"/>
        </w:rPr>
        <w:t>Sharpe ratio (0.51 vs 0.68) indicates the market delivered better risk-adjusted performance.</w:t>
      </w:r>
    </w:p>
    <w:p w14:paraId="44EBEB94" w14:textId="500D8897" w:rsidR="00093921" w:rsidRDefault="00224060" w:rsidP="00093921">
      <w:pPr>
        <w:pStyle w:val="ListParagraph"/>
        <w:numPr>
          <w:ilvl w:val="0"/>
          <w:numId w:val="9"/>
        </w:numPr>
        <w:rPr>
          <w:szCs w:val="22"/>
        </w:rPr>
      </w:pPr>
      <w:r w:rsidRPr="005F3300">
        <w:rPr>
          <w:szCs w:val="22"/>
        </w:rPr>
        <w:t xml:space="preserve">As established in </w:t>
      </w:r>
      <w:r w:rsidR="00FF5CCA" w:rsidRPr="005F3300">
        <w:rPr>
          <w:szCs w:val="22"/>
        </w:rPr>
        <w:t>part (b)</w:t>
      </w:r>
      <w:r w:rsidRPr="005F3300">
        <w:rPr>
          <w:szCs w:val="22"/>
        </w:rPr>
        <w:t>, the average intra-</w:t>
      </w:r>
      <w:r w:rsidR="00F35F3F" w:rsidRPr="005F3300">
        <w:rPr>
          <w:szCs w:val="22"/>
        </w:rPr>
        <w:t>financial</w:t>
      </w:r>
      <w:r w:rsidR="00F35F3F">
        <w:rPr>
          <w:szCs w:val="22"/>
        </w:rPr>
        <w:t xml:space="preserve"> sector</w:t>
      </w:r>
      <w:r w:rsidRPr="005F3300">
        <w:rPr>
          <w:szCs w:val="22"/>
        </w:rPr>
        <w:t xml:space="preserve"> correlation was ≈ 0.75, intra-Real Estate ≈ 0.54, and cross-sector ≈ 0.41.</w:t>
      </w:r>
      <w:r w:rsidR="00790737" w:rsidRPr="005F3300">
        <w:rPr>
          <w:szCs w:val="22"/>
        </w:rPr>
        <w:t xml:space="preserve"> </w:t>
      </w:r>
      <w:r w:rsidR="00093921" w:rsidRPr="005F3300">
        <w:rPr>
          <w:szCs w:val="22"/>
        </w:rPr>
        <w:t>Cross-sector diversification helped partially offset intra-sector correlation but did not fully match the S&amp;P 500’s broad diversification benefit.</w:t>
      </w:r>
    </w:p>
    <w:p w14:paraId="5B76BE38" w14:textId="57ED6593" w:rsidR="00C376AD" w:rsidRDefault="00C376AD" w:rsidP="00C376AD">
      <w:pPr>
        <w:pStyle w:val="Heading2"/>
      </w:pPr>
      <w:bookmarkStart w:id="7" w:name="_Toc212322828"/>
      <w:r w:rsidRPr="00AF439B">
        <w:t>(</w:t>
      </w:r>
      <w:r w:rsidR="00F24DDF">
        <w:t>e</w:t>
      </w:r>
      <w:r w:rsidRPr="00AF439B">
        <w:t xml:space="preserve">) </w:t>
      </w:r>
      <w:r w:rsidR="00072B23" w:rsidRPr="00072B23">
        <w:t>Optimal</w:t>
      </w:r>
      <w:r w:rsidRPr="00AF439B">
        <w:t xml:space="preserve"> Portfolio </w:t>
      </w:r>
      <w:r w:rsidR="00072B23" w:rsidRPr="00072B23">
        <w:t xml:space="preserve">Analysis </w:t>
      </w:r>
      <w:r w:rsidRPr="00AF439B">
        <w:t>Construction &amp; Performance Analysis</w:t>
      </w:r>
      <w:bookmarkEnd w:id="7"/>
    </w:p>
    <w:p w14:paraId="615C1D61" w14:textId="28B526B6" w:rsidR="00C376AD" w:rsidRPr="00EF4DBF" w:rsidRDefault="00E72C41" w:rsidP="00C376AD">
      <w:pPr>
        <w:rPr>
          <w:szCs w:val="22"/>
        </w:rPr>
      </w:pPr>
      <w:r w:rsidRPr="00EF4DBF">
        <w:rPr>
          <w:szCs w:val="22"/>
        </w:rPr>
        <w:t>In this step, the ten-stock portfolio was optimized to maximize the Sharpe ratio, yielding the tangency portfolio on the efficient frontier.</w:t>
      </w:r>
      <w:r w:rsidR="00876EF8" w:rsidRPr="00EF4DBF">
        <w:rPr>
          <w:szCs w:val="22"/>
        </w:rPr>
        <w:t xml:space="preserve"> </w:t>
      </w:r>
      <w:r w:rsidRPr="00EF4DBF">
        <w:rPr>
          <w:szCs w:val="22"/>
        </w:rPr>
        <w:t>The optimization problem was formulated as</w:t>
      </w:r>
      <w:r w:rsidR="00876EF8" w:rsidRPr="00EF4DBF">
        <w:rPr>
          <w:szCs w:val="22"/>
        </w:rPr>
        <w:t>:</w:t>
      </w:r>
    </w:p>
    <w:p w14:paraId="7E088753" w14:textId="667CFE49" w:rsidR="007469A0" w:rsidRDefault="00000000" w:rsidP="007469A0">
      <w:pPr>
        <w:rPr>
          <w:rFonts w:eastAsiaTheme="minorEastAsia"/>
          <w:szCs w:val="22"/>
        </w:rPr>
      </w:pPr>
      <m:oMathPara>
        <m:oMath>
          <m:func>
            <m:funcPr>
              <m:ctrlPr>
                <w:rPr>
                  <w:rFonts w:ascii="Cambria Math" w:eastAsiaTheme="minorEastAsia" w:hAnsi="Cambria Math"/>
                  <w:szCs w:val="22"/>
                </w:rPr>
              </m:ctrlPr>
            </m:funcPr>
            <m:fName>
              <m:limLow>
                <m:limLowPr>
                  <m:ctrlPr>
                    <w:rPr>
                      <w:rFonts w:ascii="Cambria Math" w:eastAsiaTheme="minorEastAsia" w:hAnsi="Cambria Math"/>
                      <w:szCs w:val="22"/>
                    </w:rPr>
                  </m:ctrlPr>
                </m:limLowPr>
                <m:e>
                  <m:r>
                    <m:rPr>
                      <m:sty m:val="p"/>
                    </m:rPr>
                    <w:rPr>
                      <w:rFonts w:ascii="Cambria Math" w:eastAsiaTheme="minorEastAsia" w:hAnsi="Cambria Math"/>
                      <w:szCs w:val="22"/>
                    </w:rPr>
                    <m:t>max</m:t>
                  </m:r>
                </m:e>
                <m:lim>
                  <m:r>
                    <m:rPr>
                      <m:sty m:val="p"/>
                    </m:rPr>
                    <w:rPr>
                      <w:rFonts w:ascii="Cambria Math" w:eastAsiaTheme="minorEastAsia" w:hAnsi="Cambria Math"/>
                      <w:szCs w:val="22"/>
                    </w:rPr>
                    <m:t>w</m:t>
                  </m:r>
                </m:lim>
              </m:limLow>
            </m:fName>
            <m:e>
              <m:r>
                <w:rPr>
                  <w:rFonts w:ascii="Cambria Math" w:eastAsiaTheme="minorEastAsia" w:hAnsi="Cambria Math"/>
                  <w:szCs w:val="22"/>
                </w:rPr>
                <m:t xml:space="preserve"> </m:t>
              </m:r>
              <m:f>
                <m:fPr>
                  <m:ctrlPr>
                    <w:rPr>
                      <w:rFonts w:ascii="Cambria Math" w:hAnsi="Cambria Math"/>
                      <w:szCs w:val="22"/>
                    </w:rPr>
                  </m:ctrlPr>
                </m:fPr>
                <m:num>
                  <m:sSup>
                    <m:sSupPr>
                      <m:ctrlPr>
                        <w:rPr>
                          <w:rFonts w:ascii="Cambria Math" w:hAnsi="Cambria Math"/>
                          <w:szCs w:val="22"/>
                        </w:rPr>
                      </m:ctrlPr>
                    </m:sSupPr>
                    <m:e>
                      <m:r>
                        <m:rPr>
                          <m:sty m:val="p"/>
                        </m:rPr>
                        <w:rPr>
                          <w:rFonts w:ascii="Cambria Math" w:hAnsi="Cambria Math"/>
                          <w:szCs w:val="22"/>
                        </w:rPr>
                        <m:t>w</m:t>
                      </m:r>
                    </m:e>
                    <m:sup>
                      <m:r>
                        <m:rPr>
                          <m:sty m:val="p"/>
                        </m:rPr>
                        <w:rPr>
                          <w:rFonts w:ascii="Cambria Math" w:hAnsi="Cambria Math"/>
                          <w:szCs w:val="22"/>
                        </w:rPr>
                        <m:t>T</m:t>
                      </m:r>
                    </m:sup>
                  </m:sSup>
                  <m:r>
                    <m:rPr>
                      <m:sty m:val="p"/>
                    </m:rPr>
                    <w:rPr>
                      <w:rFonts w:ascii="Cambria Math" w:hAnsi="Cambria Math"/>
                      <w:szCs w:val="22"/>
                    </w:rPr>
                    <m:t>μ-</m:t>
                  </m:r>
                  <m:sSub>
                    <m:sSubPr>
                      <m:ctrlPr>
                        <w:rPr>
                          <w:rFonts w:ascii="Cambria Math" w:hAnsi="Cambria Math"/>
                          <w:szCs w:val="22"/>
                        </w:rPr>
                      </m:ctrlPr>
                    </m:sSubPr>
                    <m:e>
                      <m:r>
                        <m:rPr>
                          <m:sty m:val="p"/>
                        </m:rPr>
                        <w:rPr>
                          <w:rFonts w:ascii="Cambria Math" w:hAnsi="Cambria Math"/>
                          <w:szCs w:val="22"/>
                        </w:rPr>
                        <m:t>r</m:t>
                      </m:r>
                    </m:e>
                    <m:sub>
                      <m:r>
                        <m:rPr>
                          <m:sty m:val="p"/>
                        </m:rPr>
                        <w:rPr>
                          <w:rFonts w:ascii="Cambria Math" w:hAnsi="Cambria Math"/>
                          <w:szCs w:val="22"/>
                        </w:rPr>
                        <m:t>f</m:t>
                      </m:r>
                    </m:sub>
                  </m:sSub>
                </m:num>
                <m:den>
                  <m:rad>
                    <m:radPr>
                      <m:degHide m:val="1"/>
                      <m:ctrlPr>
                        <w:rPr>
                          <w:rFonts w:ascii="Cambria Math" w:hAnsi="Cambria Math"/>
                          <w:szCs w:val="22"/>
                        </w:rPr>
                      </m:ctrlPr>
                    </m:radPr>
                    <m:deg/>
                    <m:e>
                      <m:sSub>
                        <m:sSubPr>
                          <m:ctrlPr>
                            <w:rPr>
                              <w:rFonts w:ascii="Cambria Math" w:hAnsi="Cambria Math"/>
                              <w:szCs w:val="22"/>
                            </w:rPr>
                          </m:ctrlPr>
                        </m:sSubPr>
                        <m:e>
                          <m:r>
                            <m:rPr>
                              <m:sty m:val="p"/>
                            </m:rPr>
                            <w:rPr>
                              <w:rFonts w:ascii="Cambria Math" w:hAnsi="Cambria Math"/>
                              <w:szCs w:val="22"/>
                            </w:rPr>
                            <m:t>σ</m:t>
                          </m:r>
                        </m:e>
                        <m:sub>
                          <m:r>
                            <m:rPr>
                              <m:sty m:val="p"/>
                            </m:rPr>
                            <w:rPr>
                              <w:rFonts w:ascii="Cambria Math" w:hAnsi="Cambria Math"/>
                              <w:szCs w:val="22"/>
                            </w:rPr>
                            <m:t>p</m:t>
                          </m:r>
                        </m:sub>
                      </m:sSub>
                    </m:e>
                  </m:rad>
                </m:den>
              </m:f>
            </m:e>
          </m:func>
          <m:r>
            <m:rPr>
              <m:sty m:val="p"/>
            </m:rPr>
            <w:rPr>
              <w:rFonts w:ascii="Cambria Math" w:eastAsiaTheme="minorEastAsia" w:hAnsi="Cambria Math"/>
              <w:szCs w:val="22"/>
            </w:rPr>
            <m:t xml:space="preserve"> s.t. </m:t>
          </m:r>
          <m:nary>
            <m:naryPr>
              <m:chr m:val="∑"/>
              <m:supHide m:val="1"/>
              <m:ctrlPr>
                <w:rPr>
                  <w:rFonts w:ascii="Cambria Math" w:eastAsiaTheme="minorEastAsia" w:hAnsi="Cambria Math"/>
                  <w:szCs w:val="22"/>
                </w:rPr>
              </m:ctrlPr>
            </m:naryPr>
            <m:sub>
              <m:r>
                <m:rPr>
                  <m:sty m:val="p"/>
                </m:rPr>
                <w:rPr>
                  <w:rFonts w:ascii="Cambria Math" w:eastAsiaTheme="minorEastAsia" w:hAnsi="Cambria Math"/>
                  <w:szCs w:val="22"/>
                </w:rPr>
                <m:t>i</m:t>
              </m:r>
            </m:sub>
            <m:sup/>
            <m:e>
              <m:sSub>
                <m:sSubPr>
                  <m:ctrlPr>
                    <w:rPr>
                      <w:rFonts w:ascii="Cambria Math" w:eastAsiaTheme="minorEastAsia" w:hAnsi="Cambria Math"/>
                      <w:szCs w:val="22"/>
                    </w:rPr>
                  </m:ctrlPr>
                </m:sSubPr>
                <m:e>
                  <m:r>
                    <m:rPr>
                      <m:sty m:val="p"/>
                    </m:rPr>
                    <w:rPr>
                      <w:rFonts w:ascii="Cambria Math" w:eastAsiaTheme="minorEastAsia" w:hAnsi="Cambria Math"/>
                      <w:szCs w:val="22"/>
                    </w:rPr>
                    <m:t>w</m:t>
                  </m:r>
                </m:e>
                <m:sub>
                  <m:r>
                    <m:rPr>
                      <m:sty m:val="p"/>
                    </m:rPr>
                    <w:rPr>
                      <w:rFonts w:ascii="Cambria Math" w:eastAsiaTheme="minorEastAsia" w:hAnsi="Cambria Math"/>
                      <w:szCs w:val="22"/>
                    </w:rPr>
                    <m:t>i</m:t>
                  </m:r>
                </m:sub>
              </m:sSub>
              <m:r>
                <m:rPr>
                  <m:sty m:val="p"/>
                </m:rPr>
                <w:rPr>
                  <w:rFonts w:ascii="Cambria Math" w:eastAsiaTheme="minorEastAsia" w:hAnsi="Cambria Math"/>
                  <w:szCs w:val="22"/>
                </w:rPr>
                <m:t xml:space="preserve">=1, </m:t>
              </m:r>
              <m:sSub>
                <m:sSubPr>
                  <m:ctrlPr>
                    <w:rPr>
                      <w:rFonts w:ascii="Cambria Math" w:eastAsiaTheme="minorEastAsia" w:hAnsi="Cambria Math"/>
                      <w:szCs w:val="22"/>
                    </w:rPr>
                  </m:ctrlPr>
                </m:sSubPr>
                <m:e>
                  <m:r>
                    <m:rPr>
                      <m:sty m:val="p"/>
                    </m:rPr>
                    <w:rPr>
                      <w:rFonts w:ascii="Cambria Math" w:eastAsiaTheme="minorEastAsia" w:hAnsi="Cambria Math"/>
                      <w:szCs w:val="22"/>
                    </w:rPr>
                    <m:t>w</m:t>
                  </m:r>
                </m:e>
                <m:sub>
                  <m:r>
                    <m:rPr>
                      <m:sty m:val="p"/>
                    </m:rPr>
                    <w:rPr>
                      <w:rFonts w:ascii="Cambria Math" w:eastAsiaTheme="minorEastAsia" w:hAnsi="Cambria Math"/>
                      <w:szCs w:val="22"/>
                    </w:rPr>
                    <m:t>i</m:t>
                  </m:r>
                </m:sub>
              </m:sSub>
              <m:r>
                <m:rPr>
                  <m:sty m:val="p"/>
                </m:rPr>
                <w:rPr>
                  <w:rFonts w:ascii="Cambria Math" w:eastAsiaTheme="minorEastAsia" w:hAnsi="Cambria Math"/>
                  <w:szCs w:val="22"/>
                </w:rPr>
                <m:t>≥0</m:t>
              </m:r>
            </m:e>
          </m:nary>
        </m:oMath>
      </m:oMathPara>
    </w:p>
    <w:p w14:paraId="673FDB67" w14:textId="2EFEEDF0" w:rsidR="002E0CDA" w:rsidRDefault="00000000" w:rsidP="002E0CDA">
      <w:pPr>
        <w:jc w:val="center"/>
        <w:rPr>
          <w:rFonts w:eastAsiaTheme="minorEastAsia"/>
          <w:szCs w:val="22"/>
        </w:rPr>
      </w:pPr>
      <m:oMathPara>
        <m:oMath>
          <m:sSub>
            <m:sSubPr>
              <m:ctrlPr>
                <w:rPr>
                  <w:rFonts w:ascii="Cambria Math" w:hAnsi="Cambria Math"/>
                  <w:szCs w:val="22"/>
                </w:rPr>
              </m:ctrlPr>
            </m:sSubPr>
            <m:e>
              <m:r>
                <m:rPr>
                  <m:sty m:val="p"/>
                </m:rPr>
                <w:rPr>
                  <w:rFonts w:ascii="Cambria Math" w:hAnsi="Cambria Math"/>
                  <w:szCs w:val="22"/>
                </w:rPr>
                <m:t>σ</m:t>
              </m:r>
            </m:e>
            <m:sub>
              <m:r>
                <m:rPr>
                  <m:sty m:val="p"/>
                </m:rPr>
                <w:rPr>
                  <w:rFonts w:ascii="Cambria Math" w:hAnsi="Cambria Math"/>
                  <w:szCs w:val="22"/>
                </w:rPr>
                <m:t>p</m:t>
              </m:r>
            </m:sub>
          </m:sSub>
          <m:r>
            <m:rPr>
              <m:sty m:val="p"/>
            </m:rPr>
            <w:rPr>
              <w:rFonts w:ascii="Cambria Math" w:hAnsi="Cambria Math"/>
              <w:szCs w:val="22"/>
            </w:rPr>
            <m:t>=</m:t>
          </m:r>
          <m:sSup>
            <m:sSupPr>
              <m:ctrlPr>
                <w:rPr>
                  <w:rFonts w:ascii="Cambria Math" w:hAnsi="Cambria Math"/>
                  <w:szCs w:val="22"/>
                </w:rPr>
              </m:ctrlPr>
            </m:sSupPr>
            <m:e>
              <m:r>
                <m:rPr>
                  <m:sty m:val="p"/>
                </m:rPr>
                <w:rPr>
                  <w:rFonts w:ascii="Cambria Math" w:hAnsi="Cambria Math"/>
                  <w:szCs w:val="22"/>
                </w:rPr>
                <m:t>w</m:t>
              </m:r>
            </m:e>
            <m:sup>
              <m:r>
                <m:rPr>
                  <m:sty m:val="p"/>
                </m:rPr>
                <w:rPr>
                  <w:rFonts w:ascii="Cambria Math" w:hAnsi="Cambria Math"/>
                  <w:szCs w:val="22"/>
                </w:rPr>
                <m:t>T</m:t>
              </m:r>
            </m:sup>
          </m:sSup>
          <m:r>
            <m:rPr>
              <m:sty m:val="p"/>
            </m:rPr>
            <w:rPr>
              <w:rFonts w:ascii="Cambria Math" w:hAnsi="Cambria Math"/>
              <w:szCs w:val="22"/>
            </w:rPr>
            <m:t>×Ω×w</m:t>
          </m:r>
        </m:oMath>
      </m:oMathPara>
    </w:p>
    <w:p w14:paraId="52BBE477" w14:textId="03702568" w:rsidR="00554405" w:rsidRPr="002E0CDA" w:rsidRDefault="00554405" w:rsidP="00554405">
      <w:pPr>
        <w:rPr>
          <w:rFonts w:eastAsiaTheme="minorEastAsia"/>
          <w:szCs w:val="22"/>
        </w:rPr>
      </w:pPr>
      <w:r w:rsidRPr="00EF4DBF">
        <w:rPr>
          <w:rFonts w:eastAsiaTheme="minorEastAsia"/>
          <w:szCs w:val="22"/>
        </w:rPr>
        <w:t xml:space="preserve">Where </w:t>
      </w:r>
      <m:oMath>
        <m:r>
          <m:rPr>
            <m:sty m:val="p"/>
          </m:rPr>
          <w:rPr>
            <w:rFonts w:ascii="Cambria Math" w:hAnsi="Cambria Math"/>
          </w:rPr>
          <m:t>w</m:t>
        </m:r>
      </m:oMath>
      <w:r w:rsidR="00CD0738">
        <w:rPr>
          <w:rFonts w:eastAsiaTheme="minorEastAsia"/>
        </w:rPr>
        <w:t xml:space="preserve"> </w:t>
      </w:r>
      <w:r w:rsidR="00CD0738" w:rsidRPr="00EF4DBF">
        <w:t xml:space="preserve">is the weight vector, </w:t>
      </w:r>
      <m:oMath>
        <m:r>
          <m:rPr>
            <m:sty m:val="p"/>
          </m:rPr>
          <w:rPr>
            <w:rFonts w:ascii="Cambria Math" w:hAnsi="Cambria Math"/>
          </w:rPr>
          <m:t>μ</m:t>
        </m:r>
      </m:oMath>
      <w:r w:rsidR="00CD0738" w:rsidRPr="00EF4DBF">
        <w:rPr>
          <w:rFonts w:eastAsiaTheme="minorEastAsia"/>
        </w:rPr>
        <w:t xml:space="preserve"> </w:t>
      </w:r>
      <w:r w:rsidR="00CD0738" w:rsidRPr="00EF4DBF">
        <w:t xml:space="preserve">the vector of expected weekly returns. The numerator represents the portfolio’s expected excess return over the risk-free rate, while the denominator represents total portfolio volatility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p</m:t>
            </m:r>
          </m:sub>
        </m:sSub>
      </m:oMath>
      <w:r w:rsidR="00CD0738" w:rsidRPr="00EF4DBF">
        <w:rPr>
          <w:rFonts w:eastAsiaTheme="minorEastAsia"/>
        </w:rPr>
        <w:t>.</w:t>
      </w:r>
      <w:r w:rsidR="00950353">
        <w:rPr>
          <w:rFonts w:eastAsiaTheme="minorEastAsia"/>
        </w:rPr>
        <w:t xml:space="preserve"> </w:t>
      </w:r>
      <m:oMath>
        <m:r>
          <m:rPr>
            <m:sty m:val="p"/>
          </m:rPr>
          <w:rPr>
            <w:rFonts w:ascii="Cambria Math" w:eastAsiaTheme="minorEastAsia" w:hAnsi="Cambria Math"/>
            <w:szCs w:val="22"/>
          </w:rPr>
          <m:t>Ω</m:t>
        </m:r>
      </m:oMath>
      <w:r w:rsidRPr="00EF4DBF">
        <w:rPr>
          <w:rFonts w:eastAsiaTheme="minorEastAsia"/>
          <w:szCs w:val="22"/>
        </w:rPr>
        <w:t xml:space="preserve"> </w:t>
      </w:r>
      <w:r w:rsidR="00EF4DBF" w:rsidRPr="00EF4DBF">
        <w:rPr>
          <w:rFonts w:eastAsiaTheme="minorEastAsia"/>
          <w:szCs w:val="22"/>
        </w:rPr>
        <w:t xml:space="preserve">is </w:t>
      </w:r>
      <w:r w:rsidRPr="00EF4DBF">
        <w:t>the covariance matrix of stock returns</w:t>
      </w:r>
      <w:r w:rsidR="00AA61AB">
        <w:t>.</w:t>
      </w:r>
    </w:p>
    <w:p w14:paraId="2E7359AD" w14:textId="67F34CB5" w:rsidR="001C356F" w:rsidRDefault="001C356F" w:rsidP="00554405">
      <w:pPr>
        <w:rPr>
          <w:rFonts w:eastAsiaTheme="minorEastAsia"/>
          <w:szCs w:val="22"/>
        </w:rPr>
      </w:pPr>
      <w:r>
        <w:rPr>
          <w:rFonts w:eastAsiaTheme="minorEastAsia"/>
          <w:szCs w:val="22"/>
        </w:rPr>
        <w:t>T</w:t>
      </w:r>
      <w:r w:rsidRPr="001C356F">
        <w:rPr>
          <w:rFonts w:eastAsiaTheme="minorEastAsia"/>
          <w:szCs w:val="22"/>
        </w:rPr>
        <w:t xml:space="preserve">he optimal long-only weight vector was </w:t>
      </w:r>
      <w:r w:rsidR="005D05F8">
        <w:rPr>
          <w:rFonts w:eastAsiaTheme="minorEastAsia"/>
          <w:szCs w:val="22"/>
        </w:rPr>
        <w:t xml:space="preserve">computed using Python libraries. The </w:t>
      </w:r>
      <w:r w:rsidR="00BE20EB">
        <w:rPr>
          <w:rFonts w:eastAsiaTheme="minorEastAsia"/>
          <w:szCs w:val="22"/>
        </w:rPr>
        <w:t xml:space="preserve">optimal portfolio turned out to be </w:t>
      </w:r>
      <w:r w:rsidRPr="001C356F">
        <w:rPr>
          <w:rFonts w:eastAsiaTheme="minorEastAsia"/>
          <w:szCs w:val="22"/>
        </w:rPr>
        <w:t>dominated by GS (65.6%), WFC (23.3%), and SPG (10.6%)</w:t>
      </w:r>
      <w:r w:rsidR="00BE20EB">
        <w:rPr>
          <w:rFonts w:eastAsiaTheme="minorEastAsia"/>
          <w:szCs w:val="22"/>
        </w:rPr>
        <w:t xml:space="preserve">, </w:t>
      </w:r>
      <w:r w:rsidRPr="001C356F">
        <w:rPr>
          <w:rFonts w:eastAsiaTheme="minorEastAsia"/>
          <w:szCs w:val="22"/>
        </w:rPr>
        <w:t>producing an expected weekly return of 0.00484, volatility 0.0383, and Sharpe 0.111.</w:t>
      </w:r>
    </w:p>
    <w:tbl>
      <w:tblPr>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5" w:type="dxa"/>
          <w:left w:w="144" w:type="dxa"/>
          <w:bottom w:w="15" w:type="dxa"/>
          <w:right w:w="144" w:type="dxa"/>
        </w:tblCellMar>
        <w:tblLook w:val="04A0" w:firstRow="1" w:lastRow="0" w:firstColumn="1" w:lastColumn="0" w:noHBand="0" w:noVBand="1"/>
      </w:tblPr>
      <w:tblGrid>
        <w:gridCol w:w="2035"/>
        <w:gridCol w:w="2624"/>
        <w:gridCol w:w="1802"/>
        <w:gridCol w:w="1590"/>
        <w:gridCol w:w="1299"/>
      </w:tblGrid>
      <w:tr w:rsidR="006B493C" w:rsidRPr="009E24BC" w14:paraId="470EEA99" w14:textId="77777777" w:rsidTr="00A342E1">
        <w:trPr>
          <w:tblHeader/>
          <w:jc w:val="center"/>
        </w:trPr>
        <w:tc>
          <w:tcPr>
            <w:tcW w:w="0" w:type="auto"/>
            <w:vAlign w:val="center"/>
            <w:hideMark/>
          </w:tcPr>
          <w:p w14:paraId="60E7A0CC" w14:textId="77777777" w:rsidR="006B493C" w:rsidRPr="009E24BC" w:rsidRDefault="006B493C" w:rsidP="00A342E1">
            <w:pPr>
              <w:spacing w:after="0" w:line="240" w:lineRule="auto"/>
              <w:rPr>
                <w:rFonts w:eastAsiaTheme="minorEastAsia"/>
                <w:b/>
                <w:bCs/>
                <w:sz w:val="20"/>
                <w:szCs w:val="20"/>
              </w:rPr>
            </w:pPr>
            <w:r w:rsidRPr="009E24BC">
              <w:rPr>
                <w:rFonts w:eastAsiaTheme="minorEastAsia"/>
                <w:b/>
                <w:bCs/>
                <w:sz w:val="20"/>
                <w:szCs w:val="20"/>
              </w:rPr>
              <w:t>Portfolio</w:t>
            </w:r>
          </w:p>
        </w:tc>
        <w:tc>
          <w:tcPr>
            <w:tcW w:w="0" w:type="auto"/>
            <w:vAlign w:val="center"/>
            <w:hideMark/>
          </w:tcPr>
          <w:p w14:paraId="3110AD08" w14:textId="77777777" w:rsidR="006B493C" w:rsidRPr="009E24BC" w:rsidRDefault="006B493C" w:rsidP="00A342E1">
            <w:pPr>
              <w:spacing w:after="0" w:line="240" w:lineRule="auto"/>
              <w:rPr>
                <w:rFonts w:eastAsiaTheme="minorEastAsia"/>
                <w:b/>
                <w:bCs/>
                <w:sz w:val="20"/>
                <w:szCs w:val="20"/>
              </w:rPr>
            </w:pPr>
            <w:r w:rsidRPr="009E24BC">
              <w:rPr>
                <w:rFonts w:eastAsiaTheme="minorEastAsia"/>
                <w:b/>
                <w:bCs/>
                <w:sz w:val="20"/>
                <w:szCs w:val="20"/>
              </w:rPr>
              <w:t>Top Holdings / Weights</w:t>
            </w:r>
          </w:p>
        </w:tc>
        <w:tc>
          <w:tcPr>
            <w:tcW w:w="0" w:type="auto"/>
            <w:vAlign w:val="center"/>
            <w:hideMark/>
          </w:tcPr>
          <w:p w14:paraId="67CAD1E3" w14:textId="77777777" w:rsidR="006B493C" w:rsidRPr="009E24BC" w:rsidRDefault="006B493C" w:rsidP="00A342E1">
            <w:pPr>
              <w:spacing w:after="0" w:line="240" w:lineRule="auto"/>
              <w:rPr>
                <w:rFonts w:eastAsiaTheme="minorEastAsia"/>
                <w:b/>
                <w:bCs/>
                <w:sz w:val="20"/>
                <w:szCs w:val="20"/>
              </w:rPr>
            </w:pPr>
            <w:r w:rsidRPr="009E24BC">
              <w:rPr>
                <w:rFonts w:eastAsiaTheme="minorEastAsia"/>
                <w:b/>
                <w:bCs/>
                <w:sz w:val="20"/>
                <w:szCs w:val="20"/>
              </w:rPr>
              <w:t>Mean Weekly Return</w:t>
            </w:r>
          </w:p>
        </w:tc>
        <w:tc>
          <w:tcPr>
            <w:tcW w:w="0" w:type="auto"/>
            <w:vAlign w:val="center"/>
            <w:hideMark/>
          </w:tcPr>
          <w:p w14:paraId="6AE2E454" w14:textId="77777777" w:rsidR="006B493C" w:rsidRPr="009E24BC" w:rsidRDefault="006B493C" w:rsidP="00A342E1">
            <w:pPr>
              <w:spacing w:after="0" w:line="240" w:lineRule="auto"/>
              <w:rPr>
                <w:rFonts w:eastAsiaTheme="minorEastAsia"/>
                <w:b/>
                <w:bCs/>
                <w:sz w:val="20"/>
                <w:szCs w:val="20"/>
              </w:rPr>
            </w:pPr>
            <w:r w:rsidRPr="009E24BC">
              <w:rPr>
                <w:rFonts w:eastAsiaTheme="minorEastAsia"/>
                <w:b/>
                <w:bCs/>
                <w:sz w:val="20"/>
                <w:szCs w:val="20"/>
              </w:rPr>
              <w:t>Weekly Volatility</w:t>
            </w:r>
          </w:p>
        </w:tc>
        <w:tc>
          <w:tcPr>
            <w:tcW w:w="0" w:type="auto"/>
            <w:vAlign w:val="center"/>
            <w:hideMark/>
          </w:tcPr>
          <w:p w14:paraId="1D5E55D1" w14:textId="77777777" w:rsidR="006B493C" w:rsidRPr="009E24BC" w:rsidRDefault="006B493C" w:rsidP="00A342E1">
            <w:pPr>
              <w:spacing w:after="0" w:line="240" w:lineRule="auto"/>
              <w:rPr>
                <w:rFonts w:eastAsiaTheme="minorEastAsia"/>
                <w:b/>
                <w:bCs/>
                <w:sz w:val="20"/>
                <w:szCs w:val="20"/>
              </w:rPr>
            </w:pPr>
            <w:r w:rsidRPr="009E24BC">
              <w:rPr>
                <w:rFonts w:eastAsiaTheme="minorEastAsia"/>
                <w:b/>
                <w:bCs/>
                <w:sz w:val="20"/>
                <w:szCs w:val="20"/>
              </w:rPr>
              <w:t>Sharpe Ratio</w:t>
            </w:r>
          </w:p>
        </w:tc>
      </w:tr>
      <w:tr w:rsidR="006B493C" w:rsidRPr="009E24BC" w14:paraId="6B8840F4" w14:textId="77777777" w:rsidTr="00A342E1">
        <w:trPr>
          <w:jc w:val="center"/>
        </w:trPr>
        <w:tc>
          <w:tcPr>
            <w:tcW w:w="0" w:type="auto"/>
            <w:vAlign w:val="center"/>
            <w:hideMark/>
          </w:tcPr>
          <w:p w14:paraId="224AC7DA" w14:textId="77777777" w:rsidR="006B493C" w:rsidRPr="009E24BC" w:rsidRDefault="006B493C" w:rsidP="00A342E1">
            <w:pPr>
              <w:spacing w:after="0" w:line="240" w:lineRule="auto"/>
              <w:rPr>
                <w:rFonts w:eastAsiaTheme="minorEastAsia"/>
                <w:sz w:val="20"/>
                <w:szCs w:val="20"/>
              </w:rPr>
            </w:pPr>
            <w:r w:rsidRPr="009E24BC">
              <w:rPr>
                <w:rFonts w:eastAsiaTheme="minorEastAsia"/>
                <w:sz w:val="20"/>
                <w:szCs w:val="20"/>
              </w:rPr>
              <w:t>Optimal (Tangency)</w:t>
            </w:r>
          </w:p>
        </w:tc>
        <w:tc>
          <w:tcPr>
            <w:tcW w:w="0" w:type="auto"/>
            <w:vAlign w:val="center"/>
            <w:hideMark/>
          </w:tcPr>
          <w:p w14:paraId="29E1A8A0" w14:textId="77777777" w:rsidR="006B493C" w:rsidRPr="009E24BC" w:rsidRDefault="006B493C" w:rsidP="00A342E1">
            <w:pPr>
              <w:spacing w:after="0" w:line="240" w:lineRule="auto"/>
              <w:rPr>
                <w:rFonts w:eastAsiaTheme="minorEastAsia"/>
                <w:sz w:val="20"/>
                <w:szCs w:val="20"/>
              </w:rPr>
            </w:pPr>
            <w:r w:rsidRPr="009E24BC">
              <w:rPr>
                <w:rFonts w:eastAsiaTheme="minorEastAsia"/>
                <w:sz w:val="20"/>
                <w:szCs w:val="20"/>
              </w:rPr>
              <w:t>GS 65.6%, WFC 23.3%, SPG 10.6%</w:t>
            </w:r>
          </w:p>
        </w:tc>
        <w:tc>
          <w:tcPr>
            <w:tcW w:w="0" w:type="auto"/>
            <w:vAlign w:val="center"/>
            <w:hideMark/>
          </w:tcPr>
          <w:p w14:paraId="510EBEF7" w14:textId="77777777" w:rsidR="006B493C" w:rsidRPr="009E24BC" w:rsidRDefault="006B493C" w:rsidP="00A342E1">
            <w:pPr>
              <w:spacing w:after="0" w:line="240" w:lineRule="auto"/>
              <w:rPr>
                <w:rFonts w:eastAsiaTheme="minorEastAsia"/>
                <w:sz w:val="20"/>
                <w:szCs w:val="20"/>
              </w:rPr>
            </w:pPr>
            <w:r w:rsidRPr="009E24BC">
              <w:rPr>
                <w:rFonts w:eastAsiaTheme="minorEastAsia"/>
                <w:sz w:val="20"/>
                <w:szCs w:val="20"/>
              </w:rPr>
              <w:t>0.00484</w:t>
            </w:r>
          </w:p>
        </w:tc>
        <w:tc>
          <w:tcPr>
            <w:tcW w:w="0" w:type="auto"/>
            <w:vAlign w:val="center"/>
            <w:hideMark/>
          </w:tcPr>
          <w:p w14:paraId="3DC0F674" w14:textId="77777777" w:rsidR="006B493C" w:rsidRPr="009E24BC" w:rsidRDefault="006B493C" w:rsidP="00A342E1">
            <w:pPr>
              <w:spacing w:after="0" w:line="240" w:lineRule="auto"/>
              <w:rPr>
                <w:rFonts w:eastAsiaTheme="minorEastAsia"/>
                <w:sz w:val="20"/>
                <w:szCs w:val="20"/>
              </w:rPr>
            </w:pPr>
            <w:r w:rsidRPr="009E24BC">
              <w:rPr>
                <w:rFonts w:eastAsiaTheme="minorEastAsia"/>
                <w:sz w:val="20"/>
                <w:szCs w:val="20"/>
              </w:rPr>
              <w:t>0.0383</w:t>
            </w:r>
          </w:p>
        </w:tc>
        <w:tc>
          <w:tcPr>
            <w:tcW w:w="0" w:type="auto"/>
            <w:vAlign w:val="center"/>
            <w:hideMark/>
          </w:tcPr>
          <w:p w14:paraId="2EBB891F" w14:textId="77777777" w:rsidR="006B493C" w:rsidRPr="009E24BC" w:rsidRDefault="006B493C" w:rsidP="00A342E1">
            <w:pPr>
              <w:spacing w:after="0" w:line="240" w:lineRule="auto"/>
              <w:rPr>
                <w:rFonts w:eastAsiaTheme="minorEastAsia"/>
                <w:sz w:val="20"/>
                <w:szCs w:val="20"/>
              </w:rPr>
            </w:pPr>
            <w:r w:rsidRPr="009E24BC">
              <w:rPr>
                <w:rFonts w:eastAsiaTheme="minorEastAsia"/>
                <w:b/>
                <w:bCs/>
                <w:sz w:val="20"/>
                <w:szCs w:val="20"/>
              </w:rPr>
              <w:t>0.111</w:t>
            </w:r>
          </w:p>
        </w:tc>
      </w:tr>
      <w:tr w:rsidR="006B493C" w:rsidRPr="009E24BC" w14:paraId="4B91484C" w14:textId="77777777" w:rsidTr="00A342E1">
        <w:trPr>
          <w:jc w:val="center"/>
        </w:trPr>
        <w:tc>
          <w:tcPr>
            <w:tcW w:w="0" w:type="auto"/>
            <w:vAlign w:val="center"/>
            <w:hideMark/>
          </w:tcPr>
          <w:p w14:paraId="6530B08C" w14:textId="77777777" w:rsidR="006B493C" w:rsidRPr="009E24BC" w:rsidRDefault="006B493C" w:rsidP="00A342E1">
            <w:pPr>
              <w:spacing w:after="0" w:line="240" w:lineRule="auto"/>
              <w:rPr>
                <w:rFonts w:eastAsiaTheme="minorEastAsia"/>
                <w:sz w:val="20"/>
                <w:szCs w:val="20"/>
              </w:rPr>
            </w:pPr>
            <w:r w:rsidRPr="009E24BC">
              <w:rPr>
                <w:rFonts w:eastAsiaTheme="minorEastAsia"/>
                <w:sz w:val="20"/>
                <w:szCs w:val="20"/>
              </w:rPr>
              <w:t>Equal-Weighted (Step 4)</w:t>
            </w:r>
          </w:p>
        </w:tc>
        <w:tc>
          <w:tcPr>
            <w:tcW w:w="0" w:type="auto"/>
            <w:vAlign w:val="center"/>
            <w:hideMark/>
          </w:tcPr>
          <w:p w14:paraId="17F1D7E2" w14:textId="77777777" w:rsidR="006B493C" w:rsidRPr="009E24BC" w:rsidRDefault="006B493C" w:rsidP="00A342E1">
            <w:pPr>
              <w:spacing w:after="0" w:line="240" w:lineRule="auto"/>
              <w:rPr>
                <w:rFonts w:eastAsiaTheme="minorEastAsia"/>
                <w:sz w:val="20"/>
                <w:szCs w:val="20"/>
              </w:rPr>
            </w:pPr>
            <w:r w:rsidRPr="009E24BC">
              <w:rPr>
                <w:rFonts w:eastAsiaTheme="minorEastAsia"/>
                <w:sz w:val="20"/>
                <w:szCs w:val="20"/>
              </w:rPr>
              <w:t>10 stocks @ 10 % each</w:t>
            </w:r>
          </w:p>
        </w:tc>
        <w:tc>
          <w:tcPr>
            <w:tcW w:w="0" w:type="auto"/>
            <w:vAlign w:val="center"/>
            <w:hideMark/>
          </w:tcPr>
          <w:p w14:paraId="33F3B798" w14:textId="77777777" w:rsidR="006B493C" w:rsidRPr="009E24BC" w:rsidRDefault="006B493C" w:rsidP="00A342E1">
            <w:pPr>
              <w:spacing w:after="0" w:line="240" w:lineRule="auto"/>
              <w:rPr>
                <w:rFonts w:eastAsiaTheme="minorEastAsia"/>
                <w:sz w:val="20"/>
                <w:szCs w:val="20"/>
              </w:rPr>
            </w:pPr>
            <w:r w:rsidRPr="009E24BC">
              <w:rPr>
                <w:rFonts w:eastAsiaTheme="minorEastAsia"/>
                <w:sz w:val="20"/>
                <w:szCs w:val="20"/>
              </w:rPr>
              <w:t>0.00259</w:t>
            </w:r>
          </w:p>
        </w:tc>
        <w:tc>
          <w:tcPr>
            <w:tcW w:w="0" w:type="auto"/>
            <w:vAlign w:val="center"/>
            <w:hideMark/>
          </w:tcPr>
          <w:p w14:paraId="27D7086E" w14:textId="77777777" w:rsidR="006B493C" w:rsidRPr="009E24BC" w:rsidRDefault="006B493C" w:rsidP="00A342E1">
            <w:pPr>
              <w:spacing w:after="0" w:line="240" w:lineRule="auto"/>
              <w:rPr>
                <w:rFonts w:eastAsiaTheme="minorEastAsia"/>
                <w:sz w:val="20"/>
                <w:szCs w:val="20"/>
              </w:rPr>
            </w:pPr>
            <w:r w:rsidRPr="009E24BC">
              <w:rPr>
                <w:rFonts w:eastAsiaTheme="minorEastAsia"/>
                <w:sz w:val="20"/>
                <w:szCs w:val="20"/>
              </w:rPr>
              <w:t>0.0282</w:t>
            </w:r>
          </w:p>
        </w:tc>
        <w:tc>
          <w:tcPr>
            <w:tcW w:w="0" w:type="auto"/>
            <w:vAlign w:val="center"/>
            <w:hideMark/>
          </w:tcPr>
          <w:p w14:paraId="7F6B1F00" w14:textId="77777777" w:rsidR="006B493C" w:rsidRPr="009E24BC" w:rsidRDefault="006B493C" w:rsidP="00A342E1">
            <w:pPr>
              <w:spacing w:after="0" w:line="240" w:lineRule="auto"/>
              <w:rPr>
                <w:rFonts w:eastAsiaTheme="minorEastAsia"/>
                <w:sz w:val="20"/>
                <w:szCs w:val="20"/>
              </w:rPr>
            </w:pPr>
            <w:r w:rsidRPr="009E24BC">
              <w:rPr>
                <w:rFonts w:eastAsiaTheme="minorEastAsia"/>
                <w:sz w:val="20"/>
                <w:szCs w:val="20"/>
              </w:rPr>
              <w:t>0.071</w:t>
            </w:r>
          </w:p>
        </w:tc>
      </w:tr>
      <w:tr w:rsidR="006B493C" w:rsidRPr="009E24BC" w14:paraId="678A25BB" w14:textId="77777777" w:rsidTr="00A342E1">
        <w:trPr>
          <w:jc w:val="center"/>
        </w:trPr>
        <w:tc>
          <w:tcPr>
            <w:tcW w:w="0" w:type="auto"/>
            <w:vAlign w:val="center"/>
            <w:hideMark/>
          </w:tcPr>
          <w:p w14:paraId="1F8F6AD8" w14:textId="77777777" w:rsidR="006B493C" w:rsidRPr="009E24BC" w:rsidRDefault="006B493C" w:rsidP="00A342E1">
            <w:pPr>
              <w:spacing w:after="0" w:line="240" w:lineRule="auto"/>
              <w:rPr>
                <w:rFonts w:eastAsiaTheme="minorEastAsia"/>
                <w:sz w:val="20"/>
                <w:szCs w:val="20"/>
              </w:rPr>
            </w:pPr>
            <w:r w:rsidRPr="009E24BC">
              <w:rPr>
                <w:rFonts w:eastAsiaTheme="minorEastAsia"/>
                <w:sz w:val="20"/>
                <w:szCs w:val="20"/>
              </w:rPr>
              <w:t>S&amp;P 500 Benchmark</w:t>
            </w:r>
          </w:p>
        </w:tc>
        <w:tc>
          <w:tcPr>
            <w:tcW w:w="0" w:type="auto"/>
            <w:vAlign w:val="center"/>
            <w:hideMark/>
          </w:tcPr>
          <w:p w14:paraId="5C02B523" w14:textId="77777777" w:rsidR="006B493C" w:rsidRPr="009E24BC" w:rsidRDefault="006B493C" w:rsidP="00A342E1">
            <w:pPr>
              <w:spacing w:after="0" w:line="240" w:lineRule="auto"/>
              <w:rPr>
                <w:rFonts w:eastAsiaTheme="minorEastAsia"/>
                <w:sz w:val="20"/>
                <w:szCs w:val="20"/>
              </w:rPr>
            </w:pPr>
            <w:r w:rsidRPr="009E24BC">
              <w:rPr>
                <w:rFonts w:eastAsiaTheme="minorEastAsia"/>
                <w:sz w:val="20"/>
                <w:szCs w:val="20"/>
              </w:rPr>
              <w:t>Market Index</w:t>
            </w:r>
          </w:p>
        </w:tc>
        <w:tc>
          <w:tcPr>
            <w:tcW w:w="0" w:type="auto"/>
            <w:vAlign w:val="center"/>
            <w:hideMark/>
          </w:tcPr>
          <w:p w14:paraId="6EEBE34B" w14:textId="77777777" w:rsidR="006B493C" w:rsidRPr="009E24BC" w:rsidRDefault="006B493C" w:rsidP="00A342E1">
            <w:pPr>
              <w:spacing w:after="0" w:line="240" w:lineRule="auto"/>
              <w:rPr>
                <w:rFonts w:eastAsiaTheme="minorEastAsia"/>
                <w:sz w:val="20"/>
                <w:szCs w:val="20"/>
              </w:rPr>
            </w:pPr>
            <w:r w:rsidRPr="009E24BC">
              <w:rPr>
                <w:rFonts w:eastAsiaTheme="minorEastAsia"/>
                <w:sz w:val="20"/>
                <w:szCs w:val="20"/>
              </w:rPr>
              <w:t>0.00060</w:t>
            </w:r>
          </w:p>
        </w:tc>
        <w:tc>
          <w:tcPr>
            <w:tcW w:w="0" w:type="auto"/>
            <w:vAlign w:val="center"/>
            <w:hideMark/>
          </w:tcPr>
          <w:p w14:paraId="6A7B9D71" w14:textId="77777777" w:rsidR="006B493C" w:rsidRPr="009E24BC" w:rsidRDefault="006B493C" w:rsidP="00A342E1">
            <w:pPr>
              <w:spacing w:after="0" w:line="240" w:lineRule="auto"/>
              <w:rPr>
                <w:rFonts w:eastAsiaTheme="minorEastAsia"/>
                <w:sz w:val="20"/>
                <w:szCs w:val="20"/>
              </w:rPr>
            </w:pPr>
            <w:r w:rsidRPr="009E24BC">
              <w:rPr>
                <w:rFonts w:eastAsiaTheme="minorEastAsia"/>
                <w:sz w:val="20"/>
                <w:szCs w:val="20"/>
              </w:rPr>
              <w:t>0.0108</w:t>
            </w:r>
          </w:p>
        </w:tc>
        <w:tc>
          <w:tcPr>
            <w:tcW w:w="0" w:type="auto"/>
            <w:vAlign w:val="center"/>
            <w:hideMark/>
          </w:tcPr>
          <w:p w14:paraId="2353F928" w14:textId="77777777" w:rsidR="006B493C" w:rsidRPr="009E24BC" w:rsidRDefault="006B493C" w:rsidP="00A342E1">
            <w:pPr>
              <w:spacing w:after="0" w:line="240" w:lineRule="auto"/>
              <w:rPr>
                <w:rFonts w:eastAsiaTheme="minorEastAsia"/>
                <w:sz w:val="20"/>
                <w:szCs w:val="20"/>
              </w:rPr>
            </w:pPr>
            <w:r w:rsidRPr="009E24BC">
              <w:rPr>
                <w:rFonts w:eastAsiaTheme="minorEastAsia"/>
                <w:sz w:val="20"/>
                <w:szCs w:val="20"/>
              </w:rPr>
              <w:t>0.001</w:t>
            </w:r>
          </w:p>
        </w:tc>
      </w:tr>
    </w:tbl>
    <w:p w14:paraId="67173137" w14:textId="77777777" w:rsidR="00521ADF" w:rsidRDefault="00521ADF" w:rsidP="00554405">
      <w:pPr>
        <w:rPr>
          <w:rFonts w:eastAsiaTheme="minorEastAsia"/>
          <w:szCs w:val="22"/>
        </w:rPr>
      </w:pPr>
    </w:p>
    <w:p w14:paraId="6B597393" w14:textId="22457FF9" w:rsidR="00FF657B" w:rsidRDefault="00FF657B" w:rsidP="00FF657B">
      <w:pPr>
        <w:jc w:val="center"/>
        <w:rPr>
          <w:rFonts w:eastAsiaTheme="minorEastAsia"/>
          <w:szCs w:val="22"/>
        </w:rPr>
      </w:pPr>
      <w:r w:rsidRPr="00FF657B">
        <w:rPr>
          <w:rFonts w:eastAsiaTheme="minorEastAsia"/>
          <w:noProof/>
          <w:szCs w:val="22"/>
        </w:rPr>
        <w:drawing>
          <wp:inline distT="0" distB="0" distL="0" distR="0" wp14:anchorId="5F4B3851" wp14:editId="209D4D6D">
            <wp:extent cx="4846320" cy="3587623"/>
            <wp:effectExtent l="0" t="0" r="5080" b="0"/>
            <wp:docPr id="215672538"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72538" name="Picture 1" descr="A screen shot of a graph&#10;&#10;AI-generated content may be incorrect."/>
                    <pic:cNvPicPr/>
                  </pic:nvPicPr>
                  <pic:blipFill>
                    <a:blip r:embed="rId14"/>
                    <a:stretch>
                      <a:fillRect/>
                    </a:stretch>
                  </pic:blipFill>
                  <pic:spPr>
                    <a:xfrm>
                      <a:off x="0" y="0"/>
                      <a:ext cx="4846320" cy="3587623"/>
                    </a:xfrm>
                    <a:prstGeom prst="rect">
                      <a:avLst/>
                    </a:prstGeom>
                  </pic:spPr>
                </pic:pic>
              </a:graphicData>
            </a:graphic>
          </wp:inline>
        </w:drawing>
      </w:r>
    </w:p>
    <w:p w14:paraId="45ADAB7A" w14:textId="4A62D506" w:rsidR="00F24BEF" w:rsidRPr="00F24BEF" w:rsidRDefault="00F24BEF" w:rsidP="00FF657B">
      <w:pPr>
        <w:jc w:val="center"/>
        <w:rPr>
          <w:rFonts w:eastAsiaTheme="minorEastAsia"/>
          <w:b/>
          <w:bCs/>
          <w:szCs w:val="22"/>
        </w:rPr>
      </w:pPr>
      <w:r>
        <w:rPr>
          <w:rFonts w:eastAsiaTheme="minorEastAsia"/>
          <w:b/>
          <w:bCs/>
          <w:szCs w:val="22"/>
        </w:rPr>
        <w:t>Fig 5</w:t>
      </w:r>
      <w:r w:rsidR="00B5574C">
        <w:rPr>
          <w:rFonts w:eastAsiaTheme="minorEastAsia"/>
          <w:b/>
          <w:bCs/>
          <w:szCs w:val="22"/>
        </w:rPr>
        <w:t xml:space="preserve">: </w:t>
      </w:r>
      <w:r w:rsidR="002378B6" w:rsidRPr="00495CDE">
        <w:rPr>
          <w:rFonts w:eastAsiaTheme="minorEastAsia"/>
          <w:szCs w:val="22"/>
        </w:rPr>
        <w:t xml:space="preserve">Efficient Frontier </w:t>
      </w:r>
      <w:r w:rsidR="003C1896">
        <w:rPr>
          <w:rFonts w:eastAsiaTheme="minorEastAsia"/>
          <w:szCs w:val="22"/>
        </w:rPr>
        <w:t xml:space="preserve">– </w:t>
      </w:r>
      <w:r w:rsidR="002378B6" w:rsidRPr="00495CDE">
        <w:rPr>
          <w:rFonts w:eastAsiaTheme="minorEastAsia"/>
          <w:szCs w:val="22"/>
        </w:rPr>
        <w:t>Optimal Portfolio Visualization</w:t>
      </w:r>
    </w:p>
    <w:p w14:paraId="546AC81A" w14:textId="78E54567" w:rsidR="00D01818" w:rsidRDefault="00D01818" w:rsidP="00554405">
      <w:pPr>
        <w:rPr>
          <w:rFonts w:eastAsiaTheme="minorEastAsia"/>
          <w:szCs w:val="22"/>
        </w:rPr>
      </w:pPr>
      <w:r w:rsidRPr="00D01818">
        <w:rPr>
          <w:rFonts w:eastAsiaTheme="minorEastAsia"/>
          <w:szCs w:val="22"/>
        </w:rPr>
        <w:lastRenderedPageBreak/>
        <w:t>When compared with the equal-weighted portfolio from Step 4 (return 0.00259, volatility 0.0282, Sharpe 0.0713) and the S&amp;P 500 benchmark (return 0.0006, volatility 0.0108, Sharpe 0.0013), the optimized portfolio demonstrates a clear efficiency improvement</w:t>
      </w:r>
      <w:r w:rsidR="001402DF">
        <w:rPr>
          <w:rFonts w:eastAsiaTheme="minorEastAsia"/>
          <w:szCs w:val="22"/>
        </w:rPr>
        <w:t xml:space="preserve">, </w:t>
      </w:r>
      <w:r w:rsidRPr="00D01818">
        <w:rPr>
          <w:rFonts w:eastAsiaTheme="minorEastAsia"/>
          <w:szCs w:val="22"/>
        </w:rPr>
        <w:t xml:space="preserve">achieving </w:t>
      </w:r>
      <w:r>
        <w:rPr>
          <w:rFonts w:eastAsiaTheme="minorEastAsia"/>
          <w:szCs w:val="22"/>
        </w:rPr>
        <w:t xml:space="preserve">a </w:t>
      </w:r>
      <w:r w:rsidRPr="00D01818">
        <w:rPr>
          <w:rFonts w:eastAsiaTheme="minorEastAsia"/>
          <w:szCs w:val="22"/>
        </w:rPr>
        <w:t>higher return per unit of risk.</w:t>
      </w:r>
      <w:r w:rsidR="001402DF">
        <w:rPr>
          <w:rFonts w:eastAsiaTheme="minorEastAsia"/>
          <w:szCs w:val="22"/>
        </w:rPr>
        <w:t xml:space="preserve"> </w:t>
      </w:r>
      <w:r w:rsidRPr="00D01818">
        <w:rPr>
          <w:rFonts w:eastAsiaTheme="minorEastAsia"/>
          <w:szCs w:val="22"/>
        </w:rPr>
        <w:t>The efficient-frontier plot highlights this improvement: the optimal portfolio (</w:t>
      </w:r>
      <w:r w:rsidRPr="00A06A0D">
        <w:rPr>
          <w:rFonts w:ascii="Segoe UI Symbol" w:eastAsiaTheme="minorEastAsia" w:hAnsi="Segoe UI Symbol" w:cs="Segoe UI Symbol"/>
          <w:color w:val="EE0000"/>
          <w:szCs w:val="22"/>
        </w:rPr>
        <w:t>★</w:t>
      </w:r>
      <w:r w:rsidRPr="00D01818">
        <w:rPr>
          <w:rFonts w:eastAsiaTheme="minorEastAsia"/>
          <w:szCs w:val="22"/>
        </w:rPr>
        <w:t>) lies on the upper boundary, the equal-weighted portfolio (</w:t>
      </w:r>
      <w:r w:rsidRPr="00A06A0D">
        <w:rPr>
          <w:rFonts w:eastAsiaTheme="minorEastAsia"/>
          <w:color w:val="0432FF"/>
          <w:szCs w:val="22"/>
        </w:rPr>
        <w:t>●</w:t>
      </w:r>
      <w:r w:rsidRPr="00D01818">
        <w:rPr>
          <w:rFonts w:eastAsiaTheme="minorEastAsia"/>
          <w:szCs w:val="22"/>
        </w:rPr>
        <w:t>) lies below it, and the S&amp;P 500 (</w:t>
      </w:r>
      <w:r w:rsidRPr="00A06A0D">
        <w:rPr>
          <w:rFonts w:eastAsiaTheme="minorEastAsia"/>
          <w:b/>
          <w:bCs/>
          <w:szCs w:val="22"/>
        </w:rPr>
        <w:t>×</w:t>
      </w:r>
      <w:r w:rsidRPr="00D01818">
        <w:rPr>
          <w:rFonts w:eastAsiaTheme="minorEastAsia"/>
          <w:szCs w:val="22"/>
        </w:rPr>
        <w:t>) occupies the lower-left region.</w:t>
      </w:r>
    </w:p>
    <w:p w14:paraId="44160994" w14:textId="326B87BC" w:rsidR="002D7E39" w:rsidRPr="00D01818" w:rsidRDefault="002D7E39" w:rsidP="002D7E39">
      <w:pPr>
        <w:pStyle w:val="Heading1"/>
        <w:rPr>
          <w:rFonts w:eastAsiaTheme="minorEastAsia"/>
        </w:rPr>
      </w:pPr>
      <w:bookmarkStart w:id="8" w:name="_Toc212322829"/>
      <w:r>
        <w:rPr>
          <w:rFonts w:eastAsiaTheme="minorEastAsia"/>
        </w:rPr>
        <w:t>4. Conclusion</w:t>
      </w:r>
      <w:bookmarkEnd w:id="8"/>
    </w:p>
    <w:p w14:paraId="618699A5" w14:textId="6CE20403" w:rsidR="00316AF4" w:rsidRPr="00316AF4" w:rsidRDefault="00316AF4" w:rsidP="00316AF4">
      <w:r w:rsidRPr="00316AF4">
        <w:t>This project examined the impact of monetary</w:t>
      </w:r>
      <w:r w:rsidR="002E3EE9">
        <w:t xml:space="preserve"> </w:t>
      </w:r>
      <w:r w:rsidRPr="00316AF4">
        <w:t>policy changes</w:t>
      </w:r>
      <w:r w:rsidR="003A1E3D">
        <w:t xml:space="preserve"> </w:t>
      </w:r>
      <w:r w:rsidR="00C1781A">
        <w:t>exhibited</w:t>
      </w:r>
      <w:r w:rsidRPr="00316AF4">
        <w:t xml:space="preserve"> through interest-rate movements</w:t>
      </w:r>
      <w:r w:rsidR="00C1781A">
        <w:t xml:space="preserve"> </w:t>
      </w:r>
      <w:r w:rsidRPr="00316AF4">
        <w:t>on the performance and risk characteristics of two interest-sensitive sectors: Financial</w:t>
      </w:r>
      <w:r w:rsidR="008B2654" w:rsidRPr="00272FAE">
        <w:t xml:space="preserve"> institutions</w:t>
      </w:r>
      <w:r w:rsidRPr="00316AF4">
        <w:t xml:space="preserve"> and Real Estate</w:t>
      </w:r>
      <w:r w:rsidR="008B2654" w:rsidRPr="00272FAE">
        <w:t xml:space="preserve"> companies</w:t>
      </w:r>
      <w:r w:rsidRPr="00316AF4">
        <w:t xml:space="preserve">. By analyzing five years of market and firm-level data, the study combined return-distribution analytics, cross-sector correlations, and portfolio modeling to assess </w:t>
      </w:r>
      <w:r w:rsidR="002E3EE9">
        <w:t xml:space="preserve">the </w:t>
      </w:r>
      <w:r w:rsidRPr="00316AF4">
        <w:t>influence</w:t>
      </w:r>
      <w:r w:rsidR="002E3EE9">
        <w:t xml:space="preserve"> of </w:t>
      </w:r>
      <w:r w:rsidR="002E3EE9" w:rsidRPr="00316AF4">
        <w:t>rate fluctuations</w:t>
      </w:r>
      <w:r w:rsidRPr="00316AF4">
        <w:t xml:space="preserve"> </w:t>
      </w:r>
      <w:r w:rsidR="002E3EE9">
        <w:t xml:space="preserve">on </w:t>
      </w:r>
      <w:r w:rsidRPr="00316AF4">
        <w:t xml:space="preserve">individual stocks and </w:t>
      </w:r>
      <w:r w:rsidR="002E3EE9">
        <w:t xml:space="preserve">how portfolio </w:t>
      </w:r>
      <w:r w:rsidRPr="00316AF4">
        <w:t>diversif</w:t>
      </w:r>
      <w:r w:rsidR="002E3EE9">
        <w:t>ication can mitigate the impact</w:t>
      </w:r>
      <w:r w:rsidRPr="00316AF4">
        <w:t xml:space="preserve">. The analysis used the 13-Week U.S. Treasury Bill yield as the risk-free rate and incorporated both equal-weighted and optimized portfolio </w:t>
      </w:r>
      <w:r w:rsidR="00A91F51">
        <w:t>design</w:t>
      </w:r>
      <w:r w:rsidR="00443720">
        <w:t>s</w:t>
      </w:r>
      <w:r w:rsidRPr="00316AF4">
        <w:t xml:space="preserve"> to evaluate efficiency and diversification outcomes.</w:t>
      </w:r>
    </w:p>
    <w:p w14:paraId="03C134D9" w14:textId="27A04D40" w:rsidR="00316AF4" w:rsidRPr="00316AF4" w:rsidRDefault="00316AF4" w:rsidP="00316AF4">
      <w:r w:rsidRPr="00316AF4">
        <w:t>The results revealed clear sector</w:t>
      </w:r>
      <w:r w:rsidR="0006693B">
        <w:t>-wise</w:t>
      </w:r>
      <w:r w:rsidRPr="00316AF4">
        <w:t xml:space="preserve"> differences in both performance and risk. Financial stocks, particularly large banks and asset managers such as JPMorgan, Bank of America, and BlackRock, exhibited higher volatility but also stronger mean returns, consistent with their positive sensitivity to rising interest rates. Real Estate Investment Trusts (REITs) such as Prologis, AvalonBay, and Realty Income demonstrated steadier but lower returns, reflecting their dependence on borrowing costs. Correlation analysis confirmed higher intra-sector cohesion among Financials compared with Real Estate, while cross-sector correlations remained moderate, </w:t>
      </w:r>
      <w:r w:rsidR="00663E97">
        <w:t>indicating</w:t>
      </w:r>
      <w:r w:rsidRPr="00316AF4">
        <w:t xml:space="preserve"> the diversification potential between the two sectors.</w:t>
      </w:r>
    </w:p>
    <w:p w14:paraId="261528F9" w14:textId="5A63597E" w:rsidR="00316AF4" w:rsidRDefault="00316AF4" w:rsidP="00316AF4">
      <w:r w:rsidRPr="00316AF4">
        <w:t>Portfolio analysis demonstrated that diversification across these sectors improved overall efficiency. The equal-weighted portfolio delivered balanced exposure with a moderate Sharpe ratio, while the optimized (tangency) portfolio achieved a higher risk-adjusted return by slightly increasing weight toward Financials and lower-volatility REITs. Overall, the findings support the conclusion that interest-rate dynamics significantly influence sectoral risk and return behavior, and that informed portfolio construction can mitigate rate-driven volatility while enhancing performance.</w:t>
      </w:r>
    </w:p>
    <w:p w14:paraId="080501C1" w14:textId="256DC95A" w:rsidR="00F02C08" w:rsidRDefault="0067767D" w:rsidP="00F02C08">
      <w:pPr>
        <w:pStyle w:val="Heading1"/>
      </w:pPr>
      <w:bookmarkStart w:id="9" w:name="_Toc212322830"/>
      <w:r>
        <w:lastRenderedPageBreak/>
        <w:t>References</w:t>
      </w:r>
      <w:bookmarkEnd w:id="9"/>
    </w:p>
    <w:p w14:paraId="58300DBE" w14:textId="472C8D0B" w:rsidR="00004034" w:rsidRDefault="00DB0C41" w:rsidP="00004034">
      <w:pPr>
        <w:pStyle w:val="ListParagraph"/>
        <w:numPr>
          <w:ilvl w:val="0"/>
          <w:numId w:val="12"/>
        </w:numPr>
      </w:pPr>
      <w:r w:rsidRPr="00DB0C41">
        <w:rPr>
          <w:b/>
          <w:bCs/>
        </w:rPr>
        <w:t>ChatGPT.com</w:t>
      </w:r>
      <w:r>
        <w:t xml:space="preserve"> </w:t>
      </w:r>
      <w:r w:rsidR="0099104E" w:rsidRPr="005D23CE">
        <w:t xml:space="preserve">Exploration &amp; Research on </w:t>
      </w:r>
      <w:r w:rsidR="005D23CE" w:rsidRPr="005D23CE">
        <w:t>https://chatgpt.com/</w:t>
      </w:r>
    </w:p>
    <w:p w14:paraId="3388DF60" w14:textId="7BED9418" w:rsidR="00E36ADC" w:rsidRPr="00E36ADC" w:rsidRDefault="00E36ADC" w:rsidP="000951EE">
      <w:pPr>
        <w:pStyle w:val="ListParagraph"/>
        <w:numPr>
          <w:ilvl w:val="0"/>
          <w:numId w:val="12"/>
        </w:numPr>
      </w:pPr>
      <w:r w:rsidRPr="000951EE">
        <w:rPr>
          <w:rStyle w:val="Strong"/>
          <w:rFonts w:ascii="Aptos" w:hAnsi="Aptos"/>
          <w:szCs w:val="22"/>
        </w:rPr>
        <w:t>NASDAQ Data Link</w:t>
      </w:r>
      <w:r w:rsidRPr="00E36ADC">
        <w:t xml:space="preserve">. </w:t>
      </w:r>
      <w:r w:rsidRPr="000951EE">
        <w:rPr>
          <w:rStyle w:val="Emphasis"/>
          <w:rFonts w:ascii="Aptos" w:hAnsi="Aptos"/>
          <w:szCs w:val="22"/>
        </w:rPr>
        <w:t>Historical stock prices for JPM, BAC, WFC, GS, BLK, PLD, AMT, SPG, AVB, and O.</w:t>
      </w:r>
      <w:r w:rsidRPr="00E36ADC">
        <w:t xml:space="preserve"> Retrieved from https://data.nasdaq.com/</w:t>
      </w:r>
    </w:p>
    <w:p w14:paraId="24EE3FDE" w14:textId="073B53FC" w:rsidR="00E36ADC" w:rsidRPr="00E36ADC" w:rsidRDefault="00E36ADC" w:rsidP="000951EE">
      <w:pPr>
        <w:pStyle w:val="ListParagraph"/>
        <w:numPr>
          <w:ilvl w:val="0"/>
          <w:numId w:val="12"/>
        </w:numPr>
      </w:pPr>
      <w:r w:rsidRPr="000951EE">
        <w:rPr>
          <w:rStyle w:val="Strong"/>
          <w:rFonts w:ascii="Aptos" w:hAnsi="Aptos"/>
          <w:szCs w:val="22"/>
        </w:rPr>
        <w:t>Yahoo Finance.</w:t>
      </w:r>
      <w:r w:rsidRPr="00E36ADC">
        <w:t xml:space="preserve"> </w:t>
      </w:r>
      <w:r w:rsidRPr="000951EE">
        <w:rPr>
          <w:rStyle w:val="Emphasis"/>
          <w:rFonts w:ascii="Aptos" w:hAnsi="Aptos"/>
          <w:szCs w:val="22"/>
        </w:rPr>
        <w:t>S&amp;P 500 Index (^GSPC) – Historical Data.</w:t>
      </w:r>
      <w:r w:rsidRPr="00E36ADC">
        <w:t xml:space="preserve"> Retrieved from https://finance.yahoo.com/quote/%5EGSPC/history</w:t>
      </w:r>
    </w:p>
    <w:p w14:paraId="6314E0E4" w14:textId="110FCC5D" w:rsidR="00E36ADC" w:rsidRPr="00E36ADC" w:rsidRDefault="00E36ADC" w:rsidP="000951EE">
      <w:pPr>
        <w:pStyle w:val="ListParagraph"/>
        <w:numPr>
          <w:ilvl w:val="0"/>
          <w:numId w:val="12"/>
        </w:numPr>
      </w:pPr>
      <w:r w:rsidRPr="000951EE">
        <w:rPr>
          <w:rStyle w:val="Strong"/>
          <w:rFonts w:ascii="Aptos" w:hAnsi="Aptos"/>
          <w:szCs w:val="22"/>
        </w:rPr>
        <w:t>Federal Reserve Bank of St. Louis (FRED)</w:t>
      </w:r>
      <w:r w:rsidR="00902AF3">
        <w:rPr>
          <w:rStyle w:val="Strong"/>
          <w:rFonts w:ascii="Aptos" w:hAnsi="Aptos"/>
          <w:szCs w:val="22"/>
        </w:rPr>
        <w:t xml:space="preserve"> and </w:t>
      </w:r>
      <w:r w:rsidR="00902AF3" w:rsidRPr="000951EE">
        <w:rPr>
          <w:rStyle w:val="Strong"/>
          <w:rFonts w:ascii="Aptos" w:hAnsi="Aptos"/>
          <w:szCs w:val="22"/>
        </w:rPr>
        <w:t>Yahoo Finance</w:t>
      </w:r>
      <w:r w:rsidRPr="000951EE">
        <w:rPr>
          <w:rStyle w:val="Strong"/>
          <w:rFonts w:ascii="Aptos" w:hAnsi="Aptos"/>
          <w:szCs w:val="22"/>
        </w:rPr>
        <w:t>.</w:t>
      </w:r>
      <w:r w:rsidRPr="00E36ADC">
        <w:t xml:space="preserve"> </w:t>
      </w:r>
      <w:r w:rsidRPr="000951EE">
        <w:rPr>
          <w:rStyle w:val="Emphasis"/>
          <w:rFonts w:ascii="Aptos" w:hAnsi="Aptos"/>
          <w:szCs w:val="22"/>
        </w:rPr>
        <w:t>13-Week Treasury Bill: Secondary Market Rate (DGS3MO).</w:t>
      </w:r>
      <w:r w:rsidRPr="00E36ADC">
        <w:t xml:space="preserve"> Retrieved from </w:t>
      </w:r>
      <w:r w:rsidR="00902AF3">
        <w:t>Yahoo API</w:t>
      </w:r>
      <w:r w:rsidR="00E10DAC">
        <w:t>.</w:t>
      </w:r>
    </w:p>
    <w:p w14:paraId="33048257" w14:textId="12A79885" w:rsidR="00E36ADC" w:rsidRPr="00E36ADC" w:rsidRDefault="00E36ADC" w:rsidP="000951EE">
      <w:pPr>
        <w:pStyle w:val="ListParagraph"/>
        <w:numPr>
          <w:ilvl w:val="0"/>
          <w:numId w:val="12"/>
        </w:numPr>
      </w:pPr>
      <w:r w:rsidRPr="000951EE">
        <w:rPr>
          <w:rStyle w:val="Strong"/>
          <w:rFonts w:ascii="Aptos" w:hAnsi="Aptos"/>
          <w:szCs w:val="22"/>
        </w:rPr>
        <w:t>S&amp;P Capital IQ Pro.</w:t>
      </w:r>
      <w:r w:rsidRPr="00E36ADC">
        <w:t xml:space="preserve"> </w:t>
      </w:r>
      <w:r w:rsidRPr="000951EE">
        <w:rPr>
          <w:rStyle w:val="Emphasis"/>
          <w:rFonts w:ascii="Aptos" w:hAnsi="Aptos"/>
          <w:szCs w:val="22"/>
        </w:rPr>
        <w:t>Company financials and market fundamentals for selected firms.</w:t>
      </w:r>
      <w:r w:rsidRPr="00E36ADC">
        <w:t xml:space="preserve"> Retrieved via institutional access (</w:t>
      </w:r>
      <w:r w:rsidR="00EA6C28">
        <w:t xml:space="preserve">The </w:t>
      </w:r>
      <w:r w:rsidRPr="00E36ADC">
        <w:t>University of Texas at Dallas).</w:t>
      </w:r>
    </w:p>
    <w:p w14:paraId="4F091294" w14:textId="3FA3F713" w:rsidR="00E36ADC" w:rsidRPr="00E36ADC" w:rsidRDefault="00E36ADC" w:rsidP="000951EE">
      <w:pPr>
        <w:pStyle w:val="ListParagraph"/>
        <w:numPr>
          <w:ilvl w:val="0"/>
          <w:numId w:val="12"/>
        </w:numPr>
      </w:pPr>
      <w:r w:rsidRPr="000951EE">
        <w:rPr>
          <w:rStyle w:val="Strong"/>
          <w:rFonts w:ascii="Aptos" w:hAnsi="Aptos"/>
          <w:szCs w:val="22"/>
        </w:rPr>
        <w:t>BlackRock, Inc.</w:t>
      </w:r>
      <w:r w:rsidRPr="00E36ADC">
        <w:t xml:space="preserve"> </w:t>
      </w:r>
      <w:r w:rsidRPr="000951EE">
        <w:rPr>
          <w:rStyle w:val="Emphasis"/>
          <w:rFonts w:ascii="Aptos" w:hAnsi="Aptos"/>
          <w:szCs w:val="22"/>
        </w:rPr>
        <w:t>Annual Report and Investor Relations Data.</w:t>
      </w:r>
      <w:r w:rsidRPr="00E36ADC">
        <w:t xml:space="preserve"> Retrieved from https://www.blackrock.com/corporate/investor-relations</w:t>
      </w:r>
    </w:p>
    <w:p w14:paraId="2A1AA2D7" w14:textId="0F58D215" w:rsidR="00E36ADC" w:rsidRPr="00E36ADC" w:rsidRDefault="00E36ADC" w:rsidP="000951EE">
      <w:pPr>
        <w:pStyle w:val="ListParagraph"/>
        <w:numPr>
          <w:ilvl w:val="0"/>
          <w:numId w:val="12"/>
        </w:numPr>
      </w:pPr>
      <w:r w:rsidRPr="000951EE">
        <w:rPr>
          <w:rStyle w:val="Strong"/>
          <w:rFonts w:ascii="Aptos" w:hAnsi="Aptos"/>
          <w:szCs w:val="22"/>
        </w:rPr>
        <w:t>Prologis, Inc.</w:t>
      </w:r>
      <w:r w:rsidRPr="00E36ADC">
        <w:t xml:space="preserve"> </w:t>
      </w:r>
      <w:r w:rsidRPr="000951EE">
        <w:rPr>
          <w:rStyle w:val="Emphasis"/>
          <w:rFonts w:ascii="Aptos" w:hAnsi="Aptos"/>
          <w:szCs w:val="22"/>
        </w:rPr>
        <w:t>Investor Relations – Company Overview and Financial Reports.</w:t>
      </w:r>
      <w:r w:rsidRPr="00E36ADC">
        <w:t xml:space="preserve"> Retrieved from https://ir.prologis.com/</w:t>
      </w:r>
    </w:p>
    <w:p w14:paraId="5AE5DB3C" w14:textId="169082D7" w:rsidR="00E36ADC" w:rsidRPr="00E36ADC" w:rsidRDefault="00E36ADC" w:rsidP="000951EE">
      <w:pPr>
        <w:pStyle w:val="ListParagraph"/>
        <w:numPr>
          <w:ilvl w:val="0"/>
          <w:numId w:val="12"/>
        </w:numPr>
      </w:pPr>
      <w:r w:rsidRPr="000951EE">
        <w:rPr>
          <w:rStyle w:val="Strong"/>
          <w:rFonts w:ascii="Aptos" w:hAnsi="Aptos"/>
          <w:szCs w:val="22"/>
        </w:rPr>
        <w:t>AvalonBay Communities, Inc.</w:t>
      </w:r>
      <w:r w:rsidRPr="00E36ADC">
        <w:t xml:space="preserve"> </w:t>
      </w:r>
      <w:r w:rsidRPr="000951EE">
        <w:rPr>
          <w:rStyle w:val="Emphasis"/>
          <w:rFonts w:ascii="Aptos" w:hAnsi="Aptos"/>
          <w:szCs w:val="22"/>
        </w:rPr>
        <w:t>Investor Relations – Company Financials.</w:t>
      </w:r>
      <w:r w:rsidRPr="00E36ADC">
        <w:t xml:space="preserve"> Retrieved from https://investors.avalonbay.com/</w:t>
      </w:r>
    </w:p>
    <w:p w14:paraId="3F18716D" w14:textId="0A453CA0" w:rsidR="00E36ADC" w:rsidRPr="00E36ADC" w:rsidRDefault="00E36ADC" w:rsidP="000951EE">
      <w:pPr>
        <w:pStyle w:val="ListParagraph"/>
        <w:numPr>
          <w:ilvl w:val="0"/>
          <w:numId w:val="12"/>
        </w:numPr>
      </w:pPr>
      <w:r w:rsidRPr="000951EE">
        <w:rPr>
          <w:rStyle w:val="Strong"/>
          <w:rFonts w:ascii="Aptos" w:hAnsi="Aptos"/>
          <w:szCs w:val="22"/>
        </w:rPr>
        <w:t>U.S. Securities and Exchange Commission (SEC).</w:t>
      </w:r>
      <w:r w:rsidRPr="00E36ADC">
        <w:t xml:space="preserve"> </w:t>
      </w:r>
      <w:r w:rsidRPr="000951EE">
        <w:rPr>
          <w:rStyle w:val="Emphasis"/>
          <w:rFonts w:ascii="Aptos" w:hAnsi="Aptos"/>
          <w:szCs w:val="22"/>
        </w:rPr>
        <w:t>EDGAR Company Filings.</w:t>
      </w:r>
      <w:r w:rsidRPr="00E36ADC">
        <w:t xml:space="preserve"> Retrieved from https://www.sec.gov/edgar/searchedgar/companysearch.html</w:t>
      </w:r>
    </w:p>
    <w:p w14:paraId="27C43A44" w14:textId="1D3372C9" w:rsidR="00E36ADC" w:rsidRPr="00E36ADC" w:rsidRDefault="00E36ADC" w:rsidP="000951EE">
      <w:pPr>
        <w:pStyle w:val="ListParagraph"/>
        <w:numPr>
          <w:ilvl w:val="0"/>
          <w:numId w:val="12"/>
        </w:numPr>
      </w:pPr>
      <w:r w:rsidRPr="000951EE">
        <w:rPr>
          <w:rStyle w:val="Strong"/>
          <w:rFonts w:ascii="Aptos" w:hAnsi="Aptos"/>
          <w:szCs w:val="22"/>
        </w:rPr>
        <w:t>Investopedia.</w:t>
      </w:r>
      <w:r w:rsidRPr="00E36ADC">
        <w:t xml:space="preserve"> </w:t>
      </w:r>
      <w:r w:rsidRPr="000951EE">
        <w:rPr>
          <w:rStyle w:val="Emphasis"/>
          <w:rFonts w:ascii="Aptos" w:hAnsi="Aptos"/>
          <w:szCs w:val="22"/>
        </w:rPr>
        <w:t>Sharpe Ratio, Portfolio Diversification, and Modern Portfolio Theory.</w:t>
      </w:r>
      <w:r w:rsidRPr="00E36ADC">
        <w:t xml:space="preserve"> Retrieved from https://www.investopedia.com/</w:t>
      </w:r>
    </w:p>
    <w:p w14:paraId="1565E0E8" w14:textId="5E7217CF" w:rsidR="00577F99" w:rsidRDefault="00E36ADC" w:rsidP="00E43265">
      <w:pPr>
        <w:pStyle w:val="ListParagraph"/>
        <w:numPr>
          <w:ilvl w:val="0"/>
          <w:numId w:val="12"/>
        </w:numPr>
      </w:pPr>
      <w:r w:rsidRPr="000951EE">
        <w:rPr>
          <w:rStyle w:val="Strong"/>
          <w:rFonts w:ascii="Aptos" w:hAnsi="Aptos"/>
          <w:szCs w:val="22"/>
        </w:rPr>
        <w:t>Hull, J. C.</w:t>
      </w:r>
      <w:r w:rsidRPr="00E36ADC">
        <w:t xml:space="preserve"> </w:t>
      </w:r>
      <w:r w:rsidRPr="000951EE">
        <w:rPr>
          <w:rStyle w:val="Emphasis"/>
          <w:rFonts w:ascii="Aptos" w:hAnsi="Aptos"/>
          <w:szCs w:val="22"/>
        </w:rPr>
        <w:t>Options, Futures, and Other Derivatives</w:t>
      </w:r>
      <w:r w:rsidRPr="00E36ADC">
        <w:t xml:space="preserve"> (10th ed.). Pearson Education. </w:t>
      </w:r>
      <w:r w:rsidRPr="000951EE">
        <w:rPr>
          <w:rStyle w:val="Emphasis"/>
          <w:rFonts w:ascii="Aptos" w:hAnsi="Aptos"/>
          <w:szCs w:val="22"/>
        </w:rPr>
        <w:t>(Reference for risk/return and Sharpe ratio concepts.)</w:t>
      </w:r>
    </w:p>
    <w:p w14:paraId="3727BEAD" w14:textId="77777777" w:rsidR="00303BF5" w:rsidRDefault="00303BF5" w:rsidP="00846B7F"/>
    <w:p w14:paraId="0C141BDD" w14:textId="77777777" w:rsidR="00E43265" w:rsidRDefault="00E43265" w:rsidP="00846B7F"/>
    <w:p w14:paraId="15B51FD2" w14:textId="77777777" w:rsidR="00E42878" w:rsidRDefault="00E42878" w:rsidP="00846B7F"/>
    <w:p w14:paraId="6D625EDB" w14:textId="77777777" w:rsidR="00E42878" w:rsidRDefault="00E42878" w:rsidP="00846B7F"/>
    <w:p w14:paraId="338552FE" w14:textId="77777777" w:rsidR="00E42878" w:rsidRDefault="00E42878" w:rsidP="00846B7F"/>
    <w:p w14:paraId="56F9B103" w14:textId="73F93D5D" w:rsidR="00846B7F" w:rsidRDefault="00846B7F" w:rsidP="00846B7F">
      <w:pPr>
        <w:pStyle w:val="Heading1"/>
      </w:pPr>
      <w:bookmarkStart w:id="10" w:name="_Toc212322831"/>
      <w:r>
        <w:lastRenderedPageBreak/>
        <w:t>Appendix</w:t>
      </w:r>
      <w:bookmarkEnd w:id="10"/>
    </w:p>
    <w:p w14:paraId="77E6933D" w14:textId="56A2D80E" w:rsidR="00BA72F9" w:rsidRDefault="00BA72F9" w:rsidP="00BA72F9">
      <w:pPr>
        <w:pStyle w:val="ListParagraph"/>
        <w:numPr>
          <w:ilvl w:val="0"/>
          <w:numId w:val="13"/>
        </w:numPr>
      </w:pPr>
      <w:r>
        <w:t>See “Group6_Project1_FIN 6307.501.xlsx” for tabular outputs</w:t>
      </w:r>
    </w:p>
    <w:p w14:paraId="3DFCEF9F" w14:textId="6EF059AB" w:rsidR="00D0344C" w:rsidRDefault="00D0344C" w:rsidP="00BA72F9">
      <w:pPr>
        <w:pStyle w:val="ListParagraph"/>
        <w:numPr>
          <w:ilvl w:val="0"/>
          <w:numId w:val="13"/>
        </w:numPr>
      </w:pPr>
      <w:r>
        <w:t xml:space="preserve">See “Group6_Project1_FIN 6307.50_Code.pdf” for </w:t>
      </w:r>
      <w:r w:rsidR="004F530B">
        <w:t>code review</w:t>
      </w:r>
    </w:p>
    <w:p w14:paraId="47F3C25C" w14:textId="15F844BB" w:rsidR="00BA72F9" w:rsidRPr="00BA72F9" w:rsidRDefault="00D0344C" w:rsidP="00BA72F9">
      <w:pPr>
        <w:pStyle w:val="ListParagraph"/>
        <w:numPr>
          <w:ilvl w:val="0"/>
          <w:numId w:val="13"/>
        </w:numPr>
      </w:pPr>
      <w:r>
        <w:t xml:space="preserve">See “Group6_Project1_FIN 6307.50_CodePackage.zip” for complete code and input files </w:t>
      </w:r>
      <w:r w:rsidR="00D23241">
        <w:t>packaged together</w:t>
      </w:r>
    </w:p>
    <w:sectPr w:rsidR="00BA72F9" w:rsidRPr="00BA72F9" w:rsidSect="00BC5A36">
      <w:footerReference w:type="defaul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7507AE" w14:textId="77777777" w:rsidR="00660B3D" w:rsidRDefault="00660B3D" w:rsidP="00BC5A36">
      <w:pPr>
        <w:spacing w:after="0" w:line="240" w:lineRule="auto"/>
      </w:pPr>
      <w:r>
        <w:separator/>
      </w:r>
    </w:p>
  </w:endnote>
  <w:endnote w:type="continuationSeparator" w:id="0">
    <w:p w14:paraId="55461E34" w14:textId="77777777" w:rsidR="00660B3D" w:rsidRDefault="00660B3D" w:rsidP="00BC5A36">
      <w:pPr>
        <w:spacing w:after="0" w:line="240" w:lineRule="auto"/>
      </w:pPr>
      <w:r>
        <w:continuationSeparator/>
      </w:r>
    </w:p>
  </w:endnote>
  <w:endnote w:type="continuationNotice" w:id="1">
    <w:p w14:paraId="1F085905" w14:textId="77777777" w:rsidR="00660B3D" w:rsidRDefault="00660B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78B87" w14:textId="7C26B9CD" w:rsidR="00BC5A36" w:rsidRDefault="00BC5A36" w:rsidP="00BC5A36">
    <w:pPr>
      <w:pStyle w:val="Footer"/>
      <w:jc w:val="center"/>
    </w:pPr>
    <w:r>
      <w:rPr>
        <w:noProof/>
      </w:rPr>
      <w:drawing>
        <wp:inline distT="0" distB="0" distL="0" distR="0" wp14:anchorId="74B2F05F" wp14:editId="0FBC52F1">
          <wp:extent cx="274320" cy="205740"/>
          <wp:effectExtent l="0" t="0" r="0" b="0"/>
          <wp:docPr id="1423250224" name="Picture 1" descr="A logo with orange lett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74320" cy="20574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B92DA" w14:textId="23140F7B" w:rsidR="00BC5A36" w:rsidRDefault="00BC5A36" w:rsidP="00563C81">
    <w:pPr>
      <w:pStyle w:val="Footer"/>
      <w:jc w:val="center"/>
    </w:pPr>
    <w:r w:rsidRPr="00941D8E">
      <w:rPr>
        <w:noProof/>
      </w:rPr>
      <w:drawing>
        <wp:inline distT="0" distB="0" distL="0" distR="0" wp14:anchorId="53A29FCC" wp14:editId="1AC1EC37">
          <wp:extent cx="4572000" cy="403351"/>
          <wp:effectExtent l="0" t="0" r="0" b="3175"/>
          <wp:docPr id="70190574" name="Picture 1" descr="A black background with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07541" name="Picture 1" descr="A black background with orange letters&#10;&#10;Description automatically generated"/>
                  <pic:cNvPicPr/>
                </pic:nvPicPr>
                <pic:blipFill rotWithShape="1">
                  <a:blip r:embed="rId1"/>
                  <a:srcRect t="25759" b="23488"/>
                  <a:stretch/>
                </pic:blipFill>
                <pic:spPr bwMode="auto">
                  <a:xfrm>
                    <a:off x="0" y="0"/>
                    <a:ext cx="4572000" cy="403351"/>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5D4E61" w14:textId="77777777" w:rsidR="00660B3D" w:rsidRDefault="00660B3D" w:rsidP="00BC5A36">
      <w:pPr>
        <w:spacing w:after="0" w:line="240" w:lineRule="auto"/>
      </w:pPr>
      <w:r>
        <w:separator/>
      </w:r>
    </w:p>
  </w:footnote>
  <w:footnote w:type="continuationSeparator" w:id="0">
    <w:p w14:paraId="33926EA9" w14:textId="77777777" w:rsidR="00660B3D" w:rsidRDefault="00660B3D" w:rsidP="00BC5A36">
      <w:pPr>
        <w:spacing w:after="0" w:line="240" w:lineRule="auto"/>
      </w:pPr>
      <w:r>
        <w:continuationSeparator/>
      </w:r>
    </w:p>
  </w:footnote>
  <w:footnote w:type="continuationNotice" w:id="1">
    <w:p w14:paraId="4BD0DD7D" w14:textId="77777777" w:rsidR="00660B3D" w:rsidRDefault="00660B3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A65C5"/>
    <w:multiLevelType w:val="hybridMultilevel"/>
    <w:tmpl w:val="ED8C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5D5671"/>
    <w:multiLevelType w:val="hybridMultilevel"/>
    <w:tmpl w:val="8FF08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87417A"/>
    <w:multiLevelType w:val="hybridMultilevel"/>
    <w:tmpl w:val="4008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EF5A4C"/>
    <w:multiLevelType w:val="hybridMultilevel"/>
    <w:tmpl w:val="C0A4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2273CC"/>
    <w:multiLevelType w:val="hybridMultilevel"/>
    <w:tmpl w:val="4948C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6F23C1"/>
    <w:multiLevelType w:val="hybridMultilevel"/>
    <w:tmpl w:val="5902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565272"/>
    <w:multiLevelType w:val="hybridMultilevel"/>
    <w:tmpl w:val="2D8843E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63481E5D"/>
    <w:multiLevelType w:val="hybridMultilevel"/>
    <w:tmpl w:val="1398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4F5303"/>
    <w:multiLevelType w:val="hybridMultilevel"/>
    <w:tmpl w:val="DF1A7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452CC1"/>
    <w:multiLevelType w:val="hybridMultilevel"/>
    <w:tmpl w:val="570E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1F5A56"/>
    <w:multiLevelType w:val="hybridMultilevel"/>
    <w:tmpl w:val="18FAB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EA0CC8"/>
    <w:multiLevelType w:val="hybridMultilevel"/>
    <w:tmpl w:val="942E3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901558"/>
    <w:multiLevelType w:val="hybridMultilevel"/>
    <w:tmpl w:val="12EE8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9558718">
    <w:abstractNumId w:val="11"/>
  </w:num>
  <w:num w:numId="2" w16cid:durableId="724835801">
    <w:abstractNumId w:val="2"/>
  </w:num>
  <w:num w:numId="3" w16cid:durableId="1259099203">
    <w:abstractNumId w:val="4"/>
  </w:num>
  <w:num w:numId="4" w16cid:durableId="1685789257">
    <w:abstractNumId w:val="1"/>
  </w:num>
  <w:num w:numId="5" w16cid:durableId="1604190410">
    <w:abstractNumId w:val="12"/>
  </w:num>
  <w:num w:numId="6" w16cid:durableId="135612626">
    <w:abstractNumId w:val="9"/>
  </w:num>
  <w:num w:numId="7" w16cid:durableId="730544821">
    <w:abstractNumId w:val="8"/>
  </w:num>
  <w:num w:numId="8" w16cid:durableId="1604266265">
    <w:abstractNumId w:val="7"/>
  </w:num>
  <w:num w:numId="9" w16cid:durableId="876552847">
    <w:abstractNumId w:val="10"/>
  </w:num>
  <w:num w:numId="10" w16cid:durableId="1805540650">
    <w:abstractNumId w:val="6"/>
  </w:num>
  <w:num w:numId="11" w16cid:durableId="155997057">
    <w:abstractNumId w:val="3"/>
  </w:num>
  <w:num w:numId="12" w16cid:durableId="976107548">
    <w:abstractNumId w:val="5"/>
  </w:num>
  <w:num w:numId="13" w16cid:durableId="88430407">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8AB"/>
    <w:rsid w:val="0000139C"/>
    <w:rsid w:val="00002C57"/>
    <w:rsid w:val="00004034"/>
    <w:rsid w:val="00006505"/>
    <w:rsid w:val="00010E8F"/>
    <w:rsid w:val="0001352F"/>
    <w:rsid w:val="0001528A"/>
    <w:rsid w:val="000203E9"/>
    <w:rsid w:val="00021EC6"/>
    <w:rsid w:val="00022988"/>
    <w:rsid w:val="00024A96"/>
    <w:rsid w:val="00026D8E"/>
    <w:rsid w:val="00033478"/>
    <w:rsid w:val="00034B54"/>
    <w:rsid w:val="00036060"/>
    <w:rsid w:val="00037002"/>
    <w:rsid w:val="000374DF"/>
    <w:rsid w:val="00037D21"/>
    <w:rsid w:val="0004002D"/>
    <w:rsid w:val="00041283"/>
    <w:rsid w:val="00042732"/>
    <w:rsid w:val="0004394D"/>
    <w:rsid w:val="00043C74"/>
    <w:rsid w:val="00045408"/>
    <w:rsid w:val="00052064"/>
    <w:rsid w:val="00052F6B"/>
    <w:rsid w:val="0005411F"/>
    <w:rsid w:val="00055B17"/>
    <w:rsid w:val="00057A72"/>
    <w:rsid w:val="000611A3"/>
    <w:rsid w:val="000616C9"/>
    <w:rsid w:val="00061F42"/>
    <w:rsid w:val="00061F87"/>
    <w:rsid w:val="000647FE"/>
    <w:rsid w:val="00064A3B"/>
    <w:rsid w:val="000652C0"/>
    <w:rsid w:val="0006693B"/>
    <w:rsid w:val="00067170"/>
    <w:rsid w:val="00072120"/>
    <w:rsid w:val="00072AC3"/>
    <w:rsid w:val="00072B23"/>
    <w:rsid w:val="0007392B"/>
    <w:rsid w:val="00074DA8"/>
    <w:rsid w:val="00082DEB"/>
    <w:rsid w:val="000846CB"/>
    <w:rsid w:val="000846E3"/>
    <w:rsid w:val="00084A1E"/>
    <w:rsid w:val="00084B1F"/>
    <w:rsid w:val="00085ACF"/>
    <w:rsid w:val="000865DF"/>
    <w:rsid w:val="00086AD4"/>
    <w:rsid w:val="0009349A"/>
    <w:rsid w:val="00093921"/>
    <w:rsid w:val="0009481A"/>
    <w:rsid w:val="00094923"/>
    <w:rsid w:val="000951EE"/>
    <w:rsid w:val="0009637F"/>
    <w:rsid w:val="000A1260"/>
    <w:rsid w:val="000A1AFC"/>
    <w:rsid w:val="000A44DE"/>
    <w:rsid w:val="000A68B9"/>
    <w:rsid w:val="000A6F39"/>
    <w:rsid w:val="000A7FD2"/>
    <w:rsid w:val="000B25A8"/>
    <w:rsid w:val="000B2B23"/>
    <w:rsid w:val="000B33D9"/>
    <w:rsid w:val="000B39CF"/>
    <w:rsid w:val="000B4105"/>
    <w:rsid w:val="000B65E0"/>
    <w:rsid w:val="000B7165"/>
    <w:rsid w:val="000B73E0"/>
    <w:rsid w:val="000B78D1"/>
    <w:rsid w:val="000B7B41"/>
    <w:rsid w:val="000B7D55"/>
    <w:rsid w:val="000B7EE2"/>
    <w:rsid w:val="000C45DD"/>
    <w:rsid w:val="000C4B19"/>
    <w:rsid w:val="000C738E"/>
    <w:rsid w:val="000C75ED"/>
    <w:rsid w:val="000D08D8"/>
    <w:rsid w:val="000D0B7C"/>
    <w:rsid w:val="000D507C"/>
    <w:rsid w:val="000E2778"/>
    <w:rsid w:val="000E3215"/>
    <w:rsid w:val="000E3775"/>
    <w:rsid w:val="000E4E74"/>
    <w:rsid w:val="000E53DD"/>
    <w:rsid w:val="000E6FC5"/>
    <w:rsid w:val="000E7F9E"/>
    <w:rsid w:val="000F0E03"/>
    <w:rsid w:val="000F25D6"/>
    <w:rsid w:val="000F439F"/>
    <w:rsid w:val="000F5B78"/>
    <w:rsid w:val="000F7BA8"/>
    <w:rsid w:val="00101094"/>
    <w:rsid w:val="0010214D"/>
    <w:rsid w:val="001040C6"/>
    <w:rsid w:val="001046CD"/>
    <w:rsid w:val="00105489"/>
    <w:rsid w:val="00105F16"/>
    <w:rsid w:val="00111D36"/>
    <w:rsid w:val="00112908"/>
    <w:rsid w:val="001150F3"/>
    <w:rsid w:val="00116778"/>
    <w:rsid w:val="00117FAC"/>
    <w:rsid w:val="00120402"/>
    <w:rsid w:val="001207A6"/>
    <w:rsid w:val="0012449C"/>
    <w:rsid w:val="00124DF7"/>
    <w:rsid w:val="00131768"/>
    <w:rsid w:val="001317A1"/>
    <w:rsid w:val="00132409"/>
    <w:rsid w:val="00132D4C"/>
    <w:rsid w:val="001334DD"/>
    <w:rsid w:val="00134E36"/>
    <w:rsid w:val="00137D54"/>
    <w:rsid w:val="001402DF"/>
    <w:rsid w:val="00140DF5"/>
    <w:rsid w:val="00142305"/>
    <w:rsid w:val="00144142"/>
    <w:rsid w:val="00144A42"/>
    <w:rsid w:val="00145EFC"/>
    <w:rsid w:val="001464D5"/>
    <w:rsid w:val="00146905"/>
    <w:rsid w:val="00150332"/>
    <w:rsid w:val="001514C6"/>
    <w:rsid w:val="001546E1"/>
    <w:rsid w:val="001562AF"/>
    <w:rsid w:val="00156CEC"/>
    <w:rsid w:val="00160281"/>
    <w:rsid w:val="00160CAB"/>
    <w:rsid w:val="0016116D"/>
    <w:rsid w:val="0016237A"/>
    <w:rsid w:val="00164C05"/>
    <w:rsid w:val="00164DB6"/>
    <w:rsid w:val="00165643"/>
    <w:rsid w:val="001720ED"/>
    <w:rsid w:val="0017357D"/>
    <w:rsid w:val="00174DB2"/>
    <w:rsid w:val="0017516C"/>
    <w:rsid w:val="00182A66"/>
    <w:rsid w:val="001857D7"/>
    <w:rsid w:val="00185B5A"/>
    <w:rsid w:val="00187A94"/>
    <w:rsid w:val="001910B7"/>
    <w:rsid w:val="001910F9"/>
    <w:rsid w:val="00191CEA"/>
    <w:rsid w:val="00193227"/>
    <w:rsid w:val="001942A9"/>
    <w:rsid w:val="001956FF"/>
    <w:rsid w:val="00195E33"/>
    <w:rsid w:val="00197500"/>
    <w:rsid w:val="00197FA4"/>
    <w:rsid w:val="001A0AAF"/>
    <w:rsid w:val="001A121F"/>
    <w:rsid w:val="001A1782"/>
    <w:rsid w:val="001A1826"/>
    <w:rsid w:val="001A5E59"/>
    <w:rsid w:val="001B0722"/>
    <w:rsid w:val="001B4556"/>
    <w:rsid w:val="001B6480"/>
    <w:rsid w:val="001C1B86"/>
    <w:rsid w:val="001C1C84"/>
    <w:rsid w:val="001C1E7B"/>
    <w:rsid w:val="001C356F"/>
    <w:rsid w:val="001C459C"/>
    <w:rsid w:val="001C759C"/>
    <w:rsid w:val="001D552A"/>
    <w:rsid w:val="001D5D8D"/>
    <w:rsid w:val="001D613D"/>
    <w:rsid w:val="001D6D97"/>
    <w:rsid w:val="001E0AA6"/>
    <w:rsid w:val="001E0AAA"/>
    <w:rsid w:val="001E410E"/>
    <w:rsid w:val="001E65C1"/>
    <w:rsid w:val="001E721A"/>
    <w:rsid w:val="001E7D51"/>
    <w:rsid w:val="001F1235"/>
    <w:rsid w:val="001F1593"/>
    <w:rsid w:val="001F1A02"/>
    <w:rsid w:val="001F2F8E"/>
    <w:rsid w:val="002005AE"/>
    <w:rsid w:val="00201DD2"/>
    <w:rsid w:val="002020DE"/>
    <w:rsid w:val="002027AF"/>
    <w:rsid w:val="00205258"/>
    <w:rsid w:val="00211EE0"/>
    <w:rsid w:val="0021285D"/>
    <w:rsid w:val="00212BEF"/>
    <w:rsid w:val="00216813"/>
    <w:rsid w:val="0022003D"/>
    <w:rsid w:val="00221DD9"/>
    <w:rsid w:val="00221FA2"/>
    <w:rsid w:val="00224060"/>
    <w:rsid w:val="00224E1D"/>
    <w:rsid w:val="002254ED"/>
    <w:rsid w:val="002259A5"/>
    <w:rsid w:val="00225D4D"/>
    <w:rsid w:val="00231B7B"/>
    <w:rsid w:val="0023399A"/>
    <w:rsid w:val="00233B86"/>
    <w:rsid w:val="00235AE9"/>
    <w:rsid w:val="002378B6"/>
    <w:rsid w:val="00241EC3"/>
    <w:rsid w:val="002424F1"/>
    <w:rsid w:val="0024283B"/>
    <w:rsid w:val="0024328F"/>
    <w:rsid w:val="00244622"/>
    <w:rsid w:val="002447AE"/>
    <w:rsid w:val="00246DD8"/>
    <w:rsid w:val="00247ABD"/>
    <w:rsid w:val="0025288C"/>
    <w:rsid w:val="00252A39"/>
    <w:rsid w:val="00252F0C"/>
    <w:rsid w:val="00252FAF"/>
    <w:rsid w:val="002539DB"/>
    <w:rsid w:val="00254EC8"/>
    <w:rsid w:val="00256E7A"/>
    <w:rsid w:val="00257AB0"/>
    <w:rsid w:val="0026096C"/>
    <w:rsid w:val="00261587"/>
    <w:rsid w:val="00262054"/>
    <w:rsid w:val="002628CE"/>
    <w:rsid w:val="002631E8"/>
    <w:rsid w:val="002637FE"/>
    <w:rsid w:val="00263CB5"/>
    <w:rsid w:val="00264B59"/>
    <w:rsid w:val="00265A49"/>
    <w:rsid w:val="002669E1"/>
    <w:rsid w:val="00272FAE"/>
    <w:rsid w:val="00273F5D"/>
    <w:rsid w:val="00274BCE"/>
    <w:rsid w:val="00275298"/>
    <w:rsid w:val="00280ACE"/>
    <w:rsid w:val="002828C5"/>
    <w:rsid w:val="002859B4"/>
    <w:rsid w:val="00287DB8"/>
    <w:rsid w:val="002947DF"/>
    <w:rsid w:val="00294B5F"/>
    <w:rsid w:val="002957AB"/>
    <w:rsid w:val="002A276A"/>
    <w:rsid w:val="002A2E2B"/>
    <w:rsid w:val="002A452D"/>
    <w:rsid w:val="002A4B00"/>
    <w:rsid w:val="002A55C5"/>
    <w:rsid w:val="002A5B71"/>
    <w:rsid w:val="002A608A"/>
    <w:rsid w:val="002A65B1"/>
    <w:rsid w:val="002A7AF3"/>
    <w:rsid w:val="002B0397"/>
    <w:rsid w:val="002B1221"/>
    <w:rsid w:val="002B1236"/>
    <w:rsid w:val="002B181D"/>
    <w:rsid w:val="002B3794"/>
    <w:rsid w:val="002C0368"/>
    <w:rsid w:val="002C4179"/>
    <w:rsid w:val="002C49C9"/>
    <w:rsid w:val="002C4AFF"/>
    <w:rsid w:val="002C4BF0"/>
    <w:rsid w:val="002C52E6"/>
    <w:rsid w:val="002C76F5"/>
    <w:rsid w:val="002D018C"/>
    <w:rsid w:val="002D1195"/>
    <w:rsid w:val="002D1F49"/>
    <w:rsid w:val="002D23FC"/>
    <w:rsid w:val="002D313D"/>
    <w:rsid w:val="002D3984"/>
    <w:rsid w:val="002D449C"/>
    <w:rsid w:val="002D599F"/>
    <w:rsid w:val="002D688F"/>
    <w:rsid w:val="002D7E39"/>
    <w:rsid w:val="002D7F6E"/>
    <w:rsid w:val="002E0C8C"/>
    <w:rsid w:val="002E0CDA"/>
    <w:rsid w:val="002E22BF"/>
    <w:rsid w:val="002E2850"/>
    <w:rsid w:val="002E342F"/>
    <w:rsid w:val="002E3840"/>
    <w:rsid w:val="002E3EE9"/>
    <w:rsid w:val="002E4741"/>
    <w:rsid w:val="002E5259"/>
    <w:rsid w:val="002E533F"/>
    <w:rsid w:val="002E621D"/>
    <w:rsid w:val="002E626D"/>
    <w:rsid w:val="002E763B"/>
    <w:rsid w:val="002F2232"/>
    <w:rsid w:val="002F2EAC"/>
    <w:rsid w:val="002F335A"/>
    <w:rsid w:val="002F43CA"/>
    <w:rsid w:val="002F58C8"/>
    <w:rsid w:val="003004F8"/>
    <w:rsid w:val="00301B00"/>
    <w:rsid w:val="00303BF5"/>
    <w:rsid w:val="00306F53"/>
    <w:rsid w:val="00307B0B"/>
    <w:rsid w:val="0031017B"/>
    <w:rsid w:val="00310E5E"/>
    <w:rsid w:val="003136F4"/>
    <w:rsid w:val="003140A0"/>
    <w:rsid w:val="003149A2"/>
    <w:rsid w:val="00315EBF"/>
    <w:rsid w:val="003161F9"/>
    <w:rsid w:val="00316AF4"/>
    <w:rsid w:val="00316F1D"/>
    <w:rsid w:val="00320FA1"/>
    <w:rsid w:val="00321316"/>
    <w:rsid w:val="003232F2"/>
    <w:rsid w:val="00324A9B"/>
    <w:rsid w:val="00324FDF"/>
    <w:rsid w:val="003313E4"/>
    <w:rsid w:val="00331FC8"/>
    <w:rsid w:val="00333AC3"/>
    <w:rsid w:val="00335605"/>
    <w:rsid w:val="00335E60"/>
    <w:rsid w:val="00340DF0"/>
    <w:rsid w:val="0034351D"/>
    <w:rsid w:val="0034742A"/>
    <w:rsid w:val="00351E94"/>
    <w:rsid w:val="00353579"/>
    <w:rsid w:val="00357F02"/>
    <w:rsid w:val="00364866"/>
    <w:rsid w:val="00370183"/>
    <w:rsid w:val="003706D4"/>
    <w:rsid w:val="00371E72"/>
    <w:rsid w:val="00372A87"/>
    <w:rsid w:val="0038011E"/>
    <w:rsid w:val="00382138"/>
    <w:rsid w:val="0038371A"/>
    <w:rsid w:val="00384AA0"/>
    <w:rsid w:val="00385942"/>
    <w:rsid w:val="00386F12"/>
    <w:rsid w:val="00390702"/>
    <w:rsid w:val="00390A85"/>
    <w:rsid w:val="00392064"/>
    <w:rsid w:val="003938A1"/>
    <w:rsid w:val="003939B6"/>
    <w:rsid w:val="00393B70"/>
    <w:rsid w:val="003954EB"/>
    <w:rsid w:val="0039616B"/>
    <w:rsid w:val="00396F15"/>
    <w:rsid w:val="00397F1B"/>
    <w:rsid w:val="003A08A2"/>
    <w:rsid w:val="003A1B2A"/>
    <w:rsid w:val="003A1E3D"/>
    <w:rsid w:val="003A4149"/>
    <w:rsid w:val="003A4BE5"/>
    <w:rsid w:val="003A68DC"/>
    <w:rsid w:val="003A7B62"/>
    <w:rsid w:val="003B0C49"/>
    <w:rsid w:val="003B14CC"/>
    <w:rsid w:val="003B393D"/>
    <w:rsid w:val="003B3C72"/>
    <w:rsid w:val="003B4A4D"/>
    <w:rsid w:val="003B573C"/>
    <w:rsid w:val="003B7161"/>
    <w:rsid w:val="003C1896"/>
    <w:rsid w:val="003C1D50"/>
    <w:rsid w:val="003C2900"/>
    <w:rsid w:val="003C2E31"/>
    <w:rsid w:val="003C34CD"/>
    <w:rsid w:val="003C4011"/>
    <w:rsid w:val="003C58F2"/>
    <w:rsid w:val="003C75E8"/>
    <w:rsid w:val="003C7FE5"/>
    <w:rsid w:val="003D1EE4"/>
    <w:rsid w:val="003D271A"/>
    <w:rsid w:val="003D319C"/>
    <w:rsid w:val="003D5C61"/>
    <w:rsid w:val="003D777A"/>
    <w:rsid w:val="003E0032"/>
    <w:rsid w:val="003E02BB"/>
    <w:rsid w:val="003E362F"/>
    <w:rsid w:val="003E386E"/>
    <w:rsid w:val="003E3961"/>
    <w:rsid w:val="003E525D"/>
    <w:rsid w:val="003E7514"/>
    <w:rsid w:val="003F1A88"/>
    <w:rsid w:val="003F2A60"/>
    <w:rsid w:val="003F2A8A"/>
    <w:rsid w:val="003F4292"/>
    <w:rsid w:val="003F5005"/>
    <w:rsid w:val="003F5982"/>
    <w:rsid w:val="003F76A4"/>
    <w:rsid w:val="00401121"/>
    <w:rsid w:val="00402167"/>
    <w:rsid w:val="004031A9"/>
    <w:rsid w:val="004045BF"/>
    <w:rsid w:val="00404F14"/>
    <w:rsid w:val="00405A19"/>
    <w:rsid w:val="00406957"/>
    <w:rsid w:val="0040735B"/>
    <w:rsid w:val="00407461"/>
    <w:rsid w:val="004126C9"/>
    <w:rsid w:val="004139A1"/>
    <w:rsid w:val="00417847"/>
    <w:rsid w:val="00421988"/>
    <w:rsid w:val="0042202C"/>
    <w:rsid w:val="00422BB3"/>
    <w:rsid w:val="004237CB"/>
    <w:rsid w:val="00423BED"/>
    <w:rsid w:val="00424568"/>
    <w:rsid w:val="004258E2"/>
    <w:rsid w:val="00425A5E"/>
    <w:rsid w:val="0042620E"/>
    <w:rsid w:val="00426E01"/>
    <w:rsid w:val="0042796E"/>
    <w:rsid w:val="0043121F"/>
    <w:rsid w:val="00431C9B"/>
    <w:rsid w:val="00432E45"/>
    <w:rsid w:val="00435A14"/>
    <w:rsid w:val="004372CA"/>
    <w:rsid w:val="004409D1"/>
    <w:rsid w:val="00440A9F"/>
    <w:rsid w:val="00442480"/>
    <w:rsid w:val="00443720"/>
    <w:rsid w:val="004443E0"/>
    <w:rsid w:val="0045024C"/>
    <w:rsid w:val="00452C87"/>
    <w:rsid w:val="004532CB"/>
    <w:rsid w:val="00453EDD"/>
    <w:rsid w:val="0045461B"/>
    <w:rsid w:val="00454661"/>
    <w:rsid w:val="0045537A"/>
    <w:rsid w:val="00455F02"/>
    <w:rsid w:val="00461738"/>
    <w:rsid w:val="00464E5D"/>
    <w:rsid w:val="004650A5"/>
    <w:rsid w:val="00465B56"/>
    <w:rsid w:val="00465F29"/>
    <w:rsid w:val="00465FE4"/>
    <w:rsid w:val="0047145C"/>
    <w:rsid w:val="00471D3D"/>
    <w:rsid w:val="0047227F"/>
    <w:rsid w:val="004743B7"/>
    <w:rsid w:val="00476449"/>
    <w:rsid w:val="004768BF"/>
    <w:rsid w:val="00476D05"/>
    <w:rsid w:val="00480049"/>
    <w:rsid w:val="0048244B"/>
    <w:rsid w:val="0048302B"/>
    <w:rsid w:val="00485C11"/>
    <w:rsid w:val="004861E7"/>
    <w:rsid w:val="00486C90"/>
    <w:rsid w:val="00490ABA"/>
    <w:rsid w:val="00490EAB"/>
    <w:rsid w:val="00493461"/>
    <w:rsid w:val="004940BE"/>
    <w:rsid w:val="004958E9"/>
    <w:rsid w:val="00495CDE"/>
    <w:rsid w:val="004A50C1"/>
    <w:rsid w:val="004A6C31"/>
    <w:rsid w:val="004A743F"/>
    <w:rsid w:val="004B14F3"/>
    <w:rsid w:val="004B1BB0"/>
    <w:rsid w:val="004B3B99"/>
    <w:rsid w:val="004B59B7"/>
    <w:rsid w:val="004B62AA"/>
    <w:rsid w:val="004B66EB"/>
    <w:rsid w:val="004B6D22"/>
    <w:rsid w:val="004C1173"/>
    <w:rsid w:val="004C12C7"/>
    <w:rsid w:val="004C1706"/>
    <w:rsid w:val="004C3B51"/>
    <w:rsid w:val="004C3BC4"/>
    <w:rsid w:val="004C5CF7"/>
    <w:rsid w:val="004C61C7"/>
    <w:rsid w:val="004C75F7"/>
    <w:rsid w:val="004D107F"/>
    <w:rsid w:val="004D21CF"/>
    <w:rsid w:val="004D306C"/>
    <w:rsid w:val="004D39E8"/>
    <w:rsid w:val="004D49B6"/>
    <w:rsid w:val="004D73DF"/>
    <w:rsid w:val="004E1844"/>
    <w:rsid w:val="004E43E1"/>
    <w:rsid w:val="004F017D"/>
    <w:rsid w:val="004F037E"/>
    <w:rsid w:val="004F0489"/>
    <w:rsid w:val="004F095C"/>
    <w:rsid w:val="004F4FAA"/>
    <w:rsid w:val="004F530B"/>
    <w:rsid w:val="004F535D"/>
    <w:rsid w:val="004F6B58"/>
    <w:rsid w:val="004F6DF6"/>
    <w:rsid w:val="004F6ED8"/>
    <w:rsid w:val="004F709E"/>
    <w:rsid w:val="00504AE7"/>
    <w:rsid w:val="0050505C"/>
    <w:rsid w:val="00505155"/>
    <w:rsid w:val="0050663F"/>
    <w:rsid w:val="005066EA"/>
    <w:rsid w:val="005077D0"/>
    <w:rsid w:val="00507979"/>
    <w:rsid w:val="00512946"/>
    <w:rsid w:val="0051366A"/>
    <w:rsid w:val="00514766"/>
    <w:rsid w:val="00514830"/>
    <w:rsid w:val="00514D05"/>
    <w:rsid w:val="00515EC7"/>
    <w:rsid w:val="00520CC2"/>
    <w:rsid w:val="00521ADF"/>
    <w:rsid w:val="00522D11"/>
    <w:rsid w:val="00525210"/>
    <w:rsid w:val="00532156"/>
    <w:rsid w:val="005328A6"/>
    <w:rsid w:val="00533670"/>
    <w:rsid w:val="005360AA"/>
    <w:rsid w:val="005367EF"/>
    <w:rsid w:val="00541AFF"/>
    <w:rsid w:val="00541B27"/>
    <w:rsid w:val="00541B96"/>
    <w:rsid w:val="00543049"/>
    <w:rsid w:val="005442B4"/>
    <w:rsid w:val="0054638C"/>
    <w:rsid w:val="0055190B"/>
    <w:rsid w:val="00551E11"/>
    <w:rsid w:val="0055239F"/>
    <w:rsid w:val="00554405"/>
    <w:rsid w:val="00555B32"/>
    <w:rsid w:val="0055665B"/>
    <w:rsid w:val="0056051D"/>
    <w:rsid w:val="00560959"/>
    <w:rsid w:val="00560B62"/>
    <w:rsid w:val="00563C81"/>
    <w:rsid w:val="005653FB"/>
    <w:rsid w:val="0056565D"/>
    <w:rsid w:val="0056658C"/>
    <w:rsid w:val="005668CC"/>
    <w:rsid w:val="0056753B"/>
    <w:rsid w:val="00567C22"/>
    <w:rsid w:val="00567D72"/>
    <w:rsid w:val="005704D3"/>
    <w:rsid w:val="00571A11"/>
    <w:rsid w:val="00572F3F"/>
    <w:rsid w:val="0057520A"/>
    <w:rsid w:val="00577F99"/>
    <w:rsid w:val="00577F9B"/>
    <w:rsid w:val="00580100"/>
    <w:rsid w:val="00582E1F"/>
    <w:rsid w:val="0058445E"/>
    <w:rsid w:val="00585927"/>
    <w:rsid w:val="00585C05"/>
    <w:rsid w:val="00590683"/>
    <w:rsid w:val="00590720"/>
    <w:rsid w:val="005908FF"/>
    <w:rsid w:val="0059172C"/>
    <w:rsid w:val="00592379"/>
    <w:rsid w:val="005938A2"/>
    <w:rsid w:val="0059558D"/>
    <w:rsid w:val="005A188C"/>
    <w:rsid w:val="005A237D"/>
    <w:rsid w:val="005A3B32"/>
    <w:rsid w:val="005A3BD5"/>
    <w:rsid w:val="005A3D0B"/>
    <w:rsid w:val="005A55D8"/>
    <w:rsid w:val="005A6BA3"/>
    <w:rsid w:val="005A7737"/>
    <w:rsid w:val="005B124D"/>
    <w:rsid w:val="005B2B13"/>
    <w:rsid w:val="005B471F"/>
    <w:rsid w:val="005B50CC"/>
    <w:rsid w:val="005B78F3"/>
    <w:rsid w:val="005C0F85"/>
    <w:rsid w:val="005C39C2"/>
    <w:rsid w:val="005C3C92"/>
    <w:rsid w:val="005C46FC"/>
    <w:rsid w:val="005C4E37"/>
    <w:rsid w:val="005C5816"/>
    <w:rsid w:val="005C6B7F"/>
    <w:rsid w:val="005C6E53"/>
    <w:rsid w:val="005C78F8"/>
    <w:rsid w:val="005D05F8"/>
    <w:rsid w:val="005D07CB"/>
    <w:rsid w:val="005D0DB3"/>
    <w:rsid w:val="005D23CE"/>
    <w:rsid w:val="005D477A"/>
    <w:rsid w:val="005D55BD"/>
    <w:rsid w:val="005D6522"/>
    <w:rsid w:val="005D6D92"/>
    <w:rsid w:val="005E1420"/>
    <w:rsid w:val="005E1B6D"/>
    <w:rsid w:val="005E27E8"/>
    <w:rsid w:val="005E40E4"/>
    <w:rsid w:val="005E6193"/>
    <w:rsid w:val="005E6B96"/>
    <w:rsid w:val="005E6BF7"/>
    <w:rsid w:val="005F169D"/>
    <w:rsid w:val="005F2135"/>
    <w:rsid w:val="005F2C41"/>
    <w:rsid w:val="005F3300"/>
    <w:rsid w:val="005F4819"/>
    <w:rsid w:val="005F4C4F"/>
    <w:rsid w:val="005F4E2C"/>
    <w:rsid w:val="005F6C39"/>
    <w:rsid w:val="005F6F9F"/>
    <w:rsid w:val="005F72EB"/>
    <w:rsid w:val="005F789E"/>
    <w:rsid w:val="006006FE"/>
    <w:rsid w:val="00601C55"/>
    <w:rsid w:val="00601E2B"/>
    <w:rsid w:val="00602E6B"/>
    <w:rsid w:val="006045E9"/>
    <w:rsid w:val="0060525E"/>
    <w:rsid w:val="00607A35"/>
    <w:rsid w:val="00610B0F"/>
    <w:rsid w:val="00610C7B"/>
    <w:rsid w:val="006110B1"/>
    <w:rsid w:val="00611657"/>
    <w:rsid w:val="00611FEE"/>
    <w:rsid w:val="00614255"/>
    <w:rsid w:val="00614C19"/>
    <w:rsid w:val="00622233"/>
    <w:rsid w:val="00622557"/>
    <w:rsid w:val="00623464"/>
    <w:rsid w:val="00624D01"/>
    <w:rsid w:val="006328AA"/>
    <w:rsid w:val="0063355B"/>
    <w:rsid w:val="00637ED3"/>
    <w:rsid w:val="0064055E"/>
    <w:rsid w:val="0064139E"/>
    <w:rsid w:val="006441A8"/>
    <w:rsid w:val="00644AD9"/>
    <w:rsid w:val="00645543"/>
    <w:rsid w:val="00646F26"/>
    <w:rsid w:val="00647A6C"/>
    <w:rsid w:val="00650B63"/>
    <w:rsid w:val="00652EF5"/>
    <w:rsid w:val="00654371"/>
    <w:rsid w:val="006607C9"/>
    <w:rsid w:val="00660B3D"/>
    <w:rsid w:val="006612A5"/>
    <w:rsid w:val="00662C09"/>
    <w:rsid w:val="00663E97"/>
    <w:rsid w:val="006671FD"/>
    <w:rsid w:val="00670C7F"/>
    <w:rsid w:val="00670EDF"/>
    <w:rsid w:val="00672AF1"/>
    <w:rsid w:val="006757BF"/>
    <w:rsid w:val="0067767D"/>
    <w:rsid w:val="006802F7"/>
    <w:rsid w:val="00680574"/>
    <w:rsid w:val="0068345B"/>
    <w:rsid w:val="00685AB4"/>
    <w:rsid w:val="00686E09"/>
    <w:rsid w:val="00691ADC"/>
    <w:rsid w:val="00692118"/>
    <w:rsid w:val="00693B3C"/>
    <w:rsid w:val="006969E9"/>
    <w:rsid w:val="00696AE4"/>
    <w:rsid w:val="006A2739"/>
    <w:rsid w:val="006A3617"/>
    <w:rsid w:val="006A4DDF"/>
    <w:rsid w:val="006A7158"/>
    <w:rsid w:val="006B1169"/>
    <w:rsid w:val="006B2907"/>
    <w:rsid w:val="006B493C"/>
    <w:rsid w:val="006B727B"/>
    <w:rsid w:val="006B7E25"/>
    <w:rsid w:val="006C0963"/>
    <w:rsid w:val="006C134C"/>
    <w:rsid w:val="006C1CE0"/>
    <w:rsid w:val="006C55B8"/>
    <w:rsid w:val="006C5764"/>
    <w:rsid w:val="006C6725"/>
    <w:rsid w:val="006C69F8"/>
    <w:rsid w:val="006D0149"/>
    <w:rsid w:val="006D0C34"/>
    <w:rsid w:val="006D17F6"/>
    <w:rsid w:val="006D26EC"/>
    <w:rsid w:val="006D59B7"/>
    <w:rsid w:val="006D7B00"/>
    <w:rsid w:val="006E064D"/>
    <w:rsid w:val="006E11E7"/>
    <w:rsid w:val="006E1823"/>
    <w:rsid w:val="006E5BDE"/>
    <w:rsid w:val="006E5CDD"/>
    <w:rsid w:val="006F0D72"/>
    <w:rsid w:val="006F0D79"/>
    <w:rsid w:val="006F117B"/>
    <w:rsid w:val="006F1534"/>
    <w:rsid w:val="006F2671"/>
    <w:rsid w:val="006F3C54"/>
    <w:rsid w:val="006F51EA"/>
    <w:rsid w:val="006F65FE"/>
    <w:rsid w:val="00702936"/>
    <w:rsid w:val="00702AB2"/>
    <w:rsid w:val="00706CE6"/>
    <w:rsid w:val="00707AA0"/>
    <w:rsid w:val="00710111"/>
    <w:rsid w:val="007128CC"/>
    <w:rsid w:val="00715B98"/>
    <w:rsid w:val="00716115"/>
    <w:rsid w:val="007169BF"/>
    <w:rsid w:val="00717237"/>
    <w:rsid w:val="00717F30"/>
    <w:rsid w:val="00720FFF"/>
    <w:rsid w:val="00722F7A"/>
    <w:rsid w:val="007254E7"/>
    <w:rsid w:val="00725CE8"/>
    <w:rsid w:val="00727F8C"/>
    <w:rsid w:val="00730F3B"/>
    <w:rsid w:val="007334BA"/>
    <w:rsid w:val="00735919"/>
    <w:rsid w:val="00735D97"/>
    <w:rsid w:val="00736DA2"/>
    <w:rsid w:val="0074028E"/>
    <w:rsid w:val="00743C54"/>
    <w:rsid w:val="00743FEE"/>
    <w:rsid w:val="00745521"/>
    <w:rsid w:val="007469A0"/>
    <w:rsid w:val="0074703D"/>
    <w:rsid w:val="0075002D"/>
    <w:rsid w:val="007503D2"/>
    <w:rsid w:val="00753107"/>
    <w:rsid w:val="007538F8"/>
    <w:rsid w:val="00753CCE"/>
    <w:rsid w:val="00755A38"/>
    <w:rsid w:val="00756A2C"/>
    <w:rsid w:val="00760895"/>
    <w:rsid w:val="00760B80"/>
    <w:rsid w:val="00760FA3"/>
    <w:rsid w:val="0076103E"/>
    <w:rsid w:val="0076157A"/>
    <w:rsid w:val="007625DC"/>
    <w:rsid w:val="00763388"/>
    <w:rsid w:val="00766A04"/>
    <w:rsid w:val="00766FFE"/>
    <w:rsid w:val="00770D2E"/>
    <w:rsid w:val="00770FAF"/>
    <w:rsid w:val="00772999"/>
    <w:rsid w:val="00772F81"/>
    <w:rsid w:val="00776253"/>
    <w:rsid w:val="00776402"/>
    <w:rsid w:val="00777087"/>
    <w:rsid w:val="007804F2"/>
    <w:rsid w:val="00783973"/>
    <w:rsid w:val="00786E22"/>
    <w:rsid w:val="00790737"/>
    <w:rsid w:val="00793F20"/>
    <w:rsid w:val="00794395"/>
    <w:rsid w:val="007956AC"/>
    <w:rsid w:val="00797724"/>
    <w:rsid w:val="007A0D9E"/>
    <w:rsid w:val="007A3A61"/>
    <w:rsid w:val="007A5E35"/>
    <w:rsid w:val="007A692D"/>
    <w:rsid w:val="007A6B30"/>
    <w:rsid w:val="007A7B48"/>
    <w:rsid w:val="007A7F9A"/>
    <w:rsid w:val="007B2425"/>
    <w:rsid w:val="007B38C5"/>
    <w:rsid w:val="007C11C4"/>
    <w:rsid w:val="007C32D3"/>
    <w:rsid w:val="007C4D22"/>
    <w:rsid w:val="007C70D8"/>
    <w:rsid w:val="007D059B"/>
    <w:rsid w:val="007D13AA"/>
    <w:rsid w:val="007D1F5F"/>
    <w:rsid w:val="007D3C91"/>
    <w:rsid w:val="007D3E83"/>
    <w:rsid w:val="007D7C1D"/>
    <w:rsid w:val="007E221B"/>
    <w:rsid w:val="007E3B7D"/>
    <w:rsid w:val="007E55A7"/>
    <w:rsid w:val="007E5CA9"/>
    <w:rsid w:val="007E616B"/>
    <w:rsid w:val="007F16B5"/>
    <w:rsid w:val="007F1976"/>
    <w:rsid w:val="007F1C5B"/>
    <w:rsid w:val="007F2632"/>
    <w:rsid w:val="007F2CAA"/>
    <w:rsid w:val="007F621C"/>
    <w:rsid w:val="007F777A"/>
    <w:rsid w:val="007F784F"/>
    <w:rsid w:val="007F7938"/>
    <w:rsid w:val="007F7A78"/>
    <w:rsid w:val="00803150"/>
    <w:rsid w:val="008041C2"/>
    <w:rsid w:val="00804FFE"/>
    <w:rsid w:val="00805A40"/>
    <w:rsid w:val="00806771"/>
    <w:rsid w:val="00806CA3"/>
    <w:rsid w:val="00807F86"/>
    <w:rsid w:val="00811321"/>
    <w:rsid w:val="00811329"/>
    <w:rsid w:val="00811567"/>
    <w:rsid w:val="00811856"/>
    <w:rsid w:val="00811A5A"/>
    <w:rsid w:val="0081208B"/>
    <w:rsid w:val="008146FA"/>
    <w:rsid w:val="0081611D"/>
    <w:rsid w:val="0082078F"/>
    <w:rsid w:val="00822E65"/>
    <w:rsid w:val="008245EF"/>
    <w:rsid w:val="00824ED1"/>
    <w:rsid w:val="008264C9"/>
    <w:rsid w:val="00826723"/>
    <w:rsid w:val="00826B62"/>
    <w:rsid w:val="00826FF8"/>
    <w:rsid w:val="00830626"/>
    <w:rsid w:val="00831E70"/>
    <w:rsid w:val="008367FB"/>
    <w:rsid w:val="00836FDA"/>
    <w:rsid w:val="00837D25"/>
    <w:rsid w:val="008441C6"/>
    <w:rsid w:val="00844990"/>
    <w:rsid w:val="00844CC3"/>
    <w:rsid w:val="00846B7F"/>
    <w:rsid w:val="00846F6B"/>
    <w:rsid w:val="00847967"/>
    <w:rsid w:val="00852E9B"/>
    <w:rsid w:val="0085454E"/>
    <w:rsid w:val="00854E12"/>
    <w:rsid w:val="0085720A"/>
    <w:rsid w:val="008630CB"/>
    <w:rsid w:val="00865776"/>
    <w:rsid w:val="00865EFD"/>
    <w:rsid w:val="008668B9"/>
    <w:rsid w:val="00867176"/>
    <w:rsid w:val="0087118E"/>
    <w:rsid w:val="00871975"/>
    <w:rsid w:val="0087294A"/>
    <w:rsid w:val="0087346D"/>
    <w:rsid w:val="00876EF8"/>
    <w:rsid w:val="0087748D"/>
    <w:rsid w:val="00880598"/>
    <w:rsid w:val="008806BB"/>
    <w:rsid w:val="0088302E"/>
    <w:rsid w:val="008834F9"/>
    <w:rsid w:val="00885261"/>
    <w:rsid w:val="00885DD3"/>
    <w:rsid w:val="00886D7A"/>
    <w:rsid w:val="00887DD2"/>
    <w:rsid w:val="00891CD7"/>
    <w:rsid w:val="00892B57"/>
    <w:rsid w:val="008964BB"/>
    <w:rsid w:val="008A0EB6"/>
    <w:rsid w:val="008A1790"/>
    <w:rsid w:val="008A273E"/>
    <w:rsid w:val="008A354F"/>
    <w:rsid w:val="008A438A"/>
    <w:rsid w:val="008A5129"/>
    <w:rsid w:val="008A69D0"/>
    <w:rsid w:val="008B0286"/>
    <w:rsid w:val="008B130C"/>
    <w:rsid w:val="008B2654"/>
    <w:rsid w:val="008B26D7"/>
    <w:rsid w:val="008B48CA"/>
    <w:rsid w:val="008B4902"/>
    <w:rsid w:val="008B4C93"/>
    <w:rsid w:val="008B6238"/>
    <w:rsid w:val="008B75A3"/>
    <w:rsid w:val="008B7DD3"/>
    <w:rsid w:val="008C14FB"/>
    <w:rsid w:val="008C2035"/>
    <w:rsid w:val="008C2AA8"/>
    <w:rsid w:val="008C2E40"/>
    <w:rsid w:val="008C547C"/>
    <w:rsid w:val="008C5B5E"/>
    <w:rsid w:val="008C6777"/>
    <w:rsid w:val="008C6A17"/>
    <w:rsid w:val="008C7292"/>
    <w:rsid w:val="008C7499"/>
    <w:rsid w:val="008D0646"/>
    <w:rsid w:val="008D53CD"/>
    <w:rsid w:val="008D5D27"/>
    <w:rsid w:val="008D5E04"/>
    <w:rsid w:val="008E0264"/>
    <w:rsid w:val="008E0DB2"/>
    <w:rsid w:val="008E132A"/>
    <w:rsid w:val="008F091A"/>
    <w:rsid w:val="008F2282"/>
    <w:rsid w:val="008F3F9A"/>
    <w:rsid w:val="008F4895"/>
    <w:rsid w:val="008F52B5"/>
    <w:rsid w:val="008F5B71"/>
    <w:rsid w:val="008F60E3"/>
    <w:rsid w:val="008F64D1"/>
    <w:rsid w:val="008F6BFF"/>
    <w:rsid w:val="00900710"/>
    <w:rsid w:val="0090098D"/>
    <w:rsid w:val="00900D0D"/>
    <w:rsid w:val="00900FD4"/>
    <w:rsid w:val="00902AF3"/>
    <w:rsid w:val="00903A69"/>
    <w:rsid w:val="009052FD"/>
    <w:rsid w:val="00910777"/>
    <w:rsid w:val="00911A09"/>
    <w:rsid w:val="00911B30"/>
    <w:rsid w:val="009126E4"/>
    <w:rsid w:val="00914568"/>
    <w:rsid w:val="009146FA"/>
    <w:rsid w:val="00916C47"/>
    <w:rsid w:val="0092066E"/>
    <w:rsid w:val="009215DC"/>
    <w:rsid w:val="00921DFA"/>
    <w:rsid w:val="00921F7D"/>
    <w:rsid w:val="00926022"/>
    <w:rsid w:val="00926350"/>
    <w:rsid w:val="009271F4"/>
    <w:rsid w:val="00927FEE"/>
    <w:rsid w:val="00930432"/>
    <w:rsid w:val="0093137C"/>
    <w:rsid w:val="00932DC8"/>
    <w:rsid w:val="009409FA"/>
    <w:rsid w:val="00941350"/>
    <w:rsid w:val="00942ED7"/>
    <w:rsid w:val="009434E4"/>
    <w:rsid w:val="00944972"/>
    <w:rsid w:val="00944A01"/>
    <w:rsid w:val="00944CC7"/>
    <w:rsid w:val="009460E0"/>
    <w:rsid w:val="009461C2"/>
    <w:rsid w:val="0094769C"/>
    <w:rsid w:val="00947861"/>
    <w:rsid w:val="00947C36"/>
    <w:rsid w:val="00950353"/>
    <w:rsid w:val="00954948"/>
    <w:rsid w:val="00954AB5"/>
    <w:rsid w:val="00955B0F"/>
    <w:rsid w:val="009577EB"/>
    <w:rsid w:val="009613A9"/>
    <w:rsid w:val="00961FE6"/>
    <w:rsid w:val="0096565A"/>
    <w:rsid w:val="009658AD"/>
    <w:rsid w:val="00965D4D"/>
    <w:rsid w:val="00967524"/>
    <w:rsid w:val="009708AB"/>
    <w:rsid w:val="00972063"/>
    <w:rsid w:val="00972D61"/>
    <w:rsid w:val="009777F6"/>
    <w:rsid w:val="00977AA7"/>
    <w:rsid w:val="00977ACE"/>
    <w:rsid w:val="00977D5A"/>
    <w:rsid w:val="009825BC"/>
    <w:rsid w:val="00982CED"/>
    <w:rsid w:val="009834C2"/>
    <w:rsid w:val="0098360D"/>
    <w:rsid w:val="00985E99"/>
    <w:rsid w:val="00987270"/>
    <w:rsid w:val="0098784C"/>
    <w:rsid w:val="00990B28"/>
    <w:rsid w:val="0099104E"/>
    <w:rsid w:val="00991C77"/>
    <w:rsid w:val="00995E8E"/>
    <w:rsid w:val="00996215"/>
    <w:rsid w:val="00996BB7"/>
    <w:rsid w:val="009A0833"/>
    <w:rsid w:val="009A12A6"/>
    <w:rsid w:val="009A1345"/>
    <w:rsid w:val="009A2BD9"/>
    <w:rsid w:val="009A3165"/>
    <w:rsid w:val="009A3671"/>
    <w:rsid w:val="009A3BEE"/>
    <w:rsid w:val="009A4676"/>
    <w:rsid w:val="009A6053"/>
    <w:rsid w:val="009B0F5D"/>
    <w:rsid w:val="009B1668"/>
    <w:rsid w:val="009B307D"/>
    <w:rsid w:val="009B6454"/>
    <w:rsid w:val="009B6F39"/>
    <w:rsid w:val="009C0111"/>
    <w:rsid w:val="009C15AD"/>
    <w:rsid w:val="009C290D"/>
    <w:rsid w:val="009C3F33"/>
    <w:rsid w:val="009C560A"/>
    <w:rsid w:val="009C5A81"/>
    <w:rsid w:val="009C5E64"/>
    <w:rsid w:val="009C60BB"/>
    <w:rsid w:val="009D0BE2"/>
    <w:rsid w:val="009D0C86"/>
    <w:rsid w:val="009D0D76"/>
    <w:rsid w:val="009D1C19"/>
    <w:rsid w:val="009D1E57"/>
    <w:rsid w:val="009D256F"/>
    <w:rsid w:val="009D3106"/>
    <w:rsid w:val="009D324B"/>
    <w:rsid w:val="009D3777"/>
    <w:rsid w:val="009D40D2"/>
    <w:rsid w:val="009D60DE"/>
    <w:rsid w:val="009D7EFE"/>
    <w:rsid w:val="009E0FAB"/>
    <w:rsid w:val="009E24BC"/>
    <w:rsid w:val="009E2B52"/>
    <w:rsid w:val="009E2B73"/>
    <w:rsid w:val="009E3B48"/>
    <w:rsid w:val="009E5EB6"/>
    <w:rsid w:val="009F1D7C"/>
    <w:rsid w:val="009F3738"/>
    <w:rsid w:val="009F4D8A"/>
    <w:rsid w:val="009F7967"/>
    <w:rsid w:val="00A01D49"/>
    <w:rsid w:val="00A02DBC"/>
    <w:rsid w:val="00A0349B"/>
    <w:rsid w:val="00A04170"/>
    <w:rsid w:val="00A052ED"/>
    <w:rsid w:val="00A05C39"/>
    <w:rsid w:val="00A06A0D"/>
    <w:rsid w:val="00A10EB6"/>
    <w:rsid w:val="00A123C4"/>
    <w:rsid w:val="00A131C7"/>
    <w:rsid w:val="00A13C19"/>
    <w:rsid w:val="00A13F0F"/>
    <w:rsid w:val="00A1529C"/>
    <w:rsid w:val="00A17054"/>
    <w:rsid w:val="00A20B26"/>
    <w:rsid w:val="00A21302"/>
    <w:rsid w:val="00A21982"/>
    <w:rsid w:val="00A24B99"/>
    <w:rsid w:val="00A265D2"/>
    <w:rsid w:val="00A27F54"/>
    <w:rsid w:val="00A30AE8"/>
    <w:rsid w:val="00A30D61"/>
    <w:rsid w:val="00A34009"/>
    <w:rsid w:val="00A43350"/>
    <w:rsid w:val="00A47651"/>
    <w:rsid w:val="00A47D1E"/>
    <w:rsid w:val="00A51774"/>
    <w:rsid w:val="00A52C04"/>
    <w:rsid w:val="00A540EB"/>
    <w:rsid w:val="00A5753F"/>
    <w:rsid w:val="00A60241"/>
    <w:rsid w:val="00A613E6"/>
    <w:rsid w:val="00A62938"/>
    <w:rsid w:val="00A64B48"/>
    <w:rsid w:val="00A64F16"/>
    <w:rsid w:val="00A67868"/>
    <w:rsid w:val="00A724DB"/>
    <w:rsid w:val="00A75D69"/>
    <w:rsid w:val="00A769C2"/>
    <w:rsid w:val="00A835A2"/>
    <w:rsid w:val="00A83912"/>
    <w:rsid w:val="00A840F5"/>
    <w:rsid w:val="00A84993"/>
    <w:rsid w:val="00A86175"/>
    <w:rsid w:val="00A86F04"/>
    <w:rsid w:val="00A874C1"/>
    <w:rsid w:val="00A87A5D"/>
    <w:rsid w:val="00A9153C"/>
    <w:rsid w:val="00A91F51"/>
    <w:rsid w:val="00A91FDD"/>
    <w:rsid w:val="00A922E8"/>
    <w:rsid w:val="00A9330F"/>
    <w:rsid w:val="00A93DB8"/>
    <w:rsid w:val="00A94207"/>
    <w:rsid w:val="00A95809"/>
    <w:rsid w:val="00A95A00"/>
    <w:rsid w:val="00A96C23"/>
    <w:rsid w:val="00A975AD"/>
    <w:rsid w:val="00A97AC2"/>
    <w:rsid w:val="00AA0285"/>
    <w:rsid w:val="00AA0473"/>
    <w:rsid w:val="00AA1147"/>
    <w:rsid w:val="00AA1ED9"/>
    <w:rsid w:val="00AA61AB"/>
    <w:rsid w:val="00AB17E7"/>
    <w:rsid w:val="00AB1EE0"/>
    <w:rsid w:val="00AB2952"/>
    <w:rsid w:val="00AB59D0"/>
    <w:rsid w:val="00AB6DB8"/>
    <w:rsid w:val="00AB6F0F"/>
    <w:rsid w:val="00AB6FC2"/>
    <w:rsid w:val="00AB78FA"/>
    <w:rsid w:val="00AC0F40"/>
    <w:rsid w:val="00AC478F"/>
    <w:rsid w:val="00AD1B45"/>
    <w:rsid w:val="00AD2014"/>
    <w:rsid w:val="00AD240A"/>
    <w:rsid w:val="00AD292F"/>
    <w:rsid w:val="00AD29A2"/>
    <w:rsid w:val="00AD3779"/>
    <w:rsid w:val="00AD3E39"/>
    <w:rsid w:val="00AD44DA"/>
    <w:rsid w:val="00AE067B"/>
    <w:rsid w:val="00AE2EC1"/>
    <w:rsid w:val="00AE34F4"/>
    <w:rsid w:val="00AE5531"/>
    <w:rsid w:val="00AE6986"/>
    <w:rsid w:val="00AE69B5"/>
    <w:rsid w:val="00AE75F6"/>
    <w:rsid w:val="00AF1664"/>
    <w:rsid w:val="00AF2CAD"/>
    <w:rsid w:val="00AF3C7E"/>
    <w:rsid w:val="00AF3E36"/>
    <w:rsid w:val="00AF421C"/>
    <w:rsid w:val="00AF4247"/>
    <w:rsid w:val="00AF439B"/>
    <w:rsid w:val="00AF49EA"/>
    <w:rsid w:val="00AF4D87"/>
    <w:rsid w:val="00AF6B09"/>
    <w:rsid w:val="00AF6CA5"/>
    <w:rsid w:val="00AF7DC6"/>
    <w:rsid w:val="00B01015"/>
    <w:rsid w:val="00B019B2"/>
    <w:rsid w:val="00B075D7"/>
    <w:rsid w:val="00B07EBF"/>
    <w:rsid w:val="00B119FB"/>
    <w:rsid w:val="00B12012"/>
    <w:rsid w:val="00B13E3F"/>
    <w:rsid w:val="00B14499"/>
    <w:rsid w:val="00B17851"/>
    <w:rsid w:val="00B215CA"/>
    <w:rsid w:val="00B2180A"/>
    <w:rsid w:val="00B24F2E"/>
    <w:rsid w:val="00B25A5A"/>
    <w:rsid w:val="00B26624"/>
    <w:rsid w:val="00B26CC6"/>
    <w:rsid w:val="00B27070"/>
    <w:rsid w:val="00B32777"/>
    <w:rsid w:val="00B328AF"/>
    <w:rsid w:val="00B32C0A"/>
    <w:rsid w:val="00B3449B"/>
    <w:rsid w:val="00B34D58"/>
    <w:rsid w:val="00B356D9"/>
    <w:rsid w:val="00B358FB"/>
    <w:rsid w:val="00B36B73"/>
    <w:rsid w:val="00B37A43"/>
    <w:rsid w:val="00B4252A"/>
    <w:rsid w:val="00B43714"/>
    <w:rsid w:val="00B43AD4"/>
    <w:rsid w:val="00B43C51"/>
    <w:rsid w:val="00B45330"/>
    <w:rsid w:val="00B50A66"/>
    <w:rsid w:val="00B51EB2"/>
    <w:rsid w:val="00B52691"/>
    <w:rsid w:val="00B53386"/>
    <w:rsid w:val="00B53556"/>
    <w:rsid w:val="00B5574C"/>
    <w:rsid w:val="00B575C2"/>
    <w:rsid w:val="00B6289C"/>
    <w:rsid w:val="00B64164"/>
    <w:rsid w:val="00B6483E"/>
    <w:rsid w:val="00B72508"/>
    <w:rsid w:val="00B72ED2"/>
    <w:rsid w:val="00B7320E"/>
    <w:rsid w:val="00B73345"/>
    <w:rsid w:val="00B735AB"/>
    <w:rsid w:val="00B77300"/>
    <w:rsid w:val="00B77E55"/>
    <w:rsid w:val="00B811F1"/>
    <w:rsid w:val="00B8240E"/>
    <w:rsid w:val="00B83C74"/>
    <w:rsid w:val="00B843C6"/>
    <w:rsid w:val="00B868BB"/>
    <w:rsid w:val="00B909F6"/>
    <w:rsid w:val="00B90D01"/>
    <w:rsid w:val="00B917F9"/>
    <w:rsid w:val="00B946C5"/>
    <w:rsid w:val="00B96152"/>
    <w:rsid w:val="00B97CFE"/>
    <w:rsid w:val="00BA2122"/>
    <w:rsid w:val="00BA4F0B"/>
    <w:rsid w:val="00BA59B5"/>
    <w:rsid w:val="00BA5EB1"/>
    <w:rsid w:val="00BA65E9"/>
    <w:rsid w:val="00BA72F9"/>
    <w:rsid w:val="00BA73E3"/>
    <w:rsid w:val="00BA79CA"/>
    <w:rsid w:val="00BA7F71"/>
    <w:rsid w:val="00BB0126"/>
    <w:rsid w:val="00BB10D0"/>
    <w:rsid w:val="00BB1453"/>
    <w:rsid w:val="00BB42A7"/>
    <w:rsid w:val="00BB472C"/>
    <w:rsid w:val="00BB4B7A"/>
    <w:rsid w:val="00BB5AA8"/>
    <w:rsid w:val="00BB7781"/>
    <w:rsid w:val="00BB7944"/>
    <w:rsid w:val="00BC048F"/>
    <w:rsid w:val="00BC2CB1"/>
    <w:rsid w:val="00BC5216"/>
    <w:rsid w:val="00BC5A36"/>
    <w:rsid w:val="00BC78AD"/>
    <w:rsid w:val="00BD0278"/>
    <w:rsid w:val="00BD0638"/>
    <w:rsid w:val="00BD2EE9"/>
    <w:rsid w:val="00BD488B"/>
    <w:rsid w:val="00BD49C8"/>
    <w:rsid w:val="00BE047B"/>
    <w:rsid w:val="00BE20EB"/>
    <w:rsid w:val="00BE2435"/>
    <w:rsid w:val="00BE2E10"/>
    <w:rsid w:val="00BE2E9A"/>
    <w:rsid w:val="00BE4EA4"/>
    <w:rsid w:val="00BE5B2E"/>
    <w:rsid w:val="00BF3ACB"/>
    <w:rsid w:val="00BF4F26"/>
    <w:rsid w:val="00BF716D"/>
    <w:rsid w:val="00BF7430"/>
    <w:rsid w:val="00C01356"/>
    <w:rsid w:val="00C0168A"/>
    <w:rsid w:val="00C0212B"/>
    <w:rsid w:val="00C027B0"/>
    <w:rsid w:val="00C02CB4"/>
    <w:rsid w:val="00C03FE8"/>
    <w:rsid w:val="00C1001E"/>
    <w:rsid w:val="00C1280A"/>
    <w:rsid w:val="00C12DA0"/>
    <w:rsid w:val="00C159ED"/>
    <w:rsid w:val="00C1781A"/>
    <w:rsid w:val="00C211BA"/>
    <w:rsid w:val="00C21DC8"/>
    <w:rsid w:val="00C22252"/>
    <w:rsid w:val="00C23283"/>
    <w:rsid w:val="00C23AC9"/>
    <w:rsid w:val="00C257E9"/>
    <w:rsid w:val="00C2637C"/>
    <w:rsid w:val="00C30446"/>
    <w:rsid w:val="00C3110E"/>
    <w:rsid w:val="00C31113"/>
    <w:rsid w:val="00C31B90"/>
    <w:rsid w:val="00C32D4F"/>
    <w:rsid w:val="00C33764"/>
    <w:rsid w:val="00C346A9"/>
    <w:rsid w:val="00C351DD"/>
    <w:rsid w:val="00C376AD"/>
    <w:rsid w:val="00C415E6"/>
    <w:rsid w:val="00C41FAE"/>
    <w:rsid w:val="00C469E3"/>
    <w:rsid w:val="00C47837"/>
    <w:rsid w:val="00C47CDC"/>
    <w:rsid w:val="00C47FB6"/>
    <w:rsid w:val="00C507FA"/>
    <w:rsid w:val="00C50AEC"/>
    <w:rsid w:val="00C51F97"/>
    <w:rsid w:val="00C52509"/>
    <w:rsid w:val="00C52F6B"/>
    <w:rsid w:val="00C54639"/>
    <w:rsid w:val="00C56215"/>
    <w:rsid w:val="00C640C8"/>
    <w:rsid w:val="00C64D17"/>
    <w:rsid w:val="00C65FD8"/>
    <w:rsid w:val="00C66949"/>
    <w:rsid w:val="00C7379D"/>
    <w:rsid w:val="00C747CB"/>
    <w:rsid w:val="00C75251"/>
    <w:rsid w:val="00C75B75"/>
    <w:rsid w:val="00C769F0"/>
    <w:rsid w:val="00C76D4D"/>
    <w:rsid w:val="00C7786D"/>
    <w:rsid w:val="00C8142E"/>
    <w:rsid w:val="00C81574"/>
    <w:rsid w:val="00C8157D"/>
    <w:rsid w:val="00C833C0"/>
    <w:rsid w:val="00C83BA5"/>
    <w:rsid w:val="00C863ED"/>
    <w:rsid w:val="00C906BC"/>
    <w:rsid w:val="00C90755"/>
    <w:rsid w:val="00C93AFE"/>
    <w:rsid w:val="00C946CF"/>
    <w:rsid w:val="00C94C76"/>
    <w:rsid w:val="00C97DD4"/>
    <w:rsid w:val="00CA03EA"/>
    <w:rsid w:val="00CA0F22"/>
    <w:rsid w:val="00CA15ED"/>
    <w:rsid w:val="00CA339D"/>
    <w:rsid w:val="00CA3E79"/>
    <w:rsid w:val="00CA57FD"/>
    <w:rsid w:val="00CA6366"/>
    <w:rsid w:val="00CA7528"/>
    <w:rsid w:val="00CB616D"/>
    <w:rsid w:val="00CB6442"/>
    <w:rsid w:val="00CC2245"/>
    <w:rsid w:val="00CC4F9F"/>
    <w:rsid w:val="00CC58DF"/>
    <w:rsid w:val="00CC7F9F"/>
    <w:rsid w:val="00CD0738"/>
    <w:rsid w:val="00CD1E47"/>
    <w:rsid w:val="00CD2287"/>
    <w:rsid w:val="00CD2610"/>
    <w:rsid w:val="00CD411C"/>
    <w:rsid w:val="00CD540F"/>
    <w:rsid w:val="00CD7BE3"/>
    <w:rsid w:val="00CD7E49"/>
    <w:rsid w:val="00CE1B15"/>
    <w:rsid w:val="00CE648A"/>
    <w:rsid w:val="00CE64F2"/>
    <w:rsid w:val="00CE6603"/>
    <w:rsid w:val="00CE77CA"/>
    <w:rsid w:val="00CF31EB"/>
    <w:rsid w:val="00CF35DD"/>
    <w:rsid w:val="00CF49F8"/>
    <w:rsid w:val="00CF5412"/>
    <w:rsid w:val="00CF6241"/>
    <w:rsid w:val="00D001F3"/>
    <w:rsid w:val="00D0097A"/>
    <w:rsid w:val="00D00BF7"/>
    <w:rsid w:val="00D01818"/>
    <w:rsid w:val="00D02638"/>
    <w:rsid w:val="00D02FC3"/>
    <w:rsid w:val="00D03203"/>
    <w:rsid w:val="00D0344C"/>
    <w:rsid w:val="00D03694"/>
    <w:rsid w:val="00D048D8"/>
    <w:rsid w:val="00D10898"/>
    <w:rsid w:val="00D12AB1"/>
    <w:rsid w:val="00D131D0"/>
    <w:rsid w:val="00D13AB7"/>
    <w:rsid w:val="00D14142"/>
    <w:rsid w:val="00D20F64"/>
    <w:rsid w:val="00D2304F"/>
    <w:rsid w:val="00D23241"/>
    <w:rsid w:val="00D23FF0"/>
    <w:rsid w:val="00D249F8"/>
    <w:rsid w:val="00D2699A"/>
    <w:rsid w:val="00D270BD"/>
    <w:rsid w:val="00D2766D"/>
    <w:rsid w:val="00D27D58"/>
    <w:rsid w:val="00D3013D"/>
    <w:rsid w:val="00D31008"/>
    <w:rsid w:val="00D3115C"/>
    <w:rsid w:val="00D31ACB"/>
    <w:rsid w:val="00D37117"/>
    <w:rsid w:val="00D37EB8"/>
    <w:rsid w:val="00D40930"/>
    <w:rsid w:val="00D40E03"/>
    <w:rsid w:val="00D40FD2"/>
    <w:rsid w:val="00D42925"/>
    <w:rsid w:val="00D42CFA"/>
    <w:rsid w:val="00D4435A"/>
    <w:rsid w:val="00D44F4E"/>
    <w:rsid w:val="00D46A03"/>
    <w:rsid w:val="00D50053"/>
    <w:rsid w:val="00D50308"/>
    <w:rsid w:val="00D52108"/>
    <w:rsid w:val="00D525F0"/>
    <w:rsid w:val="00D53F93"/>
    <w:rsid w:val="00D542B6"/>
    <w:rsid w:val="00D57D7A"/>
    <w:rsid w:val="00D614E0"/>
    <w:rsid w:val="00D61838"/>
    <w:rsid w:val="00D6198C"/>
    <w:rsid w:val="00D62CA1"/>
    <w:rsid w:val="00D63512"/>
    <w:rsid w:val="00D6352A"/>
    <w:rsid w:val="00D637C3"/>
    <w:rsid w:val="00D64A75"/>
    <w:rsid w:val="00D655C1"/>
    <w:rsid w:val="00D675AB"/>
    <w:rsid w:val="00D75D42"/>
    <w:rsid w:val="00D80EDA"/>
    <w:rsid w:val="00D84118"/>
    <w:rsid w:val="00D86102"/>
    <w:rsid w:val="00D8631D"/>
    <w:rsid w:val="00D86BD4"/>
    <w:rsid w:val="00D87277"/>
    <w:rsid w:val="00D87763"/>
    <w:rsid w:val="00D904DF"/>
    <w:rsid w:val="00D91EAB"/>
    <w:rsid w:val="00D92FA3"/>
    <w:rsid w:val="00D94970"/>
    <w:rsid w:val="00D960E1"/>
    <w:rsid w:val="00DA0084"/>
    <w:rsid w:val="00DA3979"/>
    <w:rsid w:val="00DA60A9"/>
    <w:rsid w:val="00DA60AA"/>
    <w:rsid w:val="00DB0C41"/>
    <w:rsid w:val="00DB2FAF"/>
    <w:rsid w:val="00DB3574"/>
    <w:rsid w:val="00DB3E8D"/>
    <w:rsid w:val="00DB56F7"/>
    <w:rsid w:val="00DB6B13"/>
    <w:rsid w:val="00DB6B56"/>
    <w:rsid w:val="00DB6C61"/>
    <w:rsid w:val="00DC16E7"/>
    <w:rsid w:val="00DD0CC7"/>
    <w:rsid w:val="00DD3862"/>
    <w:rsid w:val="00DE0F2C"/>
    <w:rsid w:val="00DE2EF5"/>
    <w:rsid w:val="00DE3B05"/>
    <w:rsid w:val="00DE4A99"/>
    <w:rsid w:val="00DE5AB6"/>
    <w:rsid w:val="00DF01C7"/>
    <w:rsid w:val="00DF0551"/>
    <w:rsid w:val="00DF3CE3"/>
    <w:rsid w:val="00DF4FF5"/>
    <w:rsid w:val="00DF6411"/>
    <w:rsid w:val="00E03A67"/>
    <w:rsid w:val="00E04585"/>
    <w:rsid w:val="00E04A4B"/>
    <w:rsid w:val="00E04C6A"/>
    <w:rsid w:val="00E06137"/>
    <w:rsid w:val="00E0683B"/>
    <w:rsid w:val="00E068FD"/>
    <w:rsid w:val="00E07EC0"/>
    <w:rsid w:val="00E10DAC"/>
    <w:rsid w:val="00E143A0"/>
    <w:rsid w:val="00E14662"/>
    <w:rsid w:val="00E14D91"/>
    <w:rsid w:val="00E16B4F"/>
    <w:rsid w:val="00E21DEF"/>
    <w:rsid w:val="00E21FA6"/>
    <w:rsid w:val="00E30530"/>
    <w:rsid w:val="00E314A1"/>
    <w:rsid w:val="00E3242F"/>
    <w:rsid w:val="00E3301D"/>
    <w:rsid w:val="00E33A75"/>
    <w:rsid w:val="00E347A2"/>
    <w:rsid w:val="00E35151"/>
    <w:rsid w:val="00E3543B"/>
    <w:rsid w:val="00E36ADC"/>
    <w:rsid w:val="00E41103"/>
    <w:rsid w:val="00E41DD8"/>
    <w:rsid w:val="00E42878"/>
    <w:rsid w:val="00E43265"/>
    <w:rsid w:val="00E46012"/>
    <w:rsid w:val="00E46EC6"/>
    <w:rsid w:val="00E52971"/>
    <w:rsid w:val="00E534FD"/>
    <w:rsid w:val="00E55A50"/>
    <w:rsid w:val="00E64193"/>
    <w:rsid w:val="00E658F6"/>
    <w:rsid w:val="00E7160B"/>
    <w:rsid w:val="00E71E40"/>
    <w:rsid w:val="00E72544"/>
    <w:rsid w:val="00E72C41"/>
    <w:rsid w:val="00E74B72"/>
    <w:rsid w:val="00E74BC9"/>
    <w:rsid w:val="00E75040"/>
    <w:rsid w:val="00E769F9"/>
    <w:rsid w:val="00E773E8"/>
    <w:rsid w:val="00E811A4"/>
    <w:rsid w:val="00E8125E"/>
    <w:rsid w:val="00E85D63"/>
    <w:rsid w:val="00E8782E"/>
    <w:rsid w:val="00E87E7B"/>
    <w:rsid w:val="00E90509"/>
    <w:rsid w:val="00E916A9"/>
    <w:rsid w:val="00E9246B"/>
    <w:rsid w:val="00E9285C"/>
    <w:rsid w:val="00E94AFB"/>
    <w:rsid w:val="00E954A8"/>
    <w:rsid w:val="00E95813"/>
    <w:rsid w:val="00E96844"/>
    <w:rsid w:val="00E97115"/>
    <w:rsid w:val="00E97D73"/>
    <w:rsid w:val="00EA2E96"/>
    <w:rsid w:val="00EA4408"/>
    <w:rsid w:val="00EA4E46"/>
    <w:rsid w:val="00EA5ED0"/>
    <w:rsid w:val="00EA683C"/>
    <w:rsid w:val="00EA6BB0"/>
    <w:rsid w:val="00EA6C28"/>
    <w:rsid w:val="00EB0EF5"/>
    <w:rsid w:val="00EB4EBA"/>
    <w:rsid w:val="00EB7352"/>
    <w:rsid w:val="00EB7ED2"/>
    <w:rsid w:val="00EC160D"/>
    <w:rsid w:val="00EC5BBA"/>
    <w:rsid w:val="00EC757F"/>
    <w:rsid w:val="00EC7DC0"/>
    <w:rsid w:val="00ED0AA1"/>
    <w:rsid w:val="00ED1058"/>
    <w:rsid w:val="00ED1D2D"/>
    <w:rsid w:val="00ED262C"/>
    <w:rsid w:val="00ED30B7"/>
    <w:rsid w:val="00ED365B"/>
    <w:rsid w:val="00ED4AC9"/>
    <w:rsid w:val="00ED6413"/>
    <w:rsid w:val="00ED755D"/>
    <w:rsid w:val="00ED7DFA"/>
    <w:rsid w:val="00EE0870"/>
    <w:rsid w:val="00EE52B8"/>
    <w:rsid w:val="00EE671F"/>
    <w:rsid w:val="00EE67EE"/>
    <w:rsid w:val="00EF098B"/>
    <w:rsid w:val="00EF1643"/>
    <w:rsid w:val="00EF4DBF"/>
    <w:rsid w:val="00EF4E95"/>
    <w:rsid w:val="00EF7690"/>
    <w:rsid w:val="00F00297"/>
    <w:rsid w:val="00F0153B"/>
    <w:rsid w:val="00F01E65"/>
    <w:rsid w:val="00F0251F"/>
    <w:rsid w:val="00F02C08"/>
    <w:rsid w:val="00F06345"/>
    <w:rsid w:val="00F07706"/>
    <w:rsid w:val="00F11F55"/>
    <w:rsid w:val="00F11FC0"/>
    <w:rsid w:val="00F12324"/>
    <w:rsid w:val="00F12422"/>
    <w:rsid w:val="00F1349A"/>
    <w:rsid w:val="00F1457C"/>
    <w:rsid w:val="00F16A7A"/>
    <w:rsid w:val="00F2403C"/>
    <w:rsid w:val="00F24762"/>
    <w:rsid w:val="00F24AEE"/>
    <w:rsid w:val="00F24BEF"/>
    <w:rsid w:val="00F24DDF"/>
    <w:rsid w:val="00F255AA"/>
    <w:rsid w:val="00F3139C"/>
    <w:rsid w:val="00F32560"/>
    <w:rsid w:val="00F3276F"/>
    <w:rsid w:val="00F339F4"/>
    <w:rsid w:val="00F35F3F"/>
    <w:rsid w:val="00F36D6B"/>
    <w:rsid w:val="00F3743C"/>
    <w:rsid w:val="00F40653"/>
    <w:rsid w:val="00F42F50"/>
    <w:rsid w:val="00F446B1"/>
    <w:rsid w:val="00F458AD"/>
    <w:rsid w:val="00F511A5"/>
    <w:rsid w:val="00F513A7"/>
    <w:rsid w:val="00F51A2D"/>
    <w:rsid w:val="00F5268E"/>
    <w:rsid w:val="00F52E29"/>
    <w:rsid w:val="00F5354E"/>
    <w:rsid w:val="00F54980"/>
    <w:rsid w:val="00F54C09"/>
    <w:rsid w:val="00F559F0"/>
    <w:rsid w:val="00F5699B"/>
    <w:rsid w:val="00F61DC1"/>
    <w:rsid w:val="00F63EFE"/>
    <w:rsid w:val="00F641AC"/>
    <w:rsid w:val="00F65C28"/>
    <w:rsid w:val="00F67735"/>
    <w:rsid w:val="00F70136"/>
    <w:rsid w:val="00F7020D"/>
    <w:rsid w:val="00F70997"/>
    <w:rsid w:val="00F70B61"/>
    <w:rsid w:val="00F71FF8"/>
    <w:rsid w:val="00F72675"/>
    <w:rsid w:val="00F74779"/>
    <w:rsid w:val="00F766A2"/>
    <w:rsid w:val="00F7733D"/>
    <w:rsid w:val="00F77A67"/>
    <w:rsid w:val="00F80D7C"/>
    <w:rsid w:val="00F81A9D"/>
    <w:rsid w:val="00F83270"/>
    <w:rsid w:val="00F84C4B"/>
    <w:rsid w:val="00F8776B"/>
    <w:rsid w:val="00F90740"/>
    <w:rsid w:val="00F92E63"/>
    <w:rsid w:val="00F94C33"/>
    <w:rsid w:val="00F95A98"/>
    <w:rsid w:val="00F96CF3"/>
    <w:rsid w:val="00F973BD"/>
    <w:rsid w:val="00FA04B3"/>
    <w:rsid w:val="00FA0746"/>
    <w:rsid w:val="00FA1896"/>
    <w:rsid w:val="00FA202F"/>
    <w:rsid w:val="00FA2917"/>
    <w:rsid w:val="00FA3428"/>
    <w:rsid w:val="00FA3BED"/>
    <w:rsid w:val="00FA408C"/>
    <w:rsid w:val="00FA4F1D"/>
    <w:rsid w:val="00FA506E"/>
    <w:rsid w:val="00FA56F7"/>
    <w:rsid w:val="00FA6F94"/>
    <w:rsid w:val="00FB00E7"/>
    <w:rsid w:val="00FB01D9"/>
    <w:rsid w:val="00FB1506"/>
    <w:rsid w:val="00FB1625"/>
    <w:rsid w:val="00FB1C91"/>
    <w:rsid w:val="00FB3708"/>
    <w:rsid w:val="00FB3BDF"/>
    <w:rsid w:val="00FB5A9C"/>
    <w:rsid w:val="00FB6614"/>
    <w:rsid w:val="00FB6FAD"/>
    <w:rsid w:val="00FB727D"/>
    <w:rsid w:val="00FC0E8A"/>
    <w:rsid w:val="00FC5E12"/>
    <w:rsid w:val="00FD0153"/>
    <w:rsid w:val="00FD2E5B"/>
    <w:rsid w:val="00FD3453"/>
    <w:rsid w:val="00FD51EF"/>
    <w:rsid w:val="00FD5A6B"/>
    <w:rsid w:val="00FD6A8A"/>
    <w:rsid w:val="00FD6BDF"/>
    <w:rsid w:val="00FD6F86"/>
    <w:rsid w:val="00FD7380"/>
    <w:rsid w:val="00FE342E"/>
    <w:rsid w:val="00FE3520"/>
    <w:rsid w:val="00FE428E"/>
    <w:rsid w:val="00FE5FC5"/>
    <w:rsid w:val="00FE6636"/>
    <w:rsid w:val="00FE7A52"/>
    <w:rsid w:val="00FF1685"/>
    <w:rsid w:val="00FF3598"/>
    <w:rsid w:val="00FF4634"/>
    <w:rsid w:val="00FF51EA"/>
    <w:rsid w:val="00FF5476"/>
    <w:rsid w:val="00FF5673"/>
    <w:rsid w:val="00FF5CCA"/>
    <w:rsid w:val="00FF62AF"/>
    <w:rsid w:val="00FF657B"/>
    <w:rsid w:val="00FF6743"/>
    <w:rsid w:val="00FF6EA5"/>
    <w:rsid w:val="00FF789A"/>
    <w:rsid w:val="016C37CC"/>
    <w:rsid w:val="034660DC"/>
    <w:rsid w:val="0514FDFF"/>
    <w:rsid w:val="05B3D0BD"/>
    <w:rsid w:val="090D6C11"/>
    <w:rsid w:val="0A5C285A"/>
    <w:rsid w:val="0C46A52D"/>
    <w:rsid w:val="0CEE13A5"/>
    <w:rsid w:val="12E6383E"/>
    <w:rsid w:val="14DCF3ED"/>
    <w:rsid w:val="15E9A94C"/>
    <w:rsid w:val="1AA1800D"/>
    <w:rsid w:val="1B0265CF"/>
    <w:rsid w:val="1B615F14"/>
    <w:rsid w:val="1C88CF83"/>
    <w:rsid w:val="1E1161FF"/>
    <w:rsid w:val="1F4705F1"/>
    <w:rsid w:val="21BFF327"/>
    <w:rsid w:val="23B45BED"/>
    <w:rsid w:val="24003A64"/>
    <w:rsid w:val="2B141EEB"/>
    <w:rsid w:val="2D25565B"/>
    <w:rsid w:val="316C34D9"/>
    <w:rsid w:val="367F519B"/>
    <w:rsid w:val="394F370E"/>
    <w:rsid w:val="3A4AAAFF"/>
    <w:rsid w:val="3B69B607"/>
    <w:rsid w:val="4212BBE7"/>
    <w:rsid w:val="454C38F5"/>
    <w:rsid w:val="46E30114"/>
    <w:rsid w:val="491418D9"/>
    <w:rsid w:val="4B90F60D"/>
    <w:rsid w:val="4D5EA8DF"/>
    <w:rsid w:val="51C5165D"/>
    <w:rsid w:val="52BDD39D"/>
    <w:rsid w:val="5535D316"/>
    <w:rsid w:val="5979F2C0"/>
    <w:rsid w:val="5DE7D8E4"/>
    <w:rsid w:val="5E705CCC"/>
    <w:rsid w:val="5E9BD30E"/>
    <w:rsid w:val="6067CDF7"/>
    <w:rsid w:val="61DC762F"/>
    <w:rsid w:val="628E189F"/>
    <w:rsid w:val="6453B46D"/>
    <w:rsid w:val="66E0386C"/>
    <w:rsid w:val="7346EF61"/>
    <w:rsid w:val="734A50CC"/>
    <w:rsid w:val="761DBA73"/>
    <w:rsid w:val="763648BA"/>
    <w:rsid w:val="7870FC46"/>
    <w:rsid w:val="7E267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9F87D"/>
  <w15:chartTrackingRefBased/>
  <w15:docId w15:val="{AEC8B88F-81D4-4474-AD3B-89A0F95E9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21"/>
    <w:pPr>
      <w:spacing w:after="120" w:line="360" w:lineRule="auto"/>
    </w:pPr>
    <w:rPr>
      <w:sz w:val="22"/>
    </w:rPr>
  </w:style>
  <w:style w:type="paragraph" w:styleId="Heading1">
    <w:name w:val="heading 1"/>
    <w:basedOn w:val="Normal"/>
    <w:next w:val="Normal"/>
    <w:link w:val="Heading1Char"/>
    <w:uiPriority w:val="9"/>
    <w:qFormat/>
    <w:rsid w:val="00235AE9"/>
    <w:pPr>
      <w:keepNext/>
      <w:keepLines/>
      <w:spacing w:before="360" w:after="80"/>
      <w:outlineLvl w:val="0"/>
    </w:pPr>
    <w:rPr>
      <w:rFonts w:asciiTheme="majorHAnsi" w:eastAsiaTheme="majorEastAsia" w:hAnsiTheme="majorHAnsi" w:cstheme="majorBidi"/>
      <w:color w:val="215E99" w:themeColor="text2" w:themeTint="BF"/>
      <w:sz w:val="32"/>
      <w:szCs w:val="40"/>
    </w:rPr>
  </w:style>
  <w:style w:type="paragraph" w:styleId="Heading2">
    <w:name w:val="heading 2"/>
    <w:basedOn w:val="Normal"/>
    <w:next w:val="Normal"/>
    <w:link w:val="Heading2Char"/>
    <w:uiPriority w:val="9"/>
    <w:unhideWhenUsed/>
    <w:qFormat/>
    <w:rsid w:val="00811856"/>
    <w:pPr>
      <w:keepNext/>
      <w:keepLines/>
      <w:spacing w:before="160" w:after="80"/>
      <w:outlineLvl w:val="1"/>
    </w:pPr>
    <w:rPr>
      <w:rFonts w:asciiTheme="majorHAnsi" w:eastAsiaTheme="majorEastAsia" w:hAnsiTheme="majorHAnsi" w:cstheme="majorBidi"/>
      <w:color w:val="215E99" w:themeColor="text2" w:themeTint="BF"/>
      <w:sz w:val="28"/>
      <w:szCs w:val="32"/>
    </w:rPr>
  </w:style>
  <w:style w:type="paragraph" w:styleId="Heading3">
    <w:name w:val="heading 3"/>
    <w:basedOn w:val="Normal"/>
    <w:next w:val="Normal"/>
    <w:link w:val="Heading3Char"/>
    <w:uiPriority w:val="9"/>
    <w:unhideWhenUsed/>
    <w:qFormat/>
    <w:rsid w:val="009708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08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08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08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08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08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08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AE9"/>
    <w:rPr>
      <w:rFonts w:asciiTheme="majorHAnsi" w:eastAsiaTheme="majorEastAsia" w:hAnsiTheme="majorHAnsi" w:cstheme="majorBidi"/>
      <w:color w:val="215E99" w:themeColor="text2" w:themeTint="BF"/>
      <w:sz w:val="32"/>
      <w:szCs w:val="40"/>
    </w:rPr>
  </w:style>
  <w:style w:type="character" w:customStyle="1" w:styleId="Heading2Char">
    <w:name w:val="Heading 2 Char"/>
    <w:basedOn w:val="DefaultParagraphFont"/>
    <w:link w:val="Heading2"/>
    <w:uiPriority w:val="9"/>
    <w:rsid w:val="00811856"/>
    <w:rPr>
      <w:rFonts w:asciiTheme="majorHAnsi" w:eastAsiaTheme="majorEastAsia" w:hAnsiTheme="majorHAnsi" w:cstheme="majorBidi"/>
      <w:color w:val="215E99" w:themeColor="text2" w:themeTint="BF"/>
      <w:sz w:val="28"/>
      <w:szCs w:val="32"/>
    </w:rPr>
  </w:style>
  <w:style w:type="character" w:customStyle="1" w:styleId="Heading3Char">
    <w:name w:val="Heading 3 Char"/>
    <w:basedOn w:val="DefaultParagraphFont"/>
    <w:link w:val="Heading3"/>
    <w:uiPriority w:val="9"/>
    <w:rsid w:val="009708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08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08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08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08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08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08AB"/>
    <w:rPr>
      <w:rFonts w:eastAsiaTheme="majorEastAsia" w:cstheme="majorBidi"/>
      <w:color w:val="272727" w:themeColor="text1" w:themeTint="D8"/>
    </w:rPr>
  </w:style>
  <w:style w:type="paragraph" w:styleId="Title">
    <w:name w:val="Title"/>
    <w:basedOn w:val="Normal"/>
    <w:next w:val="Normal"/>
    <w:link w:val="TitleChar"/>
    <w:uiPriority w:val="10"/>
    <w:qFormat/>
    <w:rsid w:val="009708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8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08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08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08AB"/>
    <w:pPr>
      <w:spacing w:before="160"/>
      <w:jc w:val="center"/>
    </w:pPr>
    <w:rPr>
      <w:i/>
      <w:iCs/>
      <w:color w:val="404040" w:themeColor="text1" w:themeTint="BF"/>
    </w:rPr>
  </w:style>
  <w:style w:type="character" w:customStyle="1" w:styleId="QuoteChar">
    <w:name w:val="Quote Char"/>
    <w:basedOn w:val="DefaultParagraphFont"/>
    <w:link w:val="Quote"/>
    <w:uiPriority w:val="29"/>
    <w:rsid w:val="009708AB"/>
    <w:rPr>
      <w:i/>
      <w:iCs/>
      <w:color w:val="404040" w:themeColor="text1" w:themeTint="BF"/>
    </w:rPr>
  </w:style>
  <w:style w:type="paragraph" w:styleId="ListParagraph">
    <w:name w:val="List Paragraph"/>
    <w:basedOn w:val="Normal"/>
    <w:uiPriority w:val="34"/>
    <w:qFormat/>
    <w:rsid w:val="009708AB"/>
    <w:pPr>
      <w:ind w:left="720"/>
      <w:contextualSpacing/>
    </w:pPr>
  </w:style>
  <w:style w:type="character" w:styleId="IntenseEmphasis">
    <w:name w:val="Intense Emphasis"/>
    <w:basedOn w:val="DefaultParagraphFont"/>
    <w:uiPriority w:val="21"/>
    <w:qFormat/>
    <w:rsid w:val="009708AB"/>
    <w:rPr>
      <w:i/>
      <w:iCs/>
      <w:color w:val="0F4761" w:themeColor="accent1" w:themeShade="BF"/>
    </w:rPr>
  </w:style>
  <w:style w:type="paragraph" w:styleId="IntenseQuote">
    <w:name w:val="Intense Quote"/>
    <w:basedOn w:val="Normal"/>
    <w:next w:val="Normal"/>
    <w:link w:val="IntenseQuoteChar"/>
    <w:uiPriority w:val="30"/>
    <w:qFormat/>
    <w:rsid w:val="009708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08AB"/>
    <w:rPr>
      <w:i/>
      <w:iCs/>
      <w:color w:val="0F4761" w:themeColor="accent1" w:themeShade="BF"/>
    </w:rPr>
  </w:style>
  <w:style w:type="character" w:styleId="IntenseReference">
    <w:name w:val="Intense Reference"/>
    <w:basedOn w:val="DefaultParagraphFont"/>
    <w:uiPriority w:val="32"/>
    <w:qFormat/>
    <w:rsid w:val="009708AB"/>
    <w:rPr>
      <w:b/>
      <w:bCs/>
      <w:smallCaps/>
      <w:color w:val="0F4761" w:themeColor="accent1" w:themeShade="BF"/>
      <w:spacing w:val="5"/>
    </w:rPr>
  </w:style>
  <w:style w:type="paragraph" w:styleId="Header">
    <w:name w:val="header"/>
    <w:basedOn w:val="Normal"/>
    <w:link w:val="HeaderChar"/>
    <w:uiPriority w:val="99"/>
    <w:unhideWhenUsed/>
    <w:rsid w:val="00BC5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A36"/>
  </w:style>
  <w:style w:type="paragraph" w:styleId="Footer">
    <w:name w:val="footer"/>
    <w:basedOn w:val="Normal"/>
    <w:link w:val="FooterChar"/>
    <w:uiPriority w:val="99"/>
    <w:unhideWhenUsed/>
    <w:rsid w:val="00BC5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5A36"/>
  </w:style>
  <w:style w:type="paragraph" w:customStyle="1" w:styleId="Title1">
    <w:name w:val="Title 1"/>
    <w:autoRedefine/>
    <w:qFormat/>
    <w:rsid w:val="00D40930"/>
    <w:pPr>
      <w:spacing w:after="240" w:line="240" w:lineRule="auto"/>
      <w:jc w:val="center"/>
    </w:pPr>
    <w:rPr>
      <w:rFonts w:asciiTheme="majorHAnsi" w:eastAsiaTheme="majorEastAsia" w:hAnsiTheme="majorHAnsi" w:cstheme="minorHAnsi"/>
      <w:b/>
      <w:bCs/>
      <w:color w:val="215E99" w:themeColor="text2" w:themeTint="BF"/>
      <w:kern w:val="0"/>
      <w:sz w:val="44"/>
      <w:szCs w:val="56"/>
      <w14:ligatures w14:val="none"/>
    </w:rPr>
  </w:style>
  <w:style w:type="paragraph" w:customStyle="1" w:styleId="Subtitle1">
    <w:name w:val="Subtitle 1"/>
    <w:basedOn w:val="NoSpacing"/>
    <w:autoRedefine/>
    <w:qFormat/>
    <w:rsid w:val="00AA1147"/>
    <w:pPr>
      <w:spacing w:before="120" w:after="240"/>
      <w:ind w:left="-1350"/>
      <w:jc w:val="center"/>
    </w:pPr>
    <w:rPr>
      <w:rFonts w:asciiTheme="majorHAnsi" w:eastAsiaTheme="majorEastAsia" w:hAnsiTheme="majorHAnsi" w:cstheme="majorBidi"/>
      <w:noProof/>
      <w:color w:val="215E99" w:themeColor="text2" w:themeTint="BF"/>
      <w:kern w:val="0"/>
      <w:sz w:val="28"/>
      <w:szCs w:val="44"/>
      <w:lang w:val="en-ZA"/>
      <w14:ligatures w14:val="none"/>
    </w:rPr>
  </w:style>
  <w:style w:type="character" w:styleId="Strong">
    <w:name w:val="Strong"/>
    <w:basedOn w:val="DefaultParagraphFont"/>
    <w:uiPriority w:val="22"/>
    <w:qFormat/>
    <w:rsid w:val="00BC5A36"/>
    <w:rPr>
      <w:b/>
      <w:bCs/>
    </w:rPr>
  </w:style>
  <w:style w:type="paragraph" w:styleId="NoSpacing">
    <w:name w:val="No Spacing"/>
    <w:uiPriority w:val="1"/>
    <w:qFormat/>
    <w:rsid w:val="00BC5A36"/>
    <w:pPr>
      <w:spacing w:after="0" w:line="240" w:lineRule="auto"/>
    </w:pPr>
  </w:style>
  <w:style w:type="paragraph" w:styleId="TOCHeading">
    <w:name w:val="TOC Heading"/>
    <w:basedOn w:val="Heading1"/>
    <w:next w:val="Normal"/>
    <w:uiPriority w:val="39"/>
    <w:unhideWhenUsed/>
    <w:qFormat/>
    <w:rsid w:val="00306F53"/>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E74B72"/>
    <w:pPr>
      <w:spacing w:before="120" w:after="0"/>
    </w:pPr>
    <w:rPr>
      <w:b/>
      <w:bCs/>
      <w:i/>
      <w:iCs/>
      <w:sz w:val="24"/>
    </w:rPr>
  </w:style>
  <w:style w:type="character" w:styleId="Hyperlink">
    <w:name w:val="Hyperlink"/>
    <w:basedOn w:val="DefaultParagraphFont"/>
    <w:uiPriority w:val="99"/>
    <w:unhideWhenUsed/>
    <w:rsid w:val="00306F53"/>
    <w:rPr>
      <w:color w:val="467886" w:themeColor="hyperlink"/>
      <w:u w:val="single"/>
    </w:rPr>
  </w:style>
  <w:style w:type="paragraph" w:styleId="TOC2">
    <w:name w:val="toc 2"/>
    <w:basedOn w:val="Normal"/>
    <w:next w:val="Normal"/>
    <w:autoRedefine/>
    <w:uiPriority w:val="39"/>
    <w:unhideWhenUsed/>
    <w:rsid w:val="00306F53"/>
    <w:pPr>
      <w:spacing w:before="120" w:after="0"/>
      <w:ind w:left="220"/>
    </w:pPr>
    <w:rPr>
      <w:b/>
      <w:bCs/>
      <w:szCs w:val="22"/>
    </w:rPr>
  </w:style>
  <w:style w:type="paragraph" w:styleId="TOC3">
    <w:name w:val="toc 3"/>
    <w:basedOn w:val="Normal"/>
    <w:next w:val="Normal"/>
    <w:autoRedefine/>
    <w:uiPriority w:val="39"/>
    <w:unhideWhenUsed/>
    <w:rsid w:val="00306F53"/>
    <w:pPr>
      <w:spacing w:after="0"/>
      <w:ind w:left="440"/>
    </w:pPr>
    <w:rPr>
      <w:sz w:val="20"/>
      <w:szCs w:val="20"/>
    </w:rPr>
  </w:style>
  <w:style w:type="paragraph" w:styleId="TOC4">
    <w:name w:val="toc 4"/>
    <w:basedOn w:val="Normal"/>
    <w:next w:val="Normal"/>
    <w:autoRedefine/>
    <w:uiPriority w:val="39"/>
    <w:semiHidden/>
    <w:unhideWhenUsed/>
    <w:rsid w:val="00306F53"/>
    <w:pPr>
      <w:spacing w:after="0"/>
      <w:ind w:left="660"/>
    </w:pPr>
    <w:rPr>
      <w:sz w:val="20"/>
      <w:szCs w:val="20"/>
    </w:rPr>
  </w:style>
  <w:style w:type="paragraph" w:styleId="TOC5">
    <w:name w:val="toc 5"/>
    <w:basedOn w:val="Normal"/>
    <w:next w:val="Normal"/>
    <w:autoRedefine/>
    <w:uiPriority w:val="39"/>
    <w:semiHidden/>
    <w:unhideWhenUsed/>
    <w:rsid w:val="00306F53"/>
    <w:pPr>
      <w:spacing w:after="0"/>
      <w:ind w:left="880"/>
    </w:pPr>
    <w:rPr>
      <w:sz w:val="20"/>
      <w:szCs w:val="20"/>
    </w:rPr>
  </w:style>
  <w:style w:type="paragraph" w:styleId="TOC6">
    <w:name w:val="toc 6"/>
    <w:basedOn w:val="Normal"/>
    <w:next w:val="Normal"/>
    <w:autoRedefine/>
    <w:uiPriority w:val="39"/>
    <w:semiHidden/>
    <w:unhideWhenUsed/>
    <w:rsid w:val="00306F53"/>
    <w:pPr>
      <w:spacing w:after="0"/>
      <w:ind w:left="1100"/>
    </w:pPr>
    <w:rPr>
      <w:sz w:val="20"/>
      <w:szCs w:val="20"/>
    </w:rPr>
  </w:style>
  <w:style w:type="paragraph" w:styleId="TOC7">
    <w:name w:val="toc 7"/>
    <w:basedOn w:val="Normal"/>
    <w:next w:val="Normal"/>
    <w:autoRedefine/>
    <w:uiPriority w:val="39"/>
    <w:semiHidden/>
    <w:unhideWhenUsed/>
    <w:rsid w:val="00306F53"/>
    <w:pPr>
      <w:spacing w:after="0"/>
      <w:ind w:left="1320"/>
    </w:pPr>
    <w:rPr>
      <w:sz w:val="20"/>
      <w:szCs w:val="20"/>
    </w:rPr>
  </w:style>
  <w:style w:type="paragraph" w:styleId="TOC8">
    <w:name w:val="toc 8"/>
    <w:basedOn w:val="Normal"/>
    <w:next w:val="Normal"/>
    <w:autoRedefine/>
    <w:uiPriority w:val="39"/>
    <w:semiHidden/>
    <w:unhideWhenUsed/>
    <w:rsid w:val="00306F53"/>
    <w:pPr>
      <w:spacing w:after="0"/>
      <w:ind w:left="1540"/>
    </w:pPr>
    <w:rPr>
      <w:sz w:val="20"/>
      <w:szCs w:val="20"/>
    </w:rPr>
  </w:style>
  <w:style w:type="paragraph" w:styleId="TOC9">
    <w:name w:val="toc 9"/>
    <w:basedOn w:val="Normal"/>
    <w:next w:val="Normal"/>
    <w:autoRedefine/>
    <w:uiPriority w:val="39"/>
    <w:semiHidden/>
    <w:unhideWhenUsed/>
    <w:rsid w:val="00306F53"/>
    <w:pPr>
      <w:spacing w:after="0"/>
      <w:ind w:left="1760"/>
    </w:pPr>
    <w:rPr>
      <w:sz w:val="20"/>
      <w:szCs w:val="20"/>
    </w:rPr>
  </w:style>
  <w:style w:type="paragraph" w:styleId="NormalWeb">
    <w:name w:val="Normal (Web)"/>
    <w:basedOn w:val="Normal"/>
    <w:uiPriority w:val="99"/>
    <w:unhideWhenUsed/>
    <w:rsid w:val="00280ACE"/>
    <w:pPr>
      <w:spacing w:before="100" w:beforeAutospacing="1" w:after="100" w:afterAutospacing="1" w:line="240" w:lineRule="auto"/>
    </w:pPr>
    <w:rPr>
      <w:rFonts w:ascii="Times New Roman" w:eastAsia="Times New Roman" w:hAnsi="Times New Roman" w:cs="Times New Roman"/>
      <w:kern w:val="0"/>
      <w:sz w:val="24"/>
      <w14:ligatures w14:val="none"/>
    </w:rPr>
  </w:style>
  <w:style w:type="table" w:styleId="TableGrid">
    <w:name w:val="Table Grid"/>
    <w:basedOn w:val="TableNormal"/>
    <w:uiPriority w:val="39"/>
    <w:rsid w:val="00EB7352"/>
    <w:pPr>
      <w:spacing w:after="0" w:line="240" w:lineRule="auto"/>
    </w:pPr>
    <w:tblPr>
      <w:tblInd w:w="0" w:type="nil"/>
      <w:tblCellMar>
        <w:left w:w="0" w:type="dxa"/>
        <w:right w:w="0" w:type="dxa"/>
      </w:tblCellMar>
    </w:tblPr>
  </w:style>
  <w:style w:type="character" w:styleId="UnresolvedMention">
    <w:name w:val="Unresolved Mention"/>
    <w:basedOn w:val="DefaultParagraphFont"/>
    <w:uiPriority w:val="99"/>
    <w:semiHidden/>
    <w:unhideWhenUsed/>
    <w:rsid w:val="00FA2917"/>
    <w:rPr>
      <w:color w:val="605E5C"/>
      <w:shd w:val="clear" w:color="auto" w:fill="E1DFDD"/>
    </w:rPr>
  </w:style>
  <w:style w:type="character" w:styleId="PlaceholderText">
    <w:name w:val="Placeholder Text"/>
    <w:basedOn w:val="DefaultParagraphFont"/>
    <w:uiPriority w:val="99"/>
    <w:semiHidden/>
    <w:rsid w:val="00D525F0"/>
    <w:rPr>
      <w:color w:val="666666"/>
    </w:rPr>
  </w:style>
  <w:style w:type="character" w:customStyle="1" w:styleId="mord">
    <w:name w:val="mord"/>
    <w:basedOn w:val="DefaultParagraphFont"/>
    <w:rsid w:val="00D525F0"/>
  </w:style>
  <w:style w:type="character" w:customStyle="1" w:styleId="vlist-s">
    <w:name w:val="vlist-s"/>
    <w:basedOn w:val="DefaultParagraphFont"/>
    <w:rsid w:val="00D525F0"/>
  </w:style>
  <w:style w:type="character" w:customStyle="1" w:styleId="mopen">
    <w:name w:val="mopen"/>
    <w:basedOn w:val="DefaultParagraphFont"/>
    <w:rsid w:val="00D525F0"/>
  </w:style>
  <w:style w:type="character" w:customStyle="1" w:styleId="mclose">
    <w:name w:val="mclose"/>
    <w:basedOn w:val="DefaultParagraphFont"/>
    <w:rsid w:val="00D525F0"/>
  </w:style>
  <w:style w:type="character" w:customStyle="1" w:styleId="mrel">
    <w:name w:val="mrel"/>
    <w:basedOn w:val="DefaultParagraphFont"/>
    <w:rsid w:val="00D525F0"/>
  </w:style>
  <w:style w:type="character" w:customStyle="1" w:styleId="mop">
    <w:name w:val="mop"/>
    <w:basedOn w:val="DefaultParagraphFont"/>
    <w:rsid w:val="00D525F0"/>
  </w:style>
  <w:style w:type="character" w:customStyle="1" w:styleId="mbin">
    <w:name w:val="mbin"/>
    <w:basedOn w:val="DefaultParagraphFont"/>
    <w:rsid w:val="00E0683B"/>
  </w:style>
  <w:style w:type="character" w:customStyle="1" w:styleId="delimsizing">
    <w:name w:val="delimsizing"/>
    <w:basedOn w:val="DefaultParagraphFont"/>
    <w:rsid w:val="003C2E31"/>
  </w:style>
  <w:style w:type="character" w:styleId="Emphasis">
    <w:name w:val="Emphasis"/>
    <w:basedOn w:val="DefaultParagraphFont"/>
    <w:uiPriority w:val="20"/>
    <w:qFormat/>
    <w:rsid w:val="000E3775"/>
    <w:rPr>
      <w:i/>
      <w:iCs/>
    </w:rPr>
  </w:style>
  <w:style w:type="character" w:customStyle="1" w:styleId="mpunct">
    <w:name w:val="mpunct"/>
    <w:basedOn w:val="DefaultParagraphFont"/>
    <w:rsid w:val="000360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3928">
      <w:bodyDiv w:val="1"/>
      <w:marLeft w:val="0"/>
      <w:marRight w:val="0"/>
      <w:marTop w:val="0"/>
      <w:marBottom w:val="0"/>
      <w:divBdr>
        <w:top w:val="none" w:sz="0" w:space="0" w:color="auto"/>
        <w:left w:val="none" w:sz="0" w:space="0" w:color="auto"/>
        <w:bottom w:val="none" w:sz="0" w:space="0" w:color="auto"/>
        <w:right w:val="none" w:sz="0" w:space="0" w:color="auto"/>
      </w:divBdr>
    </w:div>
    <w:div w:id="38166215">
      <w:bodyDiv w:val="1"/>
      <w:marLeft w:val="0"/>
      <w:marRight w:val="0"/>
      <w:marTop w:val="0"/>
      <w:marBottom w:val="0"/>
      <w:divBdr>
        <w:top w:val="none" w:sz="0" w:space="0" w:color="auto"/>
        <w:left w:val="none" w:sz="0" w:space="0" w:color="auto"/>
        <w:bottom w:val="none" w:sz="0" w:space="0" w:color="auto"/>
        <w:right w:val="none" w:sz="0" w:space="0" w:color="auto"/>
      </w:divBdr>
      <w:divsChild>
        <w:div w:id="1852448984">
          <w:marLeft w:val="0"/>
          <w:marRight w:val="0"/>
          <w:marTop w:val="0"/>
          <w:marBottom w:val="0"/>
          <w:divBdr>
            <w:top w:val="none" w:sz="0" w:space="0" w:color="auto"/>
            <w:left w:val="none" w:sz="0" w:space="0" w:color="auto"/>
            <w:bottom w:val="none" w:sz="0" w:space="0" w:color="auto"/>
            <w:right w:val="none" w:sz="0" w:space="0" w:color="auto"/>
          </w:divBdr>
          <w:divsChild>
            <w:div w:id="15236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3248">
      <w:bodyDiv w:val="1"/>
      <w:marLeft w:val="0"/>
      <w:marRight w:val="0"/>
      <w:marTop w:val="0"/>
      <w:marBottom w:val="0"/>
      <w:divBdr>
        <w:top w:val="none" w:sz="0" w:space="0" w:color="auto"/>
        <w:left w:val="none" w:sz="0" w:space="0" w:color="auto"/>
        <w:bottom w:val="none" w:sz="0" w:space="0" w:color="auto"/>
        <w:right w:val="none" w:sz="0" w:space="0" w:color="auto"/>
      </w:divBdr>
    </w:div>
    <w:div w:id="91049356">
      <w:bodyDiv w:val="1"/>
      <w:marLeft w:val="0"/>
      <w:marRight w:val="0"/>
      <w:marTop w:val="0"/>
      <w:marBottom w:val="0"/>
      <w:divBdr>
        <w:top w:val="none" w:sz="0" w:space="0" w:color="auto"/>
        <w:left w:val="none" w:sz="0" w:space="0" w:color="auto"/>
        <w:bottom w:val="none" w:sz="0" w:space="0" w:color="auto"/>
        <w:right w:val="none" w:sz="0" w:space="0" w:color="auto"/>
      </w:divBdr>
    </w:div>
    <w:div w:id="162670283">
      <w:bodyDiv w:val="1"/>
      <w:marLeft w:val="0"/>
      <w:marRight w:val="0"/>
      <w:marTop w:val="0"/>
      <w:marBottom w:val="0"/>
      <w:divBdr>
        <w:top w:val="none" w:sz="0" w:space="0" w:color="auto"/>
        <w:left w:val="none" w:sz="0" w:space="0" w:color="auto"/>
        <w:bottom w:val="none" w:sz="0" w:space="0" w:color="auto"/>
        <w:right w:val="none" w:sz="0" w:space="0" w:color="auto"/>
      </w:divBdr>
    </w:div>
    <w:div w:id="218325416">
      <w:bodyDiv w:val="1"/>
      <w:marLeft w:val="0"/>
      <w:marRight w:val="0"/>
      <w:marTop w:val="0"/>
      <w:marBottom w:val="0"/>
      <w:divBdr>
        <w:top w:val="none" w:sz="0" w:space="0" w:color="auto"/>
        <w:left w:val="none" w:sz="0" w:space="0" w:color="auto"/>
        <w:bottom w:val="none" w:sz="0" w:space="0" w:color="auto"/>
        <w:right w:val="none" w:sz="0" w:space="0" w:color="auto"/>
      </w:divBdr>
      <w:divsChild>
        <w:div w:id="80417337">
          <w:marLeft w:val="274"/>
          <w:marRight w:val="0"/>
          <w:marTop w:val="0"/>
          <w:marBottom w:val="120"/>
          <w:divBdr>
            <w:top w:val="none" w:sz="0" w:space="0" w:color="auto"/>
            <w:left w:val="none" w:sz="0" w:space="0" w:color="auto"/>
            <w:bottom w:val="none" w:sz="0" w:space="0" w:color="auto"/>
            <w:right w:val="none" w:sz="0" w:space="0" w:color="auto"/>
          </w:divBdr>
        </w:div>
        <w:div w:id="341015235">
          <w:marLeft w:val="274"/>
          <w:marRight w:val="0"/>
          <w:marTop w:val="0"/>
          <w:marBottom w:val="120"/>
          <w:divBdr>
            <w:top w:val="none" w:sz="0" w:space="0" w:color="auto"/>
            <w:left w:val="none" w:sz="0" w:space="0" w:color="auto"/>
            <w:bottom w:val="none" w:sz="0" w:space="0" w:color="auto"/>
            <w:right w:val="none" w:sz="0" w:space="0" w:color="auto"/>
          </w:divBdr>
        </w:div>
        <w:div w:id="1105617513">
          <w:marLeft w:val="274"/>
          <w:marRight w:val="0"/>
          <w:marTop w:val="0"/>
          <w:marBottom w:val="120"/>
          <w:divBdr>
            <w:top w:val="none" w:sz="0" w:space="0" w:color="auto"/>
            <w:left w:val="none" w:sz="0" w:space="0" w:color="auto"/>
            <w:bottom w:val="none" w:sz="0" w:space="0" w:color="auto"/>
            <w:right w:val="none" w:sz="0" w:space="0" w:color="auto"/>
          </w:divBdr>
        </w:div>
        <w:div w:id="1302534840">
          <w:marLeft w:val="274"/>
          <w:marRight w:val="0"/>
          <w:marTop w:val="0"/>
          <w:marBottom w:val="120"/>
          <w:divBdr>
            <w:top w:val="none" w:sz="0" w:space="0" w:color="auto"/>
            <w:left w:val="none" w:sz="0" w:space="0" w:color="auto"/>
            <w:bottom w:val="none" w:sz="0" w:space="0" w:color="auto"/>
            <w:right w:val="none" w:sz="0" w:space="0" w:color="auto"/>
          </w:divBdr>
        </w:div>
        <w:div w:id="1981684662">
          <w:marLeft w:val="274"/>
          <w:marRight w:val="0"/>
          <w:marTop w:val="0"/>
          <w:marBottom w:val="120"/>
          <w:divBdr>
            <w:top w:val="none" w:sz="0" w:space="0" w:color="auto"/>
            <w:left w:val="none" w:sz="0" w:space="0" w:color="auto"/>
            <w:bottom w:val="none" w:sz="0" w:space="0" w:color="auto"/>
            <w:right w:val="none" w:sz="0" w:space="0" w:color="auto"/>
          </w:divBdr>
        </w:div>
      </w:divsChild>
    </w:div>
    <w:div w:id="273367354">
      <w:bodyDiv w:val="1"/>
      <w:marLeft w:val="0"/>
      <w:marRight w:val="0"/>
      <w:marTop w:val="0"/>
      <w:marBottom w:val="0"/>
      <w:divBdr>
        <w:top w:val="none" w:sz="0" w:space="0" w:color="auto"/>
        <w:left w:val="none" w:sz="0" w:space="0" w:color="auto"/>
        <w:bottom w:val="none" w:sz="0" w:space="0" w:color="auto"/>
        <w:right w:val="none" w:sz="0" w:space="0" w:color="auto"/>
      </w:divBdr>
    </w:div>
    <w:div w:id="290475631">
      <w:bodyDiv w:val="1"/>
      <w:marLeft w:val="0"/>
      <w:marRight w:val="0"/>
      <w:marTop w:val="0"/>
      <w:marBottom w:val="0"/>
      <w:divBdr>
        <w:top w:val="none" w:sz="0" w:space="0" w:color="auto"/>
        <w:left w:val="none" w:sz="0" w:space="0" w:color="auto"/>
        <w:bottom w:val="none" w:sz="0" w:space="0" w:color="auto"/>
        <w:right w:val="none" w:sz="0" w:space="0" w:color="auto"/>
      </w:divBdr>
    </w:div>
    <w:div w:id="408306974">
      <w:bodyDiv w:val="1"/>
      <w:marLeft w:val="0"/>
      <w:marRight w:val="0"/>
      <w:marTop w:val="0"/>
      <w:marBottom w:val="0"/>
      <w:divBdr>
        <w:top w:val="none" w:sz="0" w:space="0" w:color="auto"/>
        <w:left w:val="none" w:sz="0" w:space="0" w:color="auto"/>
        <w:bottom w:val="none" w:sz="0" w:space="0" w:color="auto"/>
        <w:right w:val="none" w:sz="0" w:space="0" w:color="auto"/>
      </w:divBdr>
    </w:div>
    <w:div w:id="408579348">
      <w:bodyDiv w:val="1"/>
      <w:marLeft w:val="0"/>
      <w:marRight w:val="0"/>
      <w:marTop w:val="0"/>
      <w:marBottom w:val="0"/>
      <w:divBdr>
        <w:top w:val="none" w:sz="0" w:space="0" w:color="auto"/>
        <w:left w:val="none" w:sz="0" w:space="0" w:color="auto"/>
        <w:bottom w:val="none" w:sz="0" w:space="0" w:color="auto"/>
        <w:right w:val="none" w:sz="0" w:space="0" w:color="auto"/>
      </w:divBdr>
    </w:div>
    <w:div w:id="413206602">
      <w:bodyDiv w:val="1"/>
      <w:marLeft w:val="0"/>
      <w:marRight w:val="0"/>
      <w:marTop w:val="0"/>
      <w:marBottom w:val="0"/>
      <w:divBdr>
        <w:top w:val="none" w:sz="0" w:space="0" w:color="auto"/>
        <w:left w:val="none" w:sz="0" w:space="0" w:color="auto"/>
        <w:bottom w:val="none" w:sz="0" w:space="0" w:color="auto"/>
        <w:right w:val="none" w:sz="0" w:space="0" w:color="auto"/>
      </w:divBdr>
    </w:div>
    <w:div w:id="414941057">
      <w:bodyDiv w:val="1"/>
      <w:marLeft w:val="0"/>
      <w:marRight w:val="0"/>
      <w:marTop w:val="0"/>
      <w:marBottom w:val="0"/>
      <w:divBdr>
        <w:top w:val="none" w:sz="0" w:space="0" w:color="auto"/>
        <w:left w:val="none" w:sz="0" w:space="0" w:color="auto"/>
        <w:bottom w:val="none" w:sz="0" w:space="0" w:color="auto"/>
        <w:right w:val="none" w:sz="0" w:space="0" w:color="auto"/>
      </w:divBdr>
    </w:div>
    <w:div w:id="456800085">
      <w:bodyDiv w:val="1"/>
      <w:marLeft w:val="0"/>
      <w:marRight w:val="0"/>
      <w:marTop w:val="0"/>
      <w:marBottom w:val="0"/>
      <w:divBdr>
        <w:top w:val="none" w:sz="0" w:space="0" w:color="auto"/>
        <w:left w:val="none" w:sz="0" w:space="0" w:color="auto"/>
        <w:bottom w:val="none" w:sz="0" w:space="0" w:color="auto"/>
        <w:right w:val="none" w:sz="0" w:space="0" w:color="auto"/>
      </w:divBdr>
    </w:div>
    <w:div w:id="469903058">
      <w:bodyDiv w:val="1"/>
      <w:marLeft w:val="0"/>
      <w:marRight w:val="0"/>
      <w:marTop w:val="0"/>
      <w:marBottom w:val="0"/>
      <w:divBdr>
        <w:top w:val="none" w:sz="0" w:space="0" w:color="auto"/>
        <w:left w:val="none" w:sz="0" w:space="0" w:color="auto"/>
        <w:bottom w:val="none" w:sz="0" w:space="0" w:color="auto"/>
        <w:right w:val="none" w:sz="0" w:space="0" w:color="auto"/>
      </w:divBdr>
    </w:div>
    <w:div w:id="475881475">
      <w:bodyDiv w:val="1"/>
      <w:marLeft w:val="0"/>
      <w:marRight w:val="0"/>
      <w:marTop w:val="0"/>
      <w:marBottom w:val="0"/>
      <w:divBdr>
        <w:top w:val="none" w:sz="0" w:space="0" w:color="auto"/>
        <w:left w:val="none" w:sz="0" w:space="0" w:color="auto"/>
        <w:bottom w:val="none" w:sz="0" w:space="0" w:color="auto"/>
        <w:right w:val="none" w:sz="0" w:space="0" w:color="auto"/>
      </w:divBdr>
    </w:div>
    <w:div w:id="490949389">
      <w:bodyDiv w:val="1"/>
      <w:marLeft w:val="0"/>
      <w:marRight w:val="0"/>
      <w:marTop w:val="0"/>
      <w:marBottom w:val="0"/>
      <w:divBdr>
        <w:top w:val="none" w:sz="0" w:space="0" w:color="auto"/>
        <w:left w:val="none" w:sz="0" w:space="0" w:color="auto"/>
        <w:bottom w:val="none" w:sz="0" w:space="0" w:color="auto"/>
        <w:right w:val="none" w:sz="0" w:space="0" w:color="auto"/>
      </w:divBdr>
    </w:div>
    <w:div w:id="517163629">
      <w:bodyDiv w:val="1"/>
      <w:marLeft w:val="0"/>
      <w:marRight w:val="0"/>
      <w:marTop w:val="0"/>
      <w:marBottom w:val="0"/>
      <w:divBdr>
        <w:top w:val="none" w:sz="0" w:space="0" w:color="auto"/>
        <w:left w:val="none" w:sz="0" w:space="0" w:color="auto"/>
        <w:bottom w:val="none" w:sz="0" w:space="0" w:color="auto"/>
        <w:right w:val="none" w:sz="0" w:space="0" w:color="auto"/>
      </w:divBdr>
    </w:div>
    <w:div w:id="531454183">
      <w:bodyDiv w:val="1"/>
      <w:marLeft w:val="0"/>
      <w:marRight w:val="0"/>
      <w:marTop w:val="0"/>
      <w:marBottom w:val="0"/>
      <w:divBdr>
        <w:top w:val="none" w:sz="0" w:space="0" w:color="auto"/>
        <w:left w:val="none" w:sz="0" w:space="0" w:color="auto"/>
        <w:bottom w:val="none" w:sz="0" w:space="0" w:color="auto"/>
        <w:right w:val="none" w:sz="0" w:space="0" w:color="auto"/>
      </w:divBdr>
      <w:divsChild>
        <w:div w:id="1152135576">
          <w:marLeft w:val="274"/>
          <w:marRight w:val="0"/>
          <w:marTop w:val="0"/>
          <w:marBottom w:val="120"/>
          <w:divBdr>
            <w:top w:val="none" w:sz="0" w:space="0" w:color="auto"/>
            <w:left w:val="none" w:sz="0" w:space="0" w:color="auto"/>
            <w:bottom w:val="none" w:sz="0" w:space="0" w:color="auto"/>
            <w:right w:val="none" w:sz="0" w:space="0" w:color="auto"/>
          </w:divBdr>
        </w:div>
      </w:divsChild>
    </w:div>
    <w:div w:id="553741352">
      <w:bodyDiv w:val="1"/>
      <w:marLeft w:val="0"/>
      <w:marRight w:val="0"/>
      <w:marTop w:val="0"/>
      <w:marBottom w:val="0"/>
      <w:divBdr>
        <w:top w:val="none" w:sz="0" w:space="0" w:color="auto"/>
        <w:left w:val="none" w:sz="0" w:space="0" w:color="auto"/>
        <w:bottom w:val="none" w:sz="0" w:space="0" w:color="auto"/>
        <w:right w:val="none" w:sz="0" w:space="0" w:color="auto"/>
      </w:divBdr>
    </w:div>
    <w:div w:id="564802480">
      <w:bodyDiv w:val="1"/>
      <w:marLeft w:val="0"/>
      <w:marRight w:val="0"/>
      <w:marTop w:val="0"/>
      <w:marBottom w:val="0"/>
      <w:divBdr>
        <w:top w:val="none" w:sz="0" w:space="0" w:color="auto"/>
        <w:left w:val="none" w:sz="0" w:space="0" w:color="auto"/>
        <w:bottom w:val="none" w:sz="0" w:space="0" w:color="auto"/>
        <w:right w:val="none" w:sz="0" w:space="0" w:color="auto"/>
      </w:divBdr>
    </w:div>
    <w:div w:id="570851094">
      <w:bodyDiv w:val="1"/>
      <w:marLeft w:val="0"/>
      <w:marRight w:val="0"/>
      <w:marTop w:val="0"/>
      <w:marBottom w:val="0"/>
      <w:divBdr>
        <w:top w:val="none" w:sz="0" w:space="0" w:color="auto"/>
        <w:left w:val="none" w:sz="0" w:space="0" w:color="auto"/>
        <w:bottom w:val="none" w:sz="0" w:space="0" w:color="auto"/>
        <w:right w:val="none" w:sz="0" w:space="0" w:color="auto"/>
      </w:divBdr>
      <w:divsChild>
        <w:div w:id="230894075">
          <w:marLeft w:val="274"/>
          <w:marRight w:val="0"/>
          <w:marTop w:val="0"/>
          <w:marBottom w:val="120"/>
          <w:divBdr>
            <w:top w:val="none" w:sz="0" w:space="0" w:color="auto"/>
            <w:left w:val="none" w:sz="0" w:space="0" w:color="auto"/>
            <w:bottom w:val="none" w:sz="0" w:space="0" w:color="auto"/>
            <w:right w:val="none" w:sz="0" w:space="0" w:color="auto"/>
          </w:divBdr>
        </w:div>
        <w:div w:id="389505221">
          <w:marLeft w:val="274"/>
          <w:marRight w:val="0"/>
          <w:marTop w:val="0"/>
          <w:marBottom w:val="120"/>
          <w:divBdr>
            <w:top w:val="none" w:sz="0" w:space="0" w:color="auto"/>
            <w:left w:val="none" w:sz="0" w:space="0" w:color="auto"/>
            <w:bottom w:val="none" w:sz="0" w:space="0" w:color="auto"/>
            <w:right w:val="none" w:sz="0" w:space="0" w:color="auto"/>
          </w:divBdr>
        </w:div>
        <w:div w:id="1141851705">
          <w:marLeft w:val="274"/>
          <w:marRight w:val="0"/>
          <w:marTop w:val="0"/>
          <w:marBottom w:val="120"/>
          <w:divBdr>
            <w:top w:val="none" w:sz="0" w:space="0" w:color="auto"/>
            <w:left w:val="none" w:sz="0" w:space="0" w:color="auto"/>
            <w:bottom w:val="none" w:sz="0" w:space="0" w:color="auto"/>
            <w:right w:val="none" w:sz="0" w:space="0" w:color="auto"/>
          </w:divBdr>
        </w:div>
        <w:div w:id="1224876569">
          <w:marLeft w:val="274"/>
          <w:marRight w:val="0"/>
          <w:marTop w:val="0"/>
          <w:marBottom w:val="120"/>
          <w:divBdr>
            <w:top w:val="none" w:sz="0" w:space="0" w:color="auto"/>
            <w:left w:val="none" w:sz="0" w:space="0" w:color="auto"/>
            <w:bottom w:val="none" w:sz="0" w:space="0" w:color="auto"/>
            <w:right w:val="none" w:sz="0" w:space="0" w:color="auto"/>
          </w:divBdr>
        </w:div>
        <w:div w:id="1382746554">
          <w:marLeft w:val="274"/>
          <w:marRight w:val="0"/>
          <w:marTop w:val="0"/>
          <w:marBottom w:val="120"/>
          <w:divBdr>
            <w:top w:val="none" w:sz="0" w:space="0" w:color="auto"/>
            <w:left w:val="none" w:sz="0" w:space="0" w:color="auto"/>
            <w:bottom w:val="none" w:sz="0" w:space="0" w:color="auto"/>
            <w:right w:val="none" w:sz="0" w:space="0" w:color="auto"/>
          </w:divBdr>
        </w:div>
      </w:divsChild>
    </w:div>
    <w:div w:id="578175526">
      <w:bodyDiv w:val="1"/>
      <w:marLeft w:val="0"/>
      <w:marRight w:val="0"/>
      <w:marTop w:val="0"/>
      <w:marBottom w:val="0"/>
      <w:divBdr>
        <w:top w:val="none" w:sz="0" w:space="0" w:color="auto"/>
        <w:left w:val="none" w:sz="0" w:space="0" w:color="auto"/>
        <w:bottom w:val="none" w:sz="0" w:space="0" w:color="auto"/>
        <w:right w:val="none" w:sz="0" w:space="0" w:color="auto"/>
      </w:divBdr>
    </w:div>
    <w:div w:id="596059695">
      <w:bodyDiv w:val="1"/>
      <w:marLeft w:val="0"/>
      <w:marRight w:val="0"/>
      <w:marTop w:val="0"/>
      <w:marBottom w:val="0"/>
      <w:divBdr>
        <w:top w:val="none" w:sz="0" w:space="0" w:color="auto"/>
        <w:left w:val="none" w:sz="0" w:space="0" w:color="auto"/>
        <w:bottom w:val="none" w:sz="0" w:space="0" w:color="auto"/>
        <w:right w:val="none" w:sz="0" w:space="0" w:color="auto"/>
      </w:divBdr>
    </w:div>
    <w:div w:id="607666262">
      <w:bodyDiv w:val="1"/>
      <w:marLeft w:val="0"/>
      <w:marRight w:val="0"/>
      <w:marTop w:val="0"/>
      <w:marBottom w:val="0"/>
      <w:divBdr>
        <w:top w:val="none" w:sz="0" w:space="0" w:color="auto"/>
        <w:left w:val="none" w:sz="0" w:space="0" w:color="auto"/>
        <w:bottom w:val="none" w:sz="0" w:space="0" w:color="auto"/>
        <w:right w:val="none" w:sz="0" w:space="0" w:color="auto"/>
      </w:divBdr>
    </w:div>
    <w:div w:id="625087902">
      <w:bodyDiv w:val="1"/>
      <w:marLeft w:val="0"/>
      <w:marRight w:val="0"/>
      <w:marTop w:val="0"/>
      <w:marBottom w:val="0"/>
      <w:divBdr>
        <w:top w:val="none" w:sz="0" w:space="0" w:color="auto"/>
        <w:left w:val="none" w:sz="0" w:space="0" w:color="auto"/>
        <w:bottom w:val="none" w:sz="0" w:space="0" w:color="auto"/>
        <w:right w:val="none" w:sz="0" w:space="0" w:color="auto"/>
      </w:divBdr>
    </w:div>
    <w:div w:id="642274299">
      <w:bodyDiv w:val="1"/>
      <w:marLeft w:val="0"/>
      <w:marRight w:val="0"/>
      <w:marTop w:val="0"/>
      <w:marBottom w:val="0"/>
      <w:divBdr>
        <w:top w:val="none" w:sz="0" w:space="0" w:color="auto"/>
        <w:left w:val="none" w:sz="0" w:space="0" w:color="auto"/>
        <w:bottom w:val="none" w:sz="0" w:space="0" w:color="auto"/>
        <w:right w:val="none" w:sz="0" w:space="0" w:color="auto"/>
      </w:divBdr>
    </w:div>
    <w:div w:id="681861169">
      <w:bodyDiv w:val="1"/>
      <w:marLeft w:val="0"/>
      <w:marRight w:val="0"/>
      <w:marTop w:val="0"/>
      <w:marBottom w:val="0"/>
      <w:divBdr>
        <w:top w:val="none" w:sz="0" w:space="0" w:color="auto"/>
        <w:left w:val="none" w:sz="0" w:space="0" w:color="auto"/>
        <w:bottom w:val="none" w:sz="0" w:space="0" w:color="auto"/>
        <w:right w:val="none" w:sz="0" w:space="0" w:color="auto"/>
      </w:divBdr>
    </w:div>
    <w:div w:id="682439042">
      <w:bodyDiv w:val="1"/>
      <w:marLeft w:val="0"/>
      <w:marRight w:val="0"/>
      <w:marTop w:val="0"/>
      <w:marBottom w:val="0"/>
      <w:divBdr>
        <w:top w:val="none" w:sz="0" w:space="0" w:color="auto"/>
        <w:left w:val="none" w:sz="0" w:space="0" w:color="auto"/>
        <w:bottom w:val="none" w:sz="0" w:space="0" w:color="auto"/>
        <w:right w:val="none" w:sz="0" w:space="0" w:color="auto"/>
      </w:divBdr>
    </w:div>
    <w:div w:id="706107695">
      <w:bodyDiv w:val="1"/>
      <w:marLeft w:val="0"/>
      <w:marRight w:val="0"/>
      <w:marTop w:val="0"/>
      <w:marBottom w:val="0"/>
      <w:divBdr>
        <w:top w:val="none" w:sz="0" w:space="0" w:color="auto"/>
        <w:left w:val="none" w:sz="0" w:space="0" w:color="auto"/>
        <w:bottom w:val="none" w:sz="0" w:space="0" w:color="auto"/>
        <w:right w:val="none" w:sz="0" w:space="0" w:color="auto"/>
      </w:divBdr>
    </w:div>
    <w:div w:id="715472478">
      <w:bodyDiv w:val="1"/>
      <w:marLeft w:val="0"/>
      <w:marRight w:val="0"/>
      <w:marTop w:val="0"/>
      <w:marBottom w:val="0"/>
      <w:divBdr>
        <w:top w:val="none" w:sz="0" w:space="0" w:color="auto"/>
        <w:left w:val="none" w:sz="0" w:space="0" w:color="auto"/>
        <w:bottom w:val="none" w:sz="0" w:space="0" w:color="auto"/>
        <w:right w:val="none" w:sz="0" w:space="0" w:color="auto"/>
      </w:divBdr>
    </w:div>
    <w:div w:id="769161744">
      <w:bodyDiv w:val="1"/>
      <w:marLeft w:val="0"/>
      <w:marRight w:val="0"/>
      <w:marTop w:val="0"/>
      <w:marBottom w:val="0"/>
      <w:divBdr>
        <w:top w:val="none" w:sz="0" w:space="0" w:color="auto"/>
        <w:left w:val="none" w:sz="0" w:space="0" w:color="auto"/>
        <w:bottom w:val="none" w:sz="0" w:space="0" w:color="auto"/>
        <w:right w:val="none" w:sz="0" w:space="0" w:color="auto"/>
      </w:divBdr>
    </w:div>
    <w:div w:id="774442578">
      <w:bodyDiv w:val="1"/>
      <w:marLeft w:val="0"/>
      <w:marRight w:val="0"/>
      <w:marTop w:val="0"/>
      <w:marBottom w:val="0"/>
      <w:divBdr>
        <w:top w:val="none" w:sz="0" w:space="0" w:color="auto"/>
        <w:left w:val="none" w:sz="0" w:space="0" w:color="auto"/>
        <w:bottom w:val="none" w:sz="0" w:space="0" w:color="auto"/>
        <w:right w:val="none" w:sz="0" w:space="0" w:color="auto"/>
      </w:divBdr>
    </w:div>
    <w:div w:id="775060247">
      <w:bodyDiv w:val="1"/>
      <w:marLeft w:val="0"/>
      <w:marRight w:val="0"/>
      <w:marTop w:val="0"/>
      <w:marBottom w:val="0"/>
      <w:divBdr>
        <w:top w:val="none" w:sz="0" w:space="0" w:color="auto"/>
        <w:left w:val="none" w:sz="0" w:space="0" w:color="auto"/>
        <w:bottom w:val="none" w:sz="0" w:space="0" w:color="auto"/>
        <w:right w:val="none" w:sz="0" w:space="0" w:color="auto"/>
      </w:divBdr>
    </w:div>
    <w:div w:id="791096061">
      <w:bodyDiv w:val="1"/>
      <w:marLeft w:val="0"/>
      <w:marRight w:val="0"/>
      <w:marTop w:val="0"/>
      <w:marBottom w:val="0"/>
      <w:divBdr>
        <w:top w:val="none" w:sz="0" w:space="0" w:color="auto"/>
        <w:left w:val="none" w:sz="0" w:space="0" w:color="auto"/>
        <w:bottom w:val="none" w:sz="0" w:space="0" w:color="auto"/>
        <w:right w:val="none" w:sz="0" w:space="0" w:color="auto"/>
      </w:divBdr>
    </w:div>
    <w:div w:id="819080353">
      <w:bodyDiv w:val="1"/>
      <w:marLeft w:val="0"/>
      <w:marRight w:val="0"/>
      <w:marTop w:val="0"/>
      <w:marBottom w:val="0"/>
      <w:divBdr>
        <w:top w:val="none" w:sz="0" w:space="0" w:color="auto"/>
        <w:left w:val="none" w:sz="0" w:space="0" w:color="auto"/>
        <w:bottom w:val="none" w:sz="0" w:space="0" w:color="auto"/>
        <w:right w:val="none" w:sz="0" w:space="0" w:color="auto"/>
      </w:divBdr>
    </w:div>
    <w:div w:id="849639701">
      <w:bodyDiv w:val="1"/>
      <w:marLeft w:val="0"/>
      <w:marRight w:val="0"/>
      <w:marTop w:val="0"/>
      <w:marBottom w:val="0"/>
      <w:divBdr>
        <w:top w:val="none" w:sz="0" w:space="0" w:color="auto"/>
        <w:left w:val="none" w:sz="0" w:space="0" w:color="auto"/>
        <w:bottom w:val="none" w:sz="0" w:space="0" w:color="auto"/>
        <w:right w:val="none" w:sz="0" w:space="0" w:color="auto"/>
      </w:divBdr>
      <w:divsChild>
        <w:div w:id="264967087">
          <w:marLeft w:val="0"/>
          <w:marRight w:val="0"/>
          <w:marTop w:val="0"/>
          <w:marBottom w:val="0"/>
          <w:divBdr>
            <w:top w:val="none" w:sz="0" w:space="0" w:color="auto"/>
            <w:left w:val="none" w:sz="0" w:space="0" w:color="auto"/>
            <w:bottom w:val="none" w:sz="0" w:space="0" w:color="auto"/>
            <w:right w:val="none" w:sz="0" w:space="0" w:color="auto"/>
          </w:divBdr>
          <w:divsChild>
            <w:div w:id="17231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73851">
      <w:bodyDiv w:val="1"/>
      <w:marLeft w:val="0"/>
      <w:marRight w:val="0"/>
      <w:marTop w:val="0"/>
      <w:marBottom w:val="0"/>
      <w:divBdr>
        <w:top w:val="none" w:sz="0" w:space="0" w:color="auto"/>
        <w:left w:val="none" w:sz="0" w:space="0" w:color="auto"/>
        <w:bottom w:val="none" w:sz="0" w:space="0" w:color="auto"/>
        <w:right w:val="none" w:sz="0" w:space="0" w:color="auto"/>
      </w:divBdr>
    </w:div>
    <w:div w:id="917666367">
      <w:bodyDiv w:val="1"/>
      <w:marLeft w:val="0"/>
      <w:marRight w:val="0"/>
      <w:marTop w:val="0"/>
      <w:marBottom w:val="0"/>
      <w:divBdr>
        <w:top w:val="none" w:sz="0" w:space="0" w:color="auto"/>
        <w:left w:val="none" w:sz="0" w:space="0" w:color="auto"/>
        <w:bottom w:val="none" w:sz="0" w:space="0" w:color="auto"/>
        <w:right w:val="none" w:sz="0" w:space="0" w:color="auto"/>
      </w:divBdr>
    </w:div>
    <w:div w:id="918369013">
      <w:bodyDiv w:val="1"/>
      <w:marLeft w:val="0"/>
      <w:marRight w:val="0"/>
      <w:marTop w:val="0"/>
      <w:marBottom w:val="0"/>
      <w:divBdr>
        <w:top w:val="none" w:sz="0" w:space="0" w:color="auto"/>
        <w:left w:val="none" w:sz="0" w:space="0" w:color="auto"/>
        <w:bottom w:val="none" w:sz="0" w:space="0" w:color="auto"/>
        <w:right w:val="none" w:sz="0" w:space="0" w:color="auto"/>
      </w:divBdr>
    </w:div>
    <w:div w:id="920336718">
      <w:bodyDiv w:val="1"/>
      <w:marLeft w:val="0"/>
      <w:marRight w:val="0"/>
      <w:marTop w:val="0"/>
      <w:marBottom w:val="0"/>
      <w:divBdr>
        <w:top w:val="none" w:sz="0" w:space="0" w:color="auto"/>
        <w:left w:val="none" w:sz="0" w:space="0" w:color="auto"/>
        <w:bottom w:val="none" w:sz="0" w:space="0" w:color="auto"/>
        <w:right w:val="none" w:sz="0" w:space="0" w:color="auto"/>
      </w:divBdr>
      <w:divsChild>
        <w:div w:id="1715933063">
          <w:marLeft w:val="0"/>
          <w:marRight w:val="0"/>
          <w:marTop w:val="0"/>
          <w:marBottom w:val="0"/>
          <w:divBdr>
            <w:top w:val="none" w:sz="0" w:space="0" w:color="auto"/>
            <w:left w:val="none" w:sz="0" w:space="0" w:color="auto"/>
            <w:bottom w:val="none" w:sz="0" w:space="0" w:color="auto"/>
            <w:right w:val="none" w:sz="0" w:space="0" w:color="auto"/>
          </w:divBdr>
          <w:divsChild>
            <w:div w:id="154830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85114">
      <w:bodyDiv w:val="1"/>
      <w:marLeft w:val="0"/>
      <w:marRight w:val="0"/>
      <w:marTop w:val="0"/>
      <w:marBottom w:val="0"/>
      <w:divBdr>
        <w:top w:val="none" w:sz="0" w:space="0" w:color="auto"/>
        <w:left w:val="none" w:sz="0" w:space="0" w:color="auto"/>
        <w:bottom w:val="none" w:sz="0" w:space="0" w:color="auto"/>
        <w:right w:val="none" w:sz="0" w:space="0" w:color="auto"/>
      </w:divBdr>
    </w:div>
    <w:div w:id="956302532">
      <w:bodyDiv w:val="1"/>
      <w:marLeft w:val="0"/>
      <w:marRight w:val="0"/>
      <w:marTop w:val="0"/>
      <w:marBottom w:val="0"/>
      <w:divBdr>
        <w:top w:val="none" w:sz="0" w:space="0" w:color="auto"/>
        <w:left w:val="none" w:sz="0" w:space="0" w:color="auto"/>
        <w:bottom w:val="none" w:sz="0" w:space="0" w:color="auto"/>
        <w:right w:val="none" w:sz="0" w:space="0" w:color="auto"/>
      </w:divBdr>
    </w:div>
    <w:div w:id="966273179">
      <w:bodyDiv w:val="1"/>
      <w:marLeft w:val="0"/>
      <w:marRight w:val="0"/>
      <w:marTop w:val="0"/>
      <w:marBottom w:val="0"/>
      <w:divBdr>
        <w:top w:val="none" w:sz="0" w:space="0" w:color="auto"/>
        <w:left w:val="none" w:sz="0" w:space="0" w:color="auto"/>
        <w:bottom w:val="none" w:sz="0" w:space="0" w:color="auto"/>
        <w:right w:val="none" w:sz="0" w:space="0" w:color="auto"/>
      </w:divBdr>
    </w:div>
    <w:div w:id="1013993619">
      <w:bodyDiv w:val="1"/>
      <w:marLeft w:val="0"/>
      <w:marRight w:val="0"/>
      <w:marTop w:val="0"/>
      <w:marBottom w:val="0"/>
      <w:divBdr>
        <w:top w:val="none" w:sz="0" w:space="0" w:color="auto"/>
        <w:left w:val="none" w:sz="0" w:space="0" w:color="auto"/>
        <w:bottom w:val="none" w:sz="0" w:space="0" w:color="auto"/>
        <w:right w:val="none" w:sz="0" w:space="0" w:color="auto"/>
      </w:divBdr>
    </w:div>
    <w:div w:id="1022392544">
      <w:bodyDiv w:val="1"/>
      <w:marLeft w:val="0"/>
      <w:marRight w:val="0"/>
      <w:marTop w:val="0"/>
      <w:marBottom w:val="0"/>
      <w:divBdr>
        <w:top w:val="none" w:sz="0" w:space="0" w:color="auto"/>
        <w:left w:val="none" w:sz="0" w:space="0" w:color="auto"/>
        <w:bottom w:val="none" w:sz="0" w:space="0" w:color="auto"/>
        <w:right w:val="none" w:sz="0" w:space="0" w:color="auto"/>
      </w:divBdr>
    </w:div>
    <w:div w:id="1033772755">
      <w:bodyDiv w:val="1"/>
      <w:marLeft w:val="0"/>
      <w:marRight w:val="0"/>
      <w:marTop w:val="0"/>
      <w:marBottom w:val="0"/>
      <w:divBdr>
        <w:top w:val="none" w:sz="0" w:space="0" w:color="auto"/>
        <w:left w:val="none" w:sz="0" w:space="0" w:color="auto"/>
        <w:bottom w:val="none" w:sz="0" w:space="0" w:color="auto"/>
        <w:right w:val="none" w:sz="0" w:space="0" w:color="auto"/>
      </w:divBdr>
    </w:div>
    <w:div w:id="1070538202">
      <w:bodyDiv w:val="1"/>
      <w:marLeft w:val="0"/>
      <w:marRight w:val="0"/>
      <w:marTop w:val="0"/>
      <w:marBottom w:val="0"/>
      <w:divBdr>
        <w:top w:val="none" w:sz="0" w:space="0" w:color="auto"/>
        <w:left w:val="none" w:sz="0" w:space="0" w:color="auto"/>
        <w:bottom w:val="none" w:sz="0" w:space="0" w:color="auto"/>
        <w:right w:val="none" w:sz="0" w:space="0" w:color="auto"/>
      </w:divBdr>
      <w:divsChild>
        <w:div w:id="426274175">
          <w:marLeft w:val="274"/>
          <w:marRight w:val="0"/>
          <w:marTop w:val="0"/>
          <w:marBottom w:val="240"/>
          <w:divBdr>
            <w:top w:val="none" w:sz="0" w:space="0" w:color="auto"/>
            <w:left w:val="none" w:sz="0" w:space="0" w:color="auto"/>
            <w:bottom w:val="none" w:sz="0" w:space="0" w:color="auto"/>
            <w:right w:val="none" w:sz="0" w:space="0" w:color="auto"/>
          </w:divBdr>
        </w:div>
      </w:divsChild>
    </w:div>
    <w:div w:id="1071663315">
      <w:bodyDiv w:val="1"/>
      <w:marLeft w:val="0"/>
      <w:marRight w:val="0"/>
      <w:marTop w:val="0"/>
      <w:marBottom w:val="0"/>
      <w:divBdr>
        <w:top w:val="none" w:sz="0" w:space="0" w:color="auto"/>
        <w:left w:val="none" w:sz="0" w:space="0" w:color="auto"/>
        <w:bottom w:val="none" w:sz="0" w:space="0" w:color="auto"/>
        <w:right w:val="none" w:sz="0" w:space="0" w:color="auto"/>
      </w:divBdr>
    </w:div>
    <w:div w:id="1075199674">
      <w:bodyDiv w:val="1"/>
      <w:marLeft w:val="0"/>
      <w:marRight w:val="0"/>
      <w:marTop w:val="0"/>
      <w:marBottom w:val="0"/>
      <w:divBdr>
        <w:top w:val="none" w:sz="0" w:space="0" w:color="auto"/>
        <w:left w:val="none" w:sz="0" w:space="0" w:color="auto"/>
        <w:bottom w:val="none" w:sz="0" w:space="0" w:color="auto"/>
        <w:right w:val="none" w:sz="0" w:space="0" w:color="auto"/>
      </w:divBdr>
    </w:div>
    <w:div w:id="1087383010">
      <w:bodyDiv w:val="1"/>
      <w:marLeft w:val="0"/>
      <w:marRight w:val="0"/>
      <w:marTop w:val="0"/>
      <w:marBottom w:val="0"/>
      <w:divBdr>
        <w:top w:val="none" w:sz="0" w:space="0" w:color="auto"/>
        <w:left w:val="none" w:sz="0" w:space="0" w:color="auto"/>
        <w:bottom w:val="none" w:sz="0" w:space="0" w:color="auto"/>
        <w:right w:val="none" w:sz="0" w:space="0" w:color="auto"/>
      </w:divBdr>
    </w:div>
    <w:div w:id="1104493035">
      <w:bodyDiv w:val="1"/>
      <w:marLeft w:val="0"/>
      <w:marRight w:val="0"/>
      <w:marTop w:val="0"/>
      <w:marBottom w:val="0"/>
      <w:divBdr>
        <w:top w:val="none" w:sz="0" w:space="0" w:color="auto"/>
        <w:left w:val="none" w:sz="0" w:space="0" w:color="auto"/>
        <w:bottom w:val="none" w:sz="0" w:space="0" w:color="auto"/>
        <w:right w:val="none" w:sz="0" w:space="0" w:color="auto"/>
      </w:divBdr>
    </w:div>
    <w:div w:id="1116558422">
      <w:bodyDiv w:val="1"/>
      <w:marLeft w:val="0"/>
      <w:marRight w:val="0"/>
      <w:marTop w:val="0"/>
      <w:marBottom w:val="0"/>
      <w:divBdr>
        <w:top w:val="none" w:sz="0" w:space="0" w:color="auto"/>
        <w:left w:val="none" w:sz="0" w:space="0" w:color="auto"/>
        <w:bottom w:val="none" w:sz="0" w:space="0" w:color="auto"/>
        <w:right w:val="none" w:sz="0" w:space="0" w:color="auto"/>
      </w:divBdr>
    </w:div>
    <w:div w:id="1124040374">
      <w:bodyDiv w:val="1"/>
      <w:marLeft w:val="0"/>
      <w:marRight w:val="0"/>
      <w:marTop w:val="0"/>
      <w:marBottom w:val="0"/>
      <w:divBdr>
        <w:top w:val="none" w:sz="0" w:space="0" w:color="auto"/>
        <w:left w:val="none" w:sz="0" w:space="0" w:color="auto"/>
        <w:bottom w:val="none" w:sz="0" w:space="0" w:color="auto"/>
        <w:right w:val="none" w:sz="0" w:space="0" w:color="auto"/>
      </w:divBdr>
    </w:div>
    <w:div w:id="1138185107">
      <w:bodyDiv w:val="1"/>
      <w:marLeft w:val="0"/>
      <w:marRight w:val="0"/>
      <w:marTop w:val="0"/>
      <w:marBottom w:val="0"/>
      <w:divBdr>
        <w:top w:val="none" w:sz="0" w:space="0" w:color="auto"/>
        <w:left w:val="none" w:sz="0" w:space="0" w:color="auto"/>
        <w:bottom w:val="none" w:sz="0" w:space="0" w:color="auto"/>
        <w:right w:val="none" w:sz="0" w:space="0" w:color="auto"/>
      </w:divBdr>
    </w:div>
    <w:div w:id="1146244153">
      <w:bodyDiv w:val="1"/>
      <w:marLeft w:val="0"/>
      <w:marRight w:val="0"/>
      <w:marTop w:val="0"/>
      <w:marBottom w:val="0"/>
      <w:divBdr>
        <w:top w:val="none" w:sz="0" w:space="0" w:color="auto"/>
        <w:left w:val="none" w:sz="0" w:space="0" w:color="auto"/>
        <w:bottom w:val="none" w:sz="0" w:space="0" w:color="auto"/>
        <w:right w:val="none" w:sz="0" w:space="0" w:color="auto"/>
      </w:divBdr>
    </w:div>
    <w:div w:id="1149059004">
      <w:bodyDiv w:val="1"/>
      <w:marLeft w:val="0"/>
      <w:marRight w:val="0"/>
      <w:marTop w:val="0"/>
      <w:marBottom w:val="0"/>
      <w:divBdr>
        <w:top w:val="none" w:sz="0" w:space="0" w:color="auto"/>
        <w:left w:val="none" w:sz="0" w:space="0" w:color="auto"/>
        <w:bottom w:val="none" w:sz="0" w:space="0" w:color="auto"/>
        <w:right w:val="none" w:sz="0" w:space="0" w:color="auto"/>
      </w:divBdr>
    </w:div>
    <w:div w:id="1199077643">
      <w:bodyDiv w:val="1"/>
      <w:marLeft w:val="0"/>
      <w:marRight w:val="0"/>
      <w:marTop w:val="0"/>
      <w:marBottom w:val="0"/>
      <w:divBdr>
        <w:top w:val="none" w:sz="0" w:space="0" w:color="auto"/>
        <w:left w:val="none" w:sz="0" w:space="0" w:color="auto"/>
        <w:bottom w:val="none" w:sz="0" w:space="0" w:color="auto"/>
        <w:right w:val="none" w:sz="0" w:space="0" w:color="auto"/>
      </w:divBdr>
    </w:div>
    <w:div w:id="1211191953">
      <w:bodyDiv w:val="1"/>
      <w:marLeft w:val="0"/>
      <w:marRight w:val="0"/>
      <w:marTop w:val="0"/>
      <w:marBottom w:val="0"/>
      <w:divBdr>
        <w:top w:val="none" w:sz="0" w:space="0" w:color="auto"/>
        <w:left w:val="none" w:sz="0" w:space="0" w:color="auto"/>
        <w:bottom w:val="none" w:sz="0" w:space="0" w:color="auto"/>
        <w:right w:val="none" w:sz="0" w:space="0" w:color="auto"/>
      </w:divBdr>
    </w:div>
    <w:div w:id="1212376264">
      <w:bodyDiv w:val="1"/>
      <w:marLeft w:val="0"/>
      <w:marRight w:val="0"/>
      <w:marTop w:val="0"/>
      <w:marBottom w:val="0"/>
      <w:divBdr>
        <w:top w:val="none" w:sz="0" w:space="0" w:color="auto"/>
        <w:left w:val="none" w:sz="0" w:space="0" w:color="auto"/>
        <w:bottom w:val="none" w:sz="0" w:space="0" w:color="auto"/>
        <w:right w:val="none" w:sz="0" w:space="0" w:color="auto"/>
      </w:divBdr>
    </w:div>
    <w:div w:id="1216819439">
      <w:bodyDiv w:val="1"/>
      <w:marLeft w:val="0"/>
      <w:marRight w:val="0"/>
      <w:marTop w:val="0"/>
      <w:marBottom w:val="0"/>
      <w:divBdr>
        <w:top w:val="none" w:sz="0" w:space="0" w:color="auto"/>
        <w:left w:val="none" w:sz="0" w:space="0" w:color="auto"/>
        <w:bottom w:val="none" w:sz="0" w:space="0" w:color="auto"/>
        <w:right w:val="none" w:sz="0" w:space="0" w:color="auto"/>
      </w:divBdr>
    </w:div>
    <w:div w:id="1271208508">
      <w:bodyDiv w:val="1"/>
      <w:marLeft w:val="0"/>
      <w:marRight w:val="0"/>
      <w:marTop w:val="0"/>
      <w:marBottom w:val="0"/>
      <w:divBdr>
        <w:top w:val="none" w:sz="0" w:space="0" w:color="auto"/>
        <w:left w:val="none" w:sz="0" w:space="0" w:color="auto"/>
        <w:bottom w:val="none" w:sz="0" w:space="0" w:color="auto"/>
        <w:right w:val="none" w:sz="0" w:space="0" w:color="auto"/>
      </w:divBdr>
    </w:div>
    <w:div w:id="1312903230">
      <w:bodyDiv w:val="1"/>
      <w:marLeft w:val="0"/>
      <w:marRight w:val="0"/>
      <w:marTop w:val="0"/>
      <w:marBottom w:val="0"/>
      <w:divBdr>
        <w:top w:val="none" w:sz="0" w:space="0" w:color="auto"/>
        <w:left w:val="none" w:sz="0" w:space="0" w:color="auto"/>
        <w:bottom w:val="none" w:sz="0" w:space="0" w:color="auto"/>
        <w:right w:val="none" w:sz="0" w:space="0" w:color="auto"/>
      </w:divBdr>
    </w:div>
    <w:div w:id="1324048485">
      <w:bodyDiv w:val="1"/>
      <w:marLeft w:val="0"/>
      <w:marRight w:val="0"/>
      <w:marTop w:val="0"/>
      <w:marBottom w:val="0"/>
      <w:divBdr>
        <w:top w:val="none" w:sz="0" w:space="0" w:color="auto"/>
        <w:left w:val="none" w:sz="0" w:space="0" w:color="auto"/>
        <w:bottom w:val="none" w:sz="0" w:space="0" w:color="auto"/>
        <w:right w:val="none" w:sz="0" w:space="0" w:color="auto"/>
      </w:divBdr>
    </w:div>
    <w:div w:id="1333800398">
      <w:bodyDiv w:val="1"/>
      <w:marLeft w:val="0"/>
      <w:marRight w:val="0"/>
      <w:marTop w:val="0"/>
      <w:marBottom w:val="0"/>
      <w:divBdr>
        <w:top w:val="none" w:sz="0" w:space="0" w:color="auto"/>
        <w:left w:val="none" w:sz="0" w:space="0" w:color="auto"/>
        <w:bottom w:val="none" w:sz="0" w:space="0" w:color="auto"/>
        <w:right w:val="none" w:sz="0" w:space="0" w:color="auto"/>
      </w:divBdr>
    </w:div>
    <w:div w:id="1343124922">
      <w:bodyDiv w:val="1"/>
      <w:marLeft w:val="0"/>
      <w:marRight w:val="0"/>
      <w:marTop w:val="0"/>
      <w:marBottom w:val="0"/>
      <w:divBdr>
        <w:top w:val="none" w:sz="0" w:space="0" w:color="auto"/>
        <w:left w:val="none" w:sz="0" w:space="0" w:color="auto"/>
        <w:bottom w:val="none" w:sz="0" w:space="0" w:color="auto"/>
        <w:right w:val="none" w:sz="0" w:space="0" w:color="auto"/>
      </w:divBdr>
    </w:div>
    <w:div w:id="1346011046">
      <w:bodyDiv w:val="1"/>
      <w:marLeft w:val="0"/>
      <w:marRight w:val="0"/>
      <w:marTop w:val="0"/>
      <w:marBottom w:val="0"/>
      <w:divBdr>
        <w:top w:val="none" w:sz="0" w:space="0" w:color="auto"/>
        <w:left w:val="none" w:sz="0" w:space="0" w:color="auto"/>
        <w:bottom w:val="none" w:sz="0" w:space="0" w:color="auto"/>
        <w:right w:val="none" w:sz="0" w:space="0" w:color="auto"/>
      </w:divBdr>
    </w:div>
    <w:div w:id="1427533101">
      <w:bodyDiv w:val="1"/>
      <w:marLeft w:val="0"/>
      <w:marRight w:val="0"/>
      <w:marTop w:val="0"/>
      <w:marBottom w:val="0"/>
      <w:divBdr>
        <w:top w:val="none" w:sz="0" w:space="0" w:color="auto"/>
        <w:left w:val="none" w:sz="0" w:space="0" w:color="auto"/>
        <w:bottom w:val="none" w:sz="0" w:space="0" w:color="auto"/>
        <w:right w:val="none" w:sz="0" w:space="0" w:color="auto"/>
      </w:divBdr>
    </w:div>
    <w:div w:id="1431242890">
      <w:bodyDiv w:val="1"/>
      <w:marLeft w:val="0"/>
      <w:marRight w:val="0"/>
      <w:marTop w:val="0"/>
      <w:marBottom w:val="0"/>
      <w:divBdr>
        <w:top w:val="none" w:sz="0" w:space="0" w:color="auto"/>
        <w:left w:val="none" w:sz="0" w:space="0" w:color="auto"/>
        <w:bottom w:val="none" w:sz="0" w:space="0" w:color="auto"/>
        <w:right w:val="none" w:sz="0" w:space="0" w:color="auto"/>
      </w:divBdr>
    </w:div>
    <w:div w:id="1449658661">
      <w:bodyDiv w:val="1"/>
      <w:marLeft w:val="0"/>
      <w:marRight w:val="0"/>
      <w:marTop w:val="0"/>
      <w:marBottom w:val="0"/>
      <w:divBdr>
        <w:top w:val="none" w:sz="0" w:space="0" w:color="auto"/>
        <w:left w:val="none" w:sz="0" w:space="0" w:color="auto"/>
        <w:bottom w:val="none" w:sz="0" w:space="0" w:color="auto"/>
        <w:right w:val="none" w:sz="0" w:space="0" w:color="auto"/>
      </w:divBdr>
    </w:div>
    <w:div w:id="1454209944">
      <w:bodyDiv w:val="1"/>
      <w:marLeft w:val="0"/>
      <w:marRight w:val="0"/>
      <w:marTop w:val="0"/>
      <w:marBottom w:val="0"/>
      <w:divBdr>
        <w:top w:val="none" w:sz="0" w:space="0" w:color="auto"/>
        <w:left w:val="none" w:sz="0" w:space="0" w:color="auto"/>
        <w:bottom w:val="none" w:sz="0" w:space="0" w:color="auto"/>
        <w:right w:val="none" w:sz="0" w:space="0" w:color="auto"/>
      </w:divBdr>
    </w:div>
    <w:div w:id="1460418339">
      <w:bodyDiv w:val="1"/>
      <w:marLeft w:val="0"/>
      <w:marRight w:val="0"/>
      <w:marTop w:val="0"/>
      <w:marBottom w:val="0"/>
      <w:divBdr>
        <w:top w:val="none" w:sz="0" w:space="0" w:color="auto"/>
        <w:left w:val="none" w:sz="0" w:space="0" w:color="auto"/>
        <w:bottom w:val="none" w:sz="0" w:space="0" w:color="auto"/>
        <w:right w:val="none" w:sz="0" w:space="0" w:color="auto"/>
      </w:divBdr>
    </w:div>
    <w:div w:id="1475948040">
      <w:bodyDiv w:val="1"/>
      <w:marLeft w:val="0"/>
      <w:marRight w:val="0"/>
      <w:marTop w:val="0"/>
      <w:marBottom w:val="0"/>
      <w:divBdr>
        <w:top w:val="none" w:sz="0" w:space="0" w:color="auto"/>
        <w:left w:val="none" w:sz="0" w:space="0" w:color="auto"/>
        <w:bottom w:val="none" w:sz="0" w:space="0" w:color="auto"/>
        <w:right w:val="none" w:sz="0" w:space="0" w:color="auto"/>
      </w:divBdr>
    </w:div>
    <w:div w:id="1478187069">
      <w:bodyDiv w:val="1"/>
      <w:marLeft w:val="0"/>
      <w:marRight w:val="0"/>
      <w:marTop w:val="0"/>
      <w:marBottom w:val="0"/>
      <w:divBdr>
        <w:top w:val="none" w:sz="0" w:space="0" w:color="auto"/>
        <w:left w:val="none" w:sz="0" w:space="0" w:color="auto"/>
        <w:bottom w:val="none" w:sz="0" w:space="0" w:color="auto"/>
        <w:right w:val="none" w:sz="0" w:space="0" w:color="auto"/>
      </w:divBdr>
    </w:div>
    <w:div w:id="1478497987">
      <w:bodyDiv w:val="1"/>
      <w:marLeft w:val="0"/>
      <w:marRight w:val="0"/>
      <w:marTop w:val="0"/>
      <w:marBottom w:val="0"/>
      <w:divBdr>
        <w:top w:val="none" w:sz="0" w:space="0" w:color="auto"/>
        <w:left w:val="none" w:sz="0" w:space="0" w:color="auto"/>
        <w:bottom w:val="none" w:sz="0" w:space="0" w:color="auto"/>
        <w:right w:val="none" w:sz="0" w:space="0" w:color="auto"/>
      </w:divBdr>
    </w:div>
    <w:div w:id="1478641834">
      <w:bodyDiv w:val="1"/>
      <w:marLeft w:val="0"/>
      <w:marRight w:val="0"/>
      <w:marTop w:val="0"/>
      <w:marBottom w:val="0"/>
      <w:divBdr>
        <w:top w:val="none" w:sz="0" w:space="0" w:color="auto"/>
        <w:left w:val="none" w:sz="0" w:space="0" w:color="auto"/>
        <w:bottom w:val="none" w:sz="0" w:space="0" w:color="auto"/>
        <w:right w:val="none" w:sz="0" w:space="0" w:color="auto"/>
      </w:divBdr>
    </w:div>
    <w:div w:id="1482504140">
      <w:bodyDiv w:val="1"/>
      <w:marLeft w:val="0"/>
      <w:marRight w:val="0"/>
      <w:marTop w:val="0"/>
      <w:marBottom w:val="0"/>
      <w:divBdr>
        <w:top w:val="none" w:sz="0" w:space="0" w:color="auto"/>
        <w:left w:val="none" w:sz="0" w:space="0" w:color="auto"/>
        <w:bottom w:val="none" w:sz="0" w:space="0" w:color="auto"/>
        <w:right w:val="none" w:sz="0" w:space="0" w:color="auto"/>
      </w:divBdr>
    </w:div>
    <w:div w:id="1508204115">
      <w:bodyDiv w:val="1"/>
      <w:marLeft w:val="0"/>
      <w:marRight w:val="0"/>
      <w:marTop w:val="0"/>
      <w:marBottom w:val="0"/>
      <w:divBdr>
        <w:top w:val="none" w:sz="0" w:space="0" w:color="auto"/>
        <w:left w:val="none" w:sz="0" w:space="0" w:color="auto"/>
        <w:bottom w:val="none" w:sz="0" w:space="0" w:color="auto"/>
        <w:right w:val="none" w:sz="0" w:space="0" w:color="auto"/>
      </w:divBdr>
    </w:div>
    <w:div w:id="1552618773">
      <w:bodyDiv w:val="1"/>
      <w:marLeft w:val="0"/>
      <w:marRight w:val="0"/>
      <w:marTop w:val="0"/>
      <w:marBottom w:val="0"/>
      <w:divBdr>
        <w:top w:val="none" w:sz="0" w:space="0" w:color="auto"/>
        <w:left w:val="none" w:sz="0" w:space="0" w:color="auto"/>
        <w:bottom w:val="none" w:sz="0" w:space="0" w:color="auto"/>
        <w:right w:val="none" w:sz="0" w:space="0" w:color="auto"/>
      </w:divBdr>
    </w:div>
    <w:div w:id="1557155843">
      <w:bodyDiv w:val="1"/>
      <w:marLeft w:val="0"/>
      <w:marRight w:val="0"/>
      <w:marTop w:val="0"/>
      <w:marBottom w:val="0"/>
      <w:divBdr>
        <w:top w:val="none" w:sz="0" w:space="0" w:color="auto"/>
        <w:left w:val="none" w:sz="0" w:space="0" w:color="auto"/>
        <w:bottom w:val="none" w:sz="0" w:space="0" w:color="auto"/>
        <w:right w:val="none" w:sz="0" w:space="0" w:color="auto"/>
      </w:divBdr>
    </w:div>
    <w:div w:id="1562209670">
      <w:bodyDiv w:val="1"/>
      <w:marLeft w:val="0"/>
      <w:marRight w:val="0"/>
      <w:marTop w:val="0"/>
      <w:marBottom w:val="0"/>
      <w:divBdr>
        <w:top w:val="none" w:sz="0" w:space="0" w:color="auto"/>
        <w:left w:val="none" w:sz="0" w:space="0" w:color="auto"/>
        <w:bottom w:val="none" w:sz="0" w:space="0" w:color="auto"/>
        <w:right w:val="none" w:sz="0" w:space="0" w:color="auto"/>
      </w:divBdr>
    </w:div>
    <w:div w:id="1593857791">
      <w:bodyDiv w:val="1"/>
      <w:marLeft w:val="0"/>
      <w:marRight w:val="0"/>
      <w:marTop w:val="0"/>
      <w:marBottom w:val="0"/>
      <w:divBdr>
        <w:top w:val="none" w:sz="0" w:space="0" w:color="auto"/>
        <w:left w:val="none" w:sz="0" w:space="0" w:color="auto"/>
        <w:bottom w:val="none" w:sz="0" w:space="0" w:color="auto"/>
        <w:right w:val="none" w:sz="0" w:space="0" w:color="auto"/>
      </w:divBdr>
    </w:div>
    <w:div w:id="1595936119">
      <w:bodyDiv w:val="1"/>
      <w:marLeft w:val="0"/>
      <w:marRight w:val="0"/>
      <w:marTop w:val="0"/>
      <w:marBottom w:val="0"/>
      <w:divBdr>
        <w:top w:val="none" w:sz="0" w:space="0" w:color="auto"/>
        <w:left w:val="none" w:sz="0" w:space="0" w:color="auto"/>
        <w:bottom w:val="none" w:sz="0" w:space="0" w:color="auto"/>
        <w:right w:val="none" w:sz="0" w:space="0" w:color="auto"/>
      </w:divBdr>
      <w:divsChild>
        <w:div w:id="1646855080">
          <w:marLeft w:val="274"/>
          <w:marRight w:val="0"/>
          <w:marTop w:val="0"/>
          <w:marBottom w:val="240"/>
          <w:divBdr>
            <w:top w:val="none" w:sz="0" w:space="0" w:color="auto"/>
            <w:left w:val="none" w:sz="0" w:space="0" w:color="auto"/>
            <w:bottom w:val="none" w:sz="0" w:space="0" w:color="auto"/>
            <w:right w:val="none" w:sz="0" w:space="0" w:color="auto"/>
          </w:divBdr>
        </w:div>
      </w:divsChild>
    </w:div>
    <w:div w:id="1605843069">
      <w:bodyDiv w:val="1"/>
      <w:marLeft w:val="0"/>
      <w:marRight w:val="0"/>
      <w:marTop w:val="0"/>
      <w:marBottom w:val="0"/>
      <w:divBdr>
        <w:top w:val="none" w:sz="0" w:space="0" w:color="auto"/>
        <w:left w:val="none" w:sz="0" w:space="0" w:color="auto"/>
        <w:bottom w:val="none" w:sz="0" w:space="0" w:color="auto"/>
        <w:right w:val="none" w:sz="0" w:space="0" w:color="auto"/>
      </w:divBdr>
      <w:divsChild>
        <w:div w:id="1384985249">
          <w:marLeft w:val="274"/>
          <w:marRight w:val="0"/>
          <w:marTop w:val="0"/>
          <w:marBottom w:val="120"/>
          <w:divBdr>
            <w:top w:val="none" w:sz="0" w:space="0" w:color="auto"/>
            <w:left w:val="none" w:sz="0" w:space="0" w:color="auto"/>
            <w:bottom w:val="none" w:sz="0" w:space="0" w:color="auto"/>
            <w:right w:val="none" w:sz="0" w:space="0" w:color="auto"/>
          </w:divBdr>
        </w:div>
      </w:divsChild>
    </w:div>
    <w:div w:id="1640987452">
      <w:bodyDiv w:val="1"/>
      <w:marLeft w:val="0"/>
      <w:marRight w:val="0"/>
      <w:marTop w:val="0"/>
      <w:marBottom w:val="0"/>
      <w:divBdr>
        <w:top w:val="none" w:sz="0" w:space="0" w:color="auto"/>
        <w:left w:val="none" w:sz="0" w:space="0" w:color="auto"/>
        <w:bottom w:val="none" w:sz="0" w:space="0" w:color="auto"/>
        <w:right w:val="none" w:sz="0" w:space="0" w:color="auto"/>
      </w:divBdr>
    </w:div>
    <w:div w:id="1655522910">
      <w:bodyDiv w:val="1"/>
      <w:marLeft w:val="0"/>
      <w:marRight w:val="0"/>
      <w:marTop w:val="0"/>
      <w:marBottom w:val="0"/>
      <w:divBdr>
        <w:top w:val="none" w:sz="0" w:space="0" w:color="auto"/>
        <w:left w:val="none" w:sz="0" w:space="0" w:color="auto"/>
        <w:bottom w:val="none" w:sz="0" w:space="0" w:color="auto"/>
        <w:right w:val="none" w:sz="0" w:space="0" w:color="auto"/>
      </w:divBdr>
    </w:div>
    <w:div w:id="1690332021">
      <w:bodyDiv w:val="1"/>
      <w:marLeft w:val="0"/>
      <w:marRight w:val="0"/>
      <w:marTop w:val="0"/>
      <w:marBottom w:val="0"/>
      <w:divBdr>
        <w:top w:val="none" w:sz="0" w:space="0" w:color="auto"/>
        <w:left w:val="none" w:sz="0" w:space="0" w:color="auto"/>
        <w:bottom w:val="none" w:sz="0" w:space="0" w:color="auto"/>
        <w:right w:val="none" w:sz="0" w:space="0" w:color="auto"/>
      </w:divBdr>
    </w:div>
    <w:div w:id="1694918245">
      <w:bodyDiv w:val="1"/>
      <w:marLeft w:val="0"/>
      <w:marRight w:val="0"/>
      <w:marTop w:val="0"/>
      <w:marBottom w:val="0"/>
      <w:divBdr>
        <w:top w:val="none" w:sz="0" w:space="0" w:color="auto"/>
        <w:left w:val="none" w:sz="0" w:space="0" w:color="auto"/>
        <w:bottom w:val="none" w:sz="0" w:space="0" w:color="auto"/>
        <w:right w:val="none" w:sz="0" w:space="0" w:color="auto"/>
      </w:divBdr>
    </w:div>
    <w:div w:id="1721707518">
      <w:bodyDiv w:val="1"/>
      <w:marLeft w:val="0"/>
      <w:marRight w:val="0"/>
      <w:marTop w:val="0"/>
      <w:marBottom w:val="0"/>
      <w:divBdr>
        <w:top w:val="none" w:sz="0" w:space="0" w:color="auto"/>
        <w:left w:val="none" w:sz="0" w:space="0" w:color="auto"/>
        <w:bottom w:val="none" w:sz="0" w:space="0" w:color="auto"/>
        <w:right w:val="none" w:sz="0" w:space="0" w:color="auto"/>
      </w:divBdr>
    </w:div>
    <w:div w:id="1727605453">
      <w:bodyDiv w:val="1"/>
      <w:marLeft w:val="0"/>
      <w:marRight w:val="0"/>
      <w:marTop w:val="0"/>
      <w:marBottom w:val="0"/>
      <w:divBdr>
        <w:top w:val="none" w:sz="0" w:space="0" w:color="auto"/>
        <w:left w:val="none" w:sz="0" w:space="0" w:color="auto"/>
        <w:bottom w:val="none" w:sz="0" w:space="0" w:color="auto"/>
        <w:right w:val="none" w:sz="0" w:space="0" w:color="auto"/>
      </w:divBdr>
    </w:div>
    <w:div w:id="1773551541">
      <w:bodyDiv w:val="1"/>
      <w:marLeft w:val="0"/>
      <w:marRight w:val="0"/>
      <w:marTop w:val="0"/>
      <w:marBottom w:val="0"/>
      <w:divBdr>
        <w:top w:val="none" w:sz="0" w:space="0" w:color="auto"/>
        <w:left w:val="none" w:sz="0" w:space="0" w:color="auto"/>
        <w:bottom w:val="none" w:sz="0" w:space="0" w:color="auto"/>
        <w:right w:val="none" w:sz="0" w:space="0" w:color="auto"/>
      </w:divBdr>
    </w:div>
    <w:div w:id="1812599449">
      <w:bodyDiv w:val="1"/>
      <w:marLeft w:val="0"/>
      <w:marRight w:val="0"/>
      <w:marTop w:val="0"/>
      <w:marBottom w:val="0"/>
      <w:divBdr>
        <w:top w:val="none" w:sz="0" w:space="0" w:color="auto"/>
        <w:left w:val="none" w:sz="0" w:space="0" w:color="auto"/>
        <w:bottom w:val="none" w:sz="0" w:space="0" w:color="auto"/>
        <w:right w:val="none" w:sz="0" w:space="0" w:color="auto"/>
      </w:divBdr>
    </w:div>
    <w:div w:id="1836217242">
      <w:bodyDiv w:val="1"/>
      <w:marLeft w:val="0"/>
      <w:marRight w:val="0"/>
      <w:marTop w:val="0"/>
      <w:marBottom w:val="0"/>
      <w:divBdr>
        <w:top w:val="none" w:sz="0" w:space="0" w:color="auto"/>
        <w:left w:val="none" w:sz="0" w:space="0" w:color="auto"/>
        <w:bottom w:val="none" w:sz="0" w:space="0" w:color="auto"/>
        <w:right w:val="none" w:sz="0" w:space="0" w:color="auto"/>
      </w:divBdr>
    </w:div>
    <w:div w:id="1844197646">
      <w:bodyDiv w:val="1"/>
      <w:marLeft w:val="0"/>
      <w:marRight w:val="0"/>
      <w:marTop w:val="0"/>
      <w:marBottom w:val="0"/>
      <w:divBdr>
        <w:top w:val="none" w:sz="0" w:space="0" w:color="auto"/>
        <w:left w:val="none" w:sz="0" w:space="0" w:color="auto"/>
        <w:bottom w:val="none" w:sz="0" w:space="0" w:color="auto"/>
        <w:right w:val="none" w:sz="0" w:space="0" w:color="auto"/>
      </w:divBdr>
    </w:div>
    <w:div w:id="1863397744">
      <w:bodyDiv w:val="1"/>
      <w:marLeft w:val="0"/>
      <w:marRight w:val="0"/>
      <w:marTop w:val="0"/>
      <w:marBottom w:val="0"/>
      <w:divBdr>
        <w:top w:val="none" w:sz="0" w:space="0" w:color="auto"/>
        <w:left w:val="none" w:sz="0" w:space="0" w:color="auto"/>
        <w:bottom w:val="none" w:sz="0" w:space="0" w:color="auto"/>
        <w:right w:val="none" w:sz="0" w:space="0" w:color="auto"/>
      </w:divBdr>
    </w:div>
    <w:div w:id="1866946010">
      <w:bodyDiv w:val="1"/>
      <w:marLeft w:val="0"/>
      <w:marRight w:val="0"/>
      <w:marTop w:val="0"/>
      <w:marBottom w:val="0"/>
      <w:divBdr>
        <w:top w:val="none" w:sz="0" w:space="0" w:color="auto"/>
        <w:left w:val="none" w:sz="0" w:space="0" w:color="auto"/>
        <w:bottom w:val="none" w:sz="0" w:space="0" w:color="auto"/>
        <w:right w:val="none" w:sz="0" w:space="0" w:color="auto"/>
      </w:divBdr>
      <w:divsChild>
        <w:div w:id="2095125969">
          <w:marLeft w:val="274"/>
          <w:marRight w:val="0"/>
          <w:marTop w:val="0"/>
          <w:marBottom w:val="240"/>
          <w:divBdr>
            <w:top w:val="none" w:sz="0" w:space="0" w:color="auto"/>
            <w:left w:val="none" w:sz="0" w:space="0" w:color="auto"/>
            <w:bottom w:val="none" w:sz="0" w:space="0" w:color="auto"/>
            <w:right w:val="none" w:sz="0" w:space="0" w:color="auto"/>
          </w:divBdr>
        </w:div>
      </w:divsChild>
    </w:div>
    <w:div w:id="1874003452">
      <w:bodyDiv w:val="1"/>
      <w:marLeft w:val="0"/>
      <w:marRight w:val="0"/>
      <w:marTop w:val="0"/>
      <w:marBottom w:val="0"/>
      <w:divBdr>
        <w:top w:val="none" w:sz="0" w:space="0" w:color="auto"/>
        <w:left w:val="none" w:sz="0" w:space="0" w:color="auto"/>
        <w:bottom w:val="none" w:sz="0" w:space="0" w:color="auto"/>
        <w:right w:val="none" w:sz="0" w:space="0" w:color="auto"/>
      </w:divBdr>
    </w:div>
    <w:div w:id="1884946619">
      <w:bodyDiv w:val="1"/>
      <w:marLeft w:val="0"/>
      <w:marRight w:val="0"/>
      <w:marTop w:val="0"/>
      <w:marBottom w:val="0"/>
      <w:divBdr>
        <w:top w:val="none" w:sz="0" w:space="0" w:color="auto"/>
        <w:left w:val="none" w:sz="0" w:space="0" w:color="auto"/>
        <w:bottom w:val="none" w:sz="0" w:space="0" w:color="auto"/>
        <w:right w:val="none" w:sz="0" w:space="0" w:color="auto"/>
      </w:divBdr>
    </w:div>
    <w:div w:id="1899633480">
      <w:bodyDiv w:val="1"/>
      <w:marLeft w:val="0"/>
      <w:marRight w:val="0"/>
      <w:marTop w:val="0"/>
      <w:marBottom w:val="0"/>
      <w:divBdr>
        <w:top w:val="none" w:sz="0" w:space="0" w:color="auto"/>
        <w:left w:val="none" w:sz="0" w:space="0" w:color="auto"/>
        <w:bottom w:val="none" w:sz="0" w:space="0" w:color="auto"/>
        <w:right w:val="none" w:sz="0" w:space="0" w:color="auto"/>
      </w:divBdr>
    </w:div>
    <w:div w:id="1929775719">
      <w:bodyDiv w:val="1"/>
      <w:marLeft w:val="0"/>
      <w:marRight w:val="0"/>
      <w:marTop w:val="0"/>
      <w:marBottom w:val="0"/>
      <w:divBdr>
        <w:top w:val="none" w:sz="0" w:space="0" w:color="auto"/>
        <w:left w:val="none" w:sz="0" w:space="0" w:color="auto"/>
        <w:bottom w:val="none" w:sz="0" w:space="0" w:color="auto"/>
        <w:right w:val="none" w:sz="0" w:space="0" w:color="auto"/>
      </w:divBdr>
    </w:div>
    <w:div w:id="1951352789">
      <w:bodyDiv w:val="1"/>
      <w:marLeft w:val="0"/>
      <w:marRight w:val="0"/>
      <w:marTop w:val="0"/>
      <w:marBottom w:val="0"/>
      <w:divBdr>
        <w:top w:val="none" w:sz="0" w:space="0" w:color="auto"/>
        <w:left w:val="none" w:sz="0" w:space="0" w:color="auto"/>
        <w:bottom w:val="none" w:sz="0" w:space="0" w:color="auto"/>
        <w:right w:val="none" w:sz="0" w:space="0" w:color="auto"/>
      </w:divBdr>
    </w:div>
    <w:div w:id="1965189581">
      <w:bodyDiv w:val="1"/>
      <w:marLeft w:val="0"/>
      <w:marRight w:val="0"/>
      <w:marTop w:val="0"/>
      <w:marBottom w:val="0"/>
      <w:divBdr>
        <w:top w:val="none" w:sz="0" w:space="0" w:color="auto"/>
        <w:left w:val="none" w:sz="0" w:space="0" w:color="auto"/>
        <w:bottom w:val="none" w:sz="0" w:space="0" w:color="auto"/>
        <w:right w:val="none" w:sz="0" w:space="0" w:color="auto"/>
      </w:divBdr>
    </w:div>
    <w:div w:id="1967467689">
      <w:bodyDiv w:val="1"/>
      <w:marLeft w:val="0"/>
      <w:marRight w:val="0"/>
      <w:marTop w:val="0"/>
      <w:marBottom w:val="0"/>
      <w:divBdr>
        <w:top w:val="none" w:sz="0" w:space="0" w:color="auto"/>
        <w:left w:val="none" w:sz="0" w:space="0" w:color="auto"/>
        <w:bottom w:val="none" w:sz="0" w:space="0" w:color="auto"/>
        <w:right w:val="none" w:sz="0" w:space="0" w:color="auto"/>
      </w:divBdr>
    </w:div>
    <w:div w:id="1983851808">
      <w:bodyDiv w:val="1"/>
      <w:marLeft w:val="0"/>
      <w:marRight w:val="0"/>
      <w:marTop w:val="0"/>
      <w:marBottom w:val="0"/>
      <w:divBdr>
        <w:top w:val="none" w:sz="0" w:space="0" w:color="auto"/>
        <w:left w:val="none" w:sz="0" w:space="0" w:color="auto"/>
        <w:bottom w:val="none" w:sz="0" w:space="0" w:color="auto"/>
        <w:right w:val="none" w:sz="0" w:space="0" w:color="auto"/>
      </w:divBdr>
    </w:div>
    <w:div w:id="2007246704">
      <w:bodyDiv w:val="1"/>
      <w:marLeft w:val="0"/>
      <w:marRight w:val="0"/>
      <w:marTop w:val="0"/>
      <w:marBottom w:val="0"/>
      <w:divBdr>
        <w:top w:val="none" w:sz="0" w:space="0" w:color="auto"/>
        <w:left w:val="none" w:sz="0" w:space="0" w:color="auto"/>
        <w:bottom w:val="none" w:sz="0" w:space="0" w:color="auto"/>
        <w:right w:val="none" w:sz="0" w:space="0" w:color="auto"/>
      </w:divBdr>
    </w:div>
    <w:div w:id="2012947958">
      <w:bodyDiv w:val="1"/>
      <w:marLeft w:val="0"/>
      <w:marRight w:val="0"/>
      <w:marTop w:val="0"/>
      <w:marBottom w:val="0"/>
      <w:divBdr>
        <w:top w:val="none" w:sz="0" w:space="0" w:color="auto"/>
        <w:left w:val="none" w:sz="0" w:space="0" w:color="auto"/>
        <w:bottom w:val="none" w:sz="0" w:space="0" w:color="auto"/>
        <w:right w:val="none" w:sz="0" w:space="0" w:color="auto"/>
      </w:divBdr>
    </w:div>
    <w:div w:id="2086418826">
      <w:bodyDiv w:val="1"/>
      <w:marLeft w:val="0"/>
      <w:marRight w:val="0"/>
      <w:marTop w:val="0"/>
      <w:marBottom w:val="0"/>
      <w:divBdr>
        <w:top w:val="none" w:sz="0" w:space="0" w:color="auto"/>
        <w:left w:val="none" w:sz="0" w:space="0" w:color="auto"/>
        <w:bottom w:val="none" w:sz="0" w:space="0" w:color="auto"/>
        <w:right w:val="none" w:sz="0" w:space="0" w:color="auto"/>
      </w:divBdr>
      <w:divsChild>
        <w:div w:id="1698117075">
          <w:marLeft w:val="0"/>
          <w:marRight w:val="0"/>
          <w:marTop w:val="0"/>
          <w:marBottom w:val="0"/>
          <w:divBdr>
            <w:top w:val="none" w:sz="0" w:space="0" w:color="auto"/>
            <w:left w:val="none" w:sz="0" w:space="0" w:color="auto"/>
            <w:bottom w:val="none" w:sz="0" w:space="0" w:color="auto"/>
            <w:right w:val="none" w:sz="0" w:space="0" w:color="auto"/>
          </w:divBdr>
          <w:divsChild>
            <w:div w:id="10829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4521">
      <w:bodyDiv w:val="1"/>
      <w:marLeft w:val="0"/>
      <w:marRight w:val="0"/>
      <w:marTop w:val="0"/>
      <w:marBottom w:val="0"/>
      <w:divBdr>
        <w:top w:val="none" w:sz="0" w:space="0" w:color="auto"/>
        <w:left w:val="none" w:sz="0" w:space="0" w:color="auto"/>
        <w:bottom w:val="none" w:sz="0" w:space="0" w:color="auto"/>
        <w:right w:val="none" w:sz="0" w:space="0" w:color="auto"/>
      </w:divBdr>
    </w:div>
    <w:div w:id="2105683541">
      <w:bodyDiv w:val="1"/>
      <w:marLeft w:val="0"/>
      <w:marRight w:val="0"/>
      <w:marTop w:val="0"/>
      <w:marBottom w:val="0"/>
      <w:divBdr>
        <w:top w:val="none" w:sz="0" w:space="0" w:color="auto"/>
        <w:left w:val="none" w:sz="0" w:space="0" w:color="auto"/>
        <w:bottom w:val="none" w:sz="0" w:space="0" w:color="auto"/>
        <w:right w:val="none" w:sz="0" w:space="0" w:color="auto"/>
      </w:divBdr>
    </w:div>
    <w:div w:id="2120443242">
      <w:bodyDiv w:val="1"/>
      <w:marLeft w:val="0"/>
      <w:marRight w:val="0"/>
      <w:marTop w:val="0"/>
      <w:marBottom w:val="0"/>
      <w:divBdr>
        <w:top w:val="none" w:sz="0" w:space="0" w:color="auto"/>
        <w:left w:val="none" w:sz="0" w:space="0" w:color="auto"/>
        <w:bottom w:val="none" w:sz="0" w:space="0" w:color="auto"/>
        <w:right w:val="none" w:sz="0" w:space="0" w:color="auto"/>
      </w:divBdr>
    </w:div>
    <w:div w:id="214010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6ABF7-4386-C748-A600-F04B9E755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3468</Words>
  <Characters>19768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23190</CharactersWithSpaces>
  <SharedDoc>false</SharedDoc>
  <HLinks>
    <vt:vector size="66" baseType="variant">
      <vt:variant>
        <vt:i4>1245233</vt:i4>
      </vt:variant>
      <vt:variant>
        <vt:i4>62</vt:i4>
      </vt:variant>
      <vt:variant>
        <vt:i4>0</vt:i4>
      </vt:variant>
      <vt:variant>
        <vt:i4>5</vt:i4>
      </vt:variant>
      <vt:variant>
        <vt:lpwstr/>
      </vt:variant>
      <vt:variant>
        <vt:lpwstr>_Toc212312045</vt:lpwstr>
      </vt:variant>
      <vt:variant>
        <vt:i4>1245233</vt:i4>
      </vt:variant>
      <vt:variant>
        <vt:i4>56</vt:i4>
      </vt:variant>
      <vt:variant>
        <vt:i4>0</vt:i4>
      </vt:variant>
      <vt:variant>
        <vt:i4>5</vt:i4>
      </vt:variant>
      <vt:variant>
        <vt:lpwstr/>
      </vt:variant>
      <vt:variant>
        <vt:lpwstr>_Toc212312044</vt:lpwstr>
      </vt:variant>
      <vt:variant>
        <vt:i4>1245233</vt:i4>
      </vt:variant>
      <vt:variant>
        <vt:i4>50</vt:i4>
      </vt:variant>
      <vt:variant>
        <vt:i4>0</vt:i4>
      </vt:variant>
      <vt:variant>
        <vt:i4>5</vt:i4>
      </vt:variant>
      <vt:variant>
        <vt:lpwstr/>
      </vt:variant>
      <vt:variant>
        <vt:lpwstr>_Toc212312043</vt:lpwstr>
      </vt:variant>
      <vt:variant>
        <vt:i4>1245233</vt:i4>
      </vt:variant>
      <vt:variant>
        <vt:i4>44</vt:i4>
      </vt:variant>
      <vt:variant>
        <vt:i4>0</vt:i4>
      </vt:variant>
      <vt:variant>
        <vt:i4>5</vt:i4>
      </vt:variant>
      <vt:variant>
        <vt:lpwstr/>
      </vt:variant>
      <vt:variant>
        <vt:lpwstr>_Toc212312042</vt:lpwstr>
      </vt:variant>
      <vt:variant>
        <vt:i4>1245233</vt:i4>
      </vt:variant>
      <vt:variant>
        <vt:i4>38</vt:i4>
      </vt:variant>
      <vt:variant>
        <vt:i4>0</vt:i4>
      </vt:variant>
      <vt:variant>
        <vt:i4>5</vt:i4>
      </vt:variant>
      <vt:variant>
        <vt:lpwstr/>
      </vt:variant>
      <vt:variant>
        <vt:lpwstr>_Toc212312041</vt:lpwstr>
      </vt:variant>
      <vt:variant>
        <vt:i4>1245233</vt:i4>
      </vt:variant>
      <vt:variant>
        <vt:i4>32</vt:i4>
      </vt:variant>
      <vt:variant>
        <vt:i4>0</vt:i4>
      </vt:variant>
      <vt:variant>
        <vt:i4>5</vt:i4>
      </vt:variant>
      <vt:variant>
        <vt:lpwstr/>
      </vt:variant>
      <vt:variant>
        <vt:lpwstr>_Toc212312040</vt:lpwstr>
      </vt:variant>
      <vt:variant>
        <vt:i4>1310769</vt:i4>
      </vt:variant>
      <vt:variant>
        <vt:i4>26</vt:i4>
      </vt:variant>
      <vt:variant>
        <vt:i4>0</vt:i4>
      </vt:variant>
      <vt:variant>
        <vt:i4>5</vt:i4>
      </vt:variant>
      <vt:variant>
        <vt:lpwstr/>
      </vt:variant>
      <vt:variant>
        <vt:lpwstr>_Toc212312039</vt:lpwstr>
      </vt:variant>
      <vt:variant>
        <vt:i4>1310769</vt:i4>
      </vt:variant>
      <vt:variant>
        <vt:i4>20</vt:i4>
      </vt:variant>
      <vt:variant>
        <vt:i4>0</vt:i4>
      </vt:variant>
      <vt:variant>
        <vt:i4>5</vt:i4>
      </vt:variant>
      <vt:variant>
        <vt:lpwstr/>
      </vt:variant>
      <vt:variant>
        <vt:lpwstr>_Toc212312038</vt:lpwstr>
      </vt:variant>
      <vt:variant>
        <vt:i4>1310769</vt:i4>
      </vt:variant>
      <vt:variant>
        <vt:i4>14</vt:i4>
      </vt:variant>
      <vt:variant>
        <vt:i4>0</vt:i4>
      </vt:variant>
      <vt:variant>
        <vt:i4>5</vt:i4>
      </vt:variant>
      <vt:variant>
        <vt:lpwstr/>
      </vt:variant>
      <vt:variant>
        <vt:lpwstr>_Toc212312037</vt:lpwstr>
      </vt:variant>
      <vt:variant>
        <vt:i4>1310769</vt:i4>
      </vt:variant>
      <vt:variant>
        <vt:i4>8</vt:i4>
      </vt:variant>
      <vt:variant>
        <vt:i4>0</vt:i4>
      </vt:variant>
      <vt:variant>
        <vt:i4>5</vt:i4>
      </vt:variant>
      <vt:variant>
        <vt:lpwstr/>
      </vt:variant>
      <vt:variant>
        <vt:lpwstr>_Toc212312036</vt:lpwstr>
      </vt:variant>
      <vt:variant>
        <vt:i4>1310769</vt:i4>
      </vt:variant>
      <vt:variant>
        <vt:i4>2</vt:i4>
      </vt:variant>
      <vt:variant>
        <vt:i4>0</vt:i4>
      </vt:variant>
      <vt:variant>
        <vt:i4>5</vt:i4>
      </vt:variant>
      <vt:variant>
        <vt:lpwstr/>
      </vt:variant>
      <vt:variant>
        <vt:lpwstr>_Toc212312035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Parida, Priyadarshan</dc:creator>
  <cp:keywords/>
  <dc:description/>
  <cp:lastModifiedBy>Priyadarshan Parida</cp:lastModifiedBy>
  <cp:revision>3</cp:revision>
  <dcterms:created xsi:type="dcterms:W3CDTF">2025-10-26T03:23:00Z</dcterms:created>
  <dcterms:modified xsi:type="dcterms:W3CDTF">2025-10-26T03:25:00Z</dcterms:modified>
</cp:coreProperties>
</file>