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D8E5" w14:textId="77777777" w:rsidR="008F5B71" w:rsidRDefault="008F5B71" w:rsidP="00D40930">
      <w:pPr>
        <w:pStyle w:val="Title1"/>
        <w:rPr>
          <w:lang w:val="en"/>
        </w:rPr>
      </w:pPr>
    </w:p>
    <w:p w14:paraId="3347BA5F" w14:textId="77777777" w:rsidR="00265A49" w:rsidRDefault="00265A49" w:rsidP="00D40930">
      <w:pPr>
        <w:pStyle w:val="Title1"/>
        <w:rPr>
          <w:lang w:val="en"/>
        </w:rPr>
      </w:pPr>
    </w:p>
    <w:p w14:paraId="354612FA" w14:textId="77777777" w:rsidR="00E8125E" w:rsidRDefault="00E8125E" w:rsidP="0045461B">
      <w:pPr>
        <w:pStyle w:val="Title1"/>
      </w:pPr>
    </w:p>
    <w:p w14:paraId="5DDA1B2C" w14:textId="0311044F" w:rsidR="00BC5A36" w:rsidRPr="00D40930" w:rsidRDefault="00D40930" w:rsidP="00D40930">
      <w:pPr>
        <w:pStyle w:val="Title1"/>
      </w:pPr>
      <w:r w:rsidRPr="00D40930">
        <w:t xml:space="preserve">Project </w:t>
      </w:r>
      <w:r w:rsidR="00FA620B">
        <w:t>2</w:t>
      </w:r>
      <w:r w:rsidR="0045461B">
        <w:t xml:space="preserve">: </w:t>
      </w:r>
      <w:r w:rsidR="00FA620B" w:rsidRPr="00FA620B">
        <w:t>Hypothesis Test and Regression Analysis</w:t>
      </w:r>
    </w:p>
    <w:p w14:paraId="25171320" w14:textId="107E4416" w:rsidR="00BC5A36" w:rsidRDefault="00D40930" w:rsidP="005F2135">
      <w:pPr>
        <w:pStyle w:val="Subtitle1"/>
        <w:ind w:left="0"/>
      </w:pPr>
      <w:r>
        <w:t>FIN</w:t>
      </w:r>
      <w:r w:rsidR="00BC5A36" w:rsidRPr="00BC5A36">
        <w:t xml:space="preserve"> 63</w:t>
      </w:r>
      <w:r>
        <w:t>07</w:t>
      </w:r>
      <w:r w:rsidR="00BC5A36" w:rsidRPr="00BC5A36">
        <w:t xml:space="preserve">.501 - </w:t>
      </w:r>
      <w:r w:rsidRPr="00D40930">
        <w:t>Mathematical Methods for Finance</w:t>
      </w:r>
      <w:r w:rsidR="00BC5A36" w:rsidRPr="00BC5A36">
        <w:t xml:space="preserve"> - </w:t>
      </w:r>
      <w:r>
        <w:t>F</w:t>
      </w:r>
      <w:r w:rsidR="00BC5A36" w:rsidRPr="00BC5A36">
        <w:t>25</w:t>
      </w:r>
    </w:p>
    <w:p w14:paraId="7B398FA6" w14:textId="77777777" w:rsidR="00F24AEE" w:rsidRDefault="00F24AEE" w:rsidP="005F2135">
      <w:pPr>
        <w:pStyle w:val="Subtitle1"/>
        <w:ind w:left="0"/>
      </w:pPr>
    </w:p>
    <w:p w14:paraId="25A9FE48" w14:textId="1E9E5BE1" w:rsidR="005A6BA3" w:rsidRDefault="005A6BA3" w:rsidP="00AA1147">
      <w:pPr>
        <w:pStyle w:val="Subtitle1"/>
      </w:pPr>
    </w:p>
    <w:p w14:paraId="6BAFFDF1" w14:textId="77777777" w:rsidR="00C21DC8" w:rsidRDefault="00C21DC8" w:rsidP="00AA1147">
      <w:pPr>
        <w:pStyle w:val="Subtitle1"/>
      </w:pPr>
    </w:p>
    <w:p w14:paraId="017D0BF0" w14:textId="77777777" w:rsidR="00C21DC8" w:rsidRDefault="00C21DC8" w:rsidP="00AA1147">
      <w:pPr>
        <w:pStyle w:val="Subtitle1"/>
      </w:pPr>
    </w:p>
    <w:p w14:paraId="6545DCF9" w14:textId="77777777" w:rsidR="00C21DC8" w:rsidRDefault="00C21DC8" w:rsidP="00AA1147">
      <w:pPr>
        <w:pStyle w:val="Subtitle1"/>
      </w:pPr>
    </w:p>
    <w:p w14:paraId="6816D188" w14:textId="77777777" w:rsidR="00C21DC8" w:rsidRDefault="00C21DC8" w:rsidP="00AF1664">
      <w:pPr>
        <w:pStyle w:val="Subtitle1"/>
        <w:ind w:left="0"/>
        <w:jc w:val="left"/>
      </w:pPr>
    </w:p>
    <w:p w14:paraId="683592A2" w14:textId="77777777" w:rsidR="00C21DC8" w:rsidRDefault="00C21DC8" w:rsidP="00AA1147">
      <w:pPr>
        <w:pStyle w:val="Subtitle1"/>
      </w:pPr>
    </w:p>
    <w:p w14:paraId="0C85617D" w14:textId="37BD8EBE" w:rsidR="00D40FD2" w:rsidRPr="005F2135" w:rsidRDefault="00D40FD2" w:rsidP="005F2135">
      <w:pPr>
        <w:spacing w:line="240" w:lineRule="auto"/>
        <w:jc w:val="center"/>
        <w:rPr>
          <w:b/>
          <w:bCs/>
          <w:color w:val="215E99" w:themeColor="text2" w:themeTint="BF"/>
          <w:sz w:val="32"/>
          <w:szCs w:val="36"/>
        </w:rPr>
      </w:pPr>
      <w:r w:rsidRPr="005F2135">
        <w:rPr>
          <w:b/>
          <w:bCs/>
          <w:color w:val="215E99" w:themeColor="text2" w:themeTint="BF"/>
          <w:sz w:val="32"/>
          <w:szCs w:val="36"/>
        </w:rPr>
        <w:t xml:space="preserve">By </w:t>
      </w:r>
      <w:r w:rsidR="00D40930">
        <w:rPr>
          <w:b/>
          <w:bCs/>
          <w:color w:val="215E99" w:themeColor="text2" w:themeTint="BF"/>
          <w:sz w:val="32"/>
          <w:szCs w:val="36"/>
        </w:rPr>
        <w:t>Group 6</w:t>
      </w:r>
    </w:p>
    <w:p w14:paraId="4A35ECCE" w14:textId="7C18405C" w:rsidR="00D40FD2" w:rsidRPr="005F2135" w:rsidRDefault="00D40FD2" w:rsidP="005F2135">
      <w:pPr>
        <w:spacing w:line="240" w:lineRule="auto"/>
        <w:jc w:val="center"/>
        <w:rPr>
          <w:color w:val="215E99" w:themeColor="text2" w:themeTint="BF"/>
          <w:sz w:val="28"/>
          <w:szCs w:val="32"/>
        </w:rPr>
      </w:pPr>
      <w:r w:rsidRPr="005F2135">
        <w:rPr>
          <w:color w:val="215E99" w:themeColor="text2" w:themeTint="BF"/>
          <w:sz w:val="28"/>
          <w:szCs w:val="32"/>
        </w:rPr>
        <w:t>Priyadarshan Parida</w:t>
      </w:r>
      <w:r w:rsidR="00A24B99">
        <w:rPr>
          <w:color w:val="215E99" w:themeColor="text2" w:themeTint="BF"/>
          <w:sz w:val="28"/>
          <w:szCs w:val="32"/>
        </w:rPr>
        <w:t xml:space="preserve"> (PXP230068)</w:t>
      </w:r>
    </w:p>
    <w:p w14:paraId="42EA0232" w14:textId="2D3D6976" w:rsidR="00C21DC8" w:rsidRPr="005F2135" w:rsidRDefault="00C21DC8" w:rsidP="005F2135">
      <w:pPr>
        <w:spacing w:line="240" w:lineRule="auto"/>
        <w:jc w:val="center"/>
        <w:rPr>
          <w:color w:val="215E99" w:themeColor="text2" w:themeTint="BF"/>
          <w:sz w:val="28"/>
          <w:szCs w:val="32"/>
        </w:rPr>
      </w:pPr>
      <w:r>
        <w:rPr>
          <w:color w:val="215E99" w:themeColor="text2" w:themeTint="BF"/>
          <w:sz w:val="28"/>
          <w:szCs w:val="32"/>
        </w:rPr>
        <w:t>Sunayana Jana</w:t>
      </w:r>
      <w:r w:rsidR="00A24B99">
        <w:rPr>
          <w:color w:val="215E99" w:themeColor="text2" w:themeTint="BF"/>
          <w:sz w:val="28"/>
          <w:szCs w:val="32"/>
        </w:rPr>
        <w:t xml:space="preserve"> (SXJ230076)</w:t>
      </w:r>
    </w:p>
    <w:p w14:paraId="6655B07C" w14:textId="77777777" w:rsidR="00BA7F71" w:rsidRDefault="00BA7F71" w:rsidP="00AA1147">
      <w:pPr>
        <w:pStyle w:val="Subtitle1"/>
      </w:pPr>
    </w:p>
    <w:p w14:paraId="16D2EA13" w14:textId="77777777" w:rsidR="00D40930" w:rsidRDefault="00D40930" w:rsidP="00AA1147">
      <w:pPr>
        <w:pStyle w:val="Subtitle1"/>
      </w:pPr>
    </w:p>
    <w:p w14:paraId="78E499E3" w14:textId="77777777" w:rsidR="00D40930" w:rsidRDefault="00D40930" w:rsidP="00AA1147">
      <w:pPr>
        <w:pStyle w:val="Subtitle1"/>
      </w:pPr>
    </w:p>
    <w:p w14:paraId="28D73490" w14:textId="77777777" w:rsidR="00E06137" w:rsidRDefault="00E06137" w:rsidP="00AA1147">
      <w:pPr>
        <w:pStyle w:val="Subtitle1"/>
      </w:pPr>
    </w:p>
    <w:p w14:paraId="4E369704" w14:textId="77777777" w:rsidR="00E06137" w:rsidRPr="00D40FD2" w:rsidRDefault="00E06137" w:rsidP="00AA1147">
      <w:pPr>
        <w:pStyle w:val="Subtitle1"/>
      </w:pPr>
    </w:p>
    <w:sdt>
      <w:sdtPr>
        <w:rPr>
          <w:rFonts w:asciiTheme="minorHAnsi" w:eastAsiaTheme="minorHAnsi" w:hAnsiTheme="minorHAnsi" w:cstheme="minorBidi"/>
          <w:b w:val="0"/>
          <w:bCs w:val="0"/>
          <w:color w:val="auto"/>
          <w:kern w:val="2"/>
          <w:sz w:val="22"/>
          <w:szCs w:val="24"/>
          <w14:ligatures w14:val="standardContextual"/>
        </w:rPr>
        <w:id w:val="-1678176492"/>
        <w:docPartObj>
          <w:docPartGallery w:val="Table of Contents"/>
          <w:docPartUnique/>
        </w:docPartObj>
      </w:sdtPr>
      <w:sdtEndPr>
        <w:rPr>
          <w:b/>
          <w:bCs/>
          <w:noProof/>
        </w:rPr>
      </w:sdtEndPr>
      <w:sdtContent>
        <w:p w14:paraId="20AC16E5" w14:textId="1B0BA140" w:rsidR="0055239F" w:rsidRPr="00D8631D" w:rsidRDefault="0055239F">
          <w:pPr>
            <w:pStyle w:val="TOCHeading"/>
          </w:pPr>
          <w:r w:rsidRPr="00D8631D">
            <w:t>Table of Content</w:t>
          </w:r>
          <w:r w:rsidR="008F64D1" w:rsidRPr="00D8631D">
            <w:t>s</w:t>
          </w:r>
        </w:p>
        <w:p w14:paraId="7B73CAA0" w14:textId="726321B4" w:rsidR="008E27B6" w:rsidRPr="008E27B6" w:rsidRDefault="0055239F">
          <w:pPr>
            <w:pStyle w:val="TOC1"/>
            <w:tabs>
              <w:tab w:val="right" w:leader="dot" w:pos="9350"/>
            </w:tabs>
            <w:rPr>
              <w:rFonts w:eastAsiaTheme="minorEastAsia"/>
              <w:i w:val="0"/>
              <w:iCs w:val="0"/>
              <w:noProof/>
            </w:rPr>
          </w:pPr>
          <w:r w:rsidRPr="008E27B6">
            <w:rPr>
              <w:i w:val="0"/>
              <w:iCs w:val="0"/>
            </w:rPr>
            <w:fldChar w:fldCharType="begin"/>
          </w:r>
          <w:r w:rsidRPr="008E27B6">
            <w:rPr>
              <w:i w:val="0"/>
              <w:iCs w:val="0"/>
            </w:rPr>
            <w:instrText xml:space="preserve"> TOC \o "1-3" \h \z \u </w:instrText>
          </w:r>
          <w:r w:rsidRPr="008E27B6">
            <w:rPr>
              <w:i w:val="0"/>
              <w:iCs w:val="0"/>
            </w:rPr>
            <w:fldChar w:fldCharType="separate"/>
          </w:r>
          <w:hyperlink w:anchor="_Toc214932627" w:history="1">
            <w:r w:rsidR="008E27B6" w:rsidRPr="008E27B6">
              <w:rPr>
                <w:rStyle w:val="Hyperlink"/>
                <w:i w:val="0"/>
                <w:iCs w:val="0"/>
                <w:noProof/>
              </w:rPr>
              <w:t>1. Introduction</w:t>
            </w:r>
            <w:r w:rsidR="008E27B6" w:rsidRPr="008E27B6">
              <w:rPr>
                <w:i w:val="0"/>
                <w:iCs w:val="0"/>
                <w:noProof/>
                <w:webHidden/>
              </w:rPr>
              <w:tab/>
            </w:r>
            <w:r w:rsidR="008E27B6" w:rsidRPr="008E27B6">
              <w:rPr>
                <w:i w:val="0"/>
                <w:iCs w:val="0"/>
                <w:noProof/>
                <w:webHidden/>
              </w:rPr>
              <w:fldChar w:fldCharType="begin"/>
            </w:r>
            <w:r w:rsidR="008E27B6" w:rsidRPr="008E27B6">
              <w:rPr>
                <w:i w:val="0"/>
                <w:iCs w:val="0"/>
                <w:noProof/>
                <w:webHidden/>
              </w:rPr>
              <w:instrText xml:space="preserve"> PAGEREF _Toc214932627 \h </w:instrText>
            </w:r>
            <w:r w:rsidR="008E27B6" w:rsidRPr="008E27B6">
              <w:rPr>
                <w:i w:val="0"/>
                <w:iCs w:val="0"/>
                <w:noProof/>
                <w:webHidden/>
              </w:rPr>
            </w:r>
            <w:r w:rsidR="008E27B6" w:rsidRPr="008E27B6">
              <w:rPr>
                <w:i w:val="0"/>
                <w:iCs w:val="0"/>
                <w:noProof/>
                <w:webHidden/>
              </w:rPr>
              <w:fldChar w:fldCharType="separate"/>
            </w:r>
            <w:r w:rsidR="00B10CAB">
              <w:rPr>
                <w:i w:val="0"/>
                <w:iCs w:val="0"/>
                <w:noProof/>
                <w:webHidden/>
              </w:rPr>
              <w:t>3</w:t>
            </w:r>
            <w:r w:rsidR="008E27B6" w:rsidRPr="008E27B6">
              <w:rPr>
                <w:i w:val="0"/>
                <w:iCs w:val="0"/>
                <w:noProof/>
                <w:webHidden/>
              </w:rPr>
              <w:fldChar w:fldCharType="end"/>
            </w:r>
          </w:hyperlink>
        </w:p>
        <w:p w14:paraId="2431586F" w14:textId="3288A11C" w:rsidR="008E27B6" w:rsidRPr="008E27B6" w:rsidRDefault="008E27B6">
          <w:pPr>
            <w:pStyle w:val="TOC1"/>
            <w:tabs>
              <w:tab w:val="right" w:leader="dot" w:pos="9350"/>
            </w:tabs>
            <w:rPr>
              <w:rFonts w:eastAsiaTheme="minorEastAsia"/>
              <w:i w:val="0"/>
              <w:iCs w:val="0"/>
              <w:noProof/>
            </w:rPr>
          </w:pPr>
          <w:hyperlink w:anchor="_Toc214932628" w:history="1">
            <w:r w:rsidRPr="008E27B6">
              <w:rPr>
                <w:rStyle w:val="Hyperlink"/>
                <w:i w:val="0"/>
                <w:iCs w:val="0"/>
                <w:noProof/>
              </w:rPr>
              <w:t>2. Data and Methodology</w:t>
            </w:r>
            <w:r w:rsidRPr="008E27B6">
              <w:rPr>
                <w:i w:val="0"/>
                <w:iCs w:val="0"/>
                <w:noProof/>
                <w:webHidden/>
              </w:rPr>
              <w:tab/>
            </w:r>
            <w:r w:rsidRPr="008E27B6">
              <w:rPr>
                <w:i w:val="0"/>
                <w:iCs w:val="0"/>
                <w:noProof/>
                <w:webHidden/>
              </w:rPr>
              <w:fldChar w:fldCharType="begin"/>
            </w:r>
            <w:r w:rsidRPr="008E27B6">
              <w:rPr>
                <w:i w:val="0"/>
                <w:iCs w:val="0"/>
                <w:noProof/>
                <w:webHidden/>
              </w:rPr>
              <w:instrText xml:space="preserve"> PAGEREF _Toc214932628 \h </w:instrText>
            </w:r>
            <w:r w:rsidRPr="008E27B6">
              <w:rPr>
                <w:i w:val="0"/>
                <w:iCs w:val="0"/>
                <w:noProof/>
                <w:webHidden/>
              </w:rPr>
            </w:r>
            <w:r w:rsidRPr="008E27B6">
              <w:rPr>
                <w:i w:val="0"/>
                <w:iCs w:val="0"/>
                <w:noProof/>
                <w:webHidden/>
              </w:rPr>
              <w:fldChar w:fldCharType="separate"/>
            </w:r>
            <w:r w:rsidR="00B10CAB">
              <w:rPr>
                <w:i w:val="0"/>
                <w:iCs w:val="0"/>
                <w:noProof/>
                <w:webHidden/>
              </w:rPr>
              <w:t>3</w:t>
            </w:r>
            <w:r w:rsidRPr="008E27B6">
              <w:rPr>
                <w:i w:val="0"/>
                <w:iCs w:val="0"/>
                <w:noProof/>
                <w:webHidden/>
              </w:rPr>
              <w:fldChar w:fldCharType="end"/>
            </w:r>
          </w:hyperlink>
        </w:p>
        <w:p w14:paraId="141A5AFE" w14:textId="34D69B5A" w:rsidR="008E27B6" w:rsidRPr="008E27B6" w:rsidRDefault="008E27B6">
          <w:pPr>
            <w:pStyle w:val="TOC2"/>
            <w:tabs>
              <w:tab w:val="right" w:leader="dot" w:pos="9350"/>
            </w:tabs>
            <w:rPr>
              <w:rFonts w:eastAsiaTheme="minorEastAsia"/>
              <w:b w:val="0"/>
              <w:bCs w:val="0"/>
              <w:noProof/>
              <w:sz w:val="24"/>
              <w:szCs w:val="24"/>
            </w:rPr>
          </w:pPr>
          <w:hyperlink w:anchor="_Toc214932629" w:history="1">
            <w:r w:rsidRPr="008E27B6">
              <w:rPr>
                <w:rStyle w:val="Hyperlink"/>
                <w:b w:val="0"/>
                <w:bCs w:val="0"/>
                <w:noProof/>
              </w:rPr>
              <w:t>Data Description</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_Toc214932629 \h </w:instrText>
            </w:r>
            <w:r w:rsidRPr="008E27B6">
              <w:rPr>
                <w:b w:val="0"/>
                <w:bCs w:val="0"/>
                <w:noProof/>
                <w:webHidden/>
              </w:rPr>
            </w:r>
            <w:r w:rsidRPr="008E27B6">
              <w:rPr>
                <w:b w:val="0"/>
                <w:bCs w:val="0"/>
                <w:noProof/>
                <w:webHidden/>
              </w:rPr>
              <w:fldChar w:fldCharType="separate"/>
            </w:r>
            <w:r w:rsidR="00B10CAB">
              <w:rPr>
                <w:b w:val="0"/>
                <w:bCs w:val="0"/>
                <w:noProof/>
                <w:webHidden/>
              </w:rPr>
              <w:t>3</w:t>
            </w:r>
            <w:r w:rsidRPr="008E27B6">
              <w:rPr>
                <w:b w:val="0"/>
                <w:bCs w:val="0"/>
                <w:noProof/>
                <w:webHidden/>
              </w:rPr>
              <w:fldChar w:fldCharType="end"/>
            </w:r>
          </w:hyperlink>
        </w:p>
        <w:p w14:paraId="52216C62" w14:textId="670C0DE0" w:rsidR="008E27B6" w:rsidRPr="008E27B6" w:rsidRDefault="008E27B6">
          <w:pPr>
            <w:pStyle w:val="TOC2"/>
            <w:tabs>
              <w:tab w:val="right" w:leader="dot" w:pos="9350"/>
            </w:tabs>
            <w:rPr>
              <w:rFonts w:eastAsiaTheme="minorEastAsia"/>
              <w:b w:val="0"/>
              <w:bCs w:val="0"/>
              <w:noProof/>
              <w:sz w:val="24"/>
              <w:szCs w:val="24"/>
            </w:rPr>
          </w:pPr>
          <w:hyperlink w:anchor="_Toc214932630" w:history="1">
            <w:r w:rsidRPr="008E27B6">
              <w:rPr>
                <w:rStyle w:val="Hyperlink"/>
                <w:b w:val="0"/>
                <w:bCs w:val="0"/>
                <w:noProof/>
              </w:rPr>
              <w:t>Daily Return Construction</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_Toc214932630 \h </w:instrText>
            </w:r>
            <w:r w:rsidRPr="008E27B6">
              <w:rPr>
                <w:b w:val="0"/>
                <w:bCs w:val="0"/>
                <w:noProof/>
                <w:webHidden/>
              </w:rPr>
            </w:r>
            <w:r w:rsidRPr="008E27B6">
              <w:rPr>
                <w:b w:val="0"/>
                <w:bCs w:val="0"/>
                <w:noProof/>
                <w:webHidden/>
              </w:rPr>
              <w:fldChar w:fldCharType="separate"/>
            </w:r>
            <w:r w:rsidR="00B10CAB">
              <w:rPr>
                <w:b w:val="0"/>
                <w:bCs w:val="0"/>
                <w:noProof/>
                <w:webHidden/>
              </w:rPr>
              <w:t>3</w:t>
            </w:r>
            <w:r w:rsidRPr="008E27B6">
              <w:rPr>
                <w:b w:val="0"/>
                <w:bCs w:val="0"/>
                <w:noProof/>
                <w:webHidden/>
              </w:rPr>
              <w:fldChar w:fldCharType="end"/>
            </w:r>
          </w:hyperlink>
        </w:p>
        <w:p w14:paraId="6747C896" w14:textId="15BD0EC7" w:rsidR="008E27B6" w:rsidRPr="008E27B6" w:rsidRDefault="008E27B6">
          <w:pPr>
            <w:pStyle w:val="TOC1"/>
            <w:tabs>
              <w:tab w:val="right" w:leader="dot" w:pos="9350"/>
            </w:tabs>
            <w:rPr>
              <w:rFonts w:eastAsiaTheme="minorEastAsia"/>
              <w:i w:val="0"/>
              <w:iCs w:val="0"/>
              <w:noProof/>
            </w:rPr>
          </w:pPr>
          <w:hyperlink w:anchor="_Toc214932631" w:history="1">
            <w:r w:rsidRPr="008E27B6">
              <w:rPr>
                <w:rStyle w:val="Hyperlink"/>
                <w:i w:val="0"/>
                <w:iCs w:val="0"/>
                <w:noProof/>
              </w:rPr>
              <w:t>3. Portfolio Construction</w:t>
            </w:r>
            <w:r w:rsidRPr="008E27B6">
              <w:rPr>
                <w:i w:val="0"/>
                <w:iCs w:val="0"/>
                <w:noProof/>
                <w:webHidden/>
              </w:rPr>
              <w:tab/>
            </w:r>
            <w:r w:rsidRPr="008E27B6">
              <w:rPr>
                <w:i w:val="0"/>
                <w:iCs w:val="0"/>
                <w:noProof/>
                <w:webHidden/>
              </w:rPr>
              <w:fldChar w:fldCharType="begin"/>
            </w:r>
            <w:r w:rsidRPr="008E27B6">
              <w:rPr>
                <w:i w:val="0"/>
                <w:iCs w:val="0"/>
                <w:noProof/>
                <w:webHidden/>
              </w:rPr>
              <w:instrText xml:space="preserve"> PAGEREF _Toc214932631 \h </w:instrText>
            </w:r>
            <w:r w:rsidRPr="008E27B6">
              <w:rPr>
                <w:i w:val="0"/>
                <w:iCs w:val="0"/>
                <w:noProof/>
                <w:webHidden/>
              </w:rPr>
            </w:r>
            <w:r w:rsidRPr="008E27B6">
              <w:rPr>
                <w:i w:val="0"/>
                <w:iCs w:val="0"/>
                <w:noProof/>
                <w:webHidden/>
              </w:rPr>
              <w:fldChar w:fldCharType="separate"/>
            </w:r>
            <w:r w:rsidR="00B10CAB">
              <w:rPr>
                <w:i w:val="0"/>
                <w:iCs w:val="0"/>
                <w:noProof/>
                <w:webHidden/>
              </w:rPr>
              <w:t>4</w:t>
            </w:r>
            <w:r w:rsidRPr="008E27B6">
              <w:rPr>
                <w:i w:val="0"/>
                <w:iCs w:val="0"/>
                <w:noProof/>
                <w:webHidden/>
              </w:rPr>
              <w:fldChar w:fldCharType="end"/>
            </w:r>
          </w:hyperlink>
        </w:p>
        <w:p w14:paraId="47E70C4A" w14:textId="468DBF89" w:rsidR="008E27B6" w:rsidRPr="008E27B6" w:rsidRDefault="008E27B6">
          <w:pPr>
            <w:pStyle w:val="TOC2"/>
            <w:tabs>
              <w:tab w:val="right" w:leader="dot" w:pos="9350"/>
            </w:tabs>
            <w:rPr>
              <w:rFonts w:eastAsiaTheme="minorEastAsia"/>
              <w:b w:val="0"/>
              <w:bCs w:val="0"/>
              <w:noProof/>
              <w:sz w:val="24"/>
              <w:szCs w:val="24"/>
            </w:rPr>
          </w:pPr>
          <w:hyperlink w:anchor="_Toc214932632" w:history="1">
            <w:r w:rsidRPr="008E27B6">
              <w:rPr>
                <w:rStyle w:val="Hyperlink"/>
                <w:b w:val="0"/>
                <w:bCs w:val="0"/>
                <w:noProof/>
              </w:rPr>
              <w:t>Equal-Weighted Portfolio</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_Toc214932632 \h </w:instrText>
            </w:r>
            <w:r w:rsidRPr="008E27B6">
              <w:rPr>
                <w:b w:val="0"/>
                <w:bCs w:val="0"/>
                <w:noProof/>
                <w:webHidden/>
              </w:rPr>
            </w:r>
            <w:r w:rsidRPr="008E27B6">
              <w:rPr>
                <w:b w:val="0"/>
                <w:bCs w:val="0"/>
                <w:noProof/>
                <w:webHidden/>
              </w:rPr>
              <w:fldChar w:fldCharType="separate"/>
            </w:r>
            <w:r w:rsidR="00B10CAB">
              <w:rPr>
                <w:b w:val="0"/>
                <w:bCs w:val="0"/>
                <w:noProof/>
                <w:webHidden/>
              </w:rPr>
              <w:t>4</w:t>
            </w:r>
            <w:r w:rsidRPr="008E27B6">
              <w:rPr>
                <w:b w:val="0"/>
                <w:bCs w:val="0"/>
                <w:noProof/>
                <w:webHidden/>
              </w:rPr>
              <w:fldChar w:fldCharType="end"/>
            </w:r>
          </w:hyperlink>
        </w:p>
        <w:p w14:paraId="05CF5F02" w14:textId="4F929408" w:rsidR="008E27B6" w:rsidRPr="008E27B6" w:rsidRDefault="008E27B6">
          <w:pPr>
            <w:pStyle w:val="TOC2"/>
            <w:tabs>
              <w:tab w:val="right" w:leader="dot" w:pos="9350"/>
            </w:tabs>
            <w:rPr>
              <w:rFonts w:eastAsiaTheme="minorEastAsia"/>
              <w:b w:val="0"/>
              <w:bCs w:val="0"/>
              <w:noProof/>
              <w:sz w:val="24"/>
              <w:szCs w:val="24"/>
            </w:rPr>
          </w:pPr>
          <w:hyperlink w:anchor="_Toc214932633" w:history="1">
            <w:r w:rsidRPr="008E27B6">
              <w:rPr>
                <w:rStyle w:val="Hyperlink"/>
                <w:b w:val="0"/>
                <w:bCs w:val="0"/>
                <w:noProof/>
              </w:rPr>
              <w:t>Optimal Portfolio</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_Toc214932633 \h </w:instrText>
            </w:r>
            <w:r w:rsidRPr="008E27B6">
              <w:rPr>
                <w:b w:val="0"/>
                <w:bCs w:val="0"/>
                <w:noProof/>
                <w:webHidden/>
              </w:rPr>
            </w:r>
            <w:r w:rsidRPr="008E27B6">
              <w:rPr>
                <w:b w:val="0"/>
                <w:bCs w:val="0"/>
                <w:noProof/>
                <w:webHidden/>
              </w:rPr>
              <w:fldChar w:fldCharType="separate"/>
            </w:r>
            <w:r w:rsidR="00B10CAB">
              <w:rPr>
                <w:b w:val="0"/>
                <w:bCs w:val="0"/>
                <w:noProof/>
                <w:webHidden/>
              </w:rPr>
              <w:t>4</w:t>
            </w:r>
            <w:r w:rsidRPr="008E27B6">
              <w:rPr>
                <w:b w:val="0"/>
                <w:bCs w:val="0"/>
                <w:noProof/>
                <w:webHidden/>
              </w:rPr>
              <w:fldChar w:fldCharType="end"/>
            </w:r>
          </w:hyperlink>
        </w:p>
        <w:p w14:paraId="7F7C8752" w14:textId="038F8B69" w:rsidR="008E27B6" w:rsidRPr="008E27B6" w:rsidRDefault="008E27B6">
          <w:pPr>
            <w:pStyle w:val="TOC1"/>
            <w:tabs>
              <w:tab w:val="right" w:leader="dot" w:pos="9350"/>
            </w:tabs>
            <w:rPr>
              <w:rFonts w:eastAsiaTheme="minorEastAsia"/>
              <w:i w:val="0"/>
              <w:iCs w:val="0"/>
              <w:noProof/>
            </w:rPr>
          </w:pPr>
          <w:hyperlink w:anchor="_Toc214932634" w:history="1">
            <w:r w:rsidRPr="008E27B6">
              <w:rPr>
                <w:rStyle w:val="Hyperlink"/>
                <w:i w:val="0"/>
                <w:iCs w:val="0"/>
                <w:noProof/>
              </w:rPr>
              <w:t>4. Hypothesis Tests</w:t>
            </w:r>
            <w:r w:rsidRPr="008E27B6">
              <w:rPr>
                <w:i w:val="0"/>
                <w:iCs w:val="0"/>
                <w:noProof/>
                <w:webHidden/>
              </w:rPr>
              <w:tab/>
            </w:r>
            <w:r w:rsidRPr="008E27B6">
              <w:rPr>
                <w:i w:val="0"/>
                <w:iCs w:val="0"/>
                <w:noProof/>
                <w:webHidden/>
              </w:rPr>
              <w:fldChar w:fldCharType="begin"/>
            </w:r>
            <w:r w:rsidRPr="008E27B6">
              <w:rPr>
                <w:i w:val="0"/>
                <w:iCs w:val="0"/>
                <w:noProof/>
                <w:webHidden/>
              </w:rPr>
              <w:instrText xml:space="preserve"> PAGEREF _Toc214932634 \h </w:instrText>
            </w:r>
            <w:r w:rsidRPr="008E27B6">
              <w:rPr>
                <w:i w:val="0"/>
                <w:iCs w:val="0"/>
                <w:noProof/>
                <w:webHidden/>
              </w:rPr>
            </w:r>
            <w:r w:rsidRPr="008E27B6">
              <w:rPr>
                <w:i w:val="0"/>
                <w:iCs w:val="0"/>
                <w:noProof/>
                <w:webHidden/>
              </w:rPr>
              <w:fldChar w:fldCharType="separate"/>
            </w:r>
            <w:r w:rsidR="00B10CAB">
              <w:rPr>
                <w:i w:val="0"/>
                <w:iCs w:val="0"/>
                <w:noProof/>
                <w:webHidden/>
              </w:rPr>
              <w:t>5</w:t>
            </w:r>
            <w:r w:rsidRPr="008E27B6">
              <w:rPr>
                <w:i w:val="0"/>
                <w:iCs w:val="0"/>
                <w:noProof/>
                <w:webHidden/>
              </w:rPr>
              <w:fldChar w:fldCharType="end"/>
            </w:r>
          </w:hyperlink>
        </w:p>
        <w:p w14:paraId="67604C73" w14:textId="11A51D77" w:rsidR="008E27B6" w:rsidRPr="008E27B6" w:rsidRDefault="008E27B6">
          <w:pPr>
            <w:pStyle w:val="TOC2"/>
            <w:tabs>
              <w:tab w:val="right" w:leader="dot" w:pos="9350"/>
            </w:tabs>
            <w:rPr>
              <w:rFonts w:eastAsiaTheme="minorEastAsia"/>
              <w:b w:val="0"/>
              <w:bCs w:val="0"/>
              <w:noProof/>
              <w:sz w:val="24"/>
              <w:szCs w:val="24"/>
            </w:rPr>
          </w:pPr>
          <w:hyperlink w:anchor="_Toc214932635" w:history="1">
            <w:r w:rsidRPr="008E27B6">
              <w:rPr>
                <w:rStyle w:val="Hyperlink"/>
                <w:b w:val="0"/>
                <w:bCs w:val="0"/>
                <w:noProof/>
              </w:rPr>
              <w:t>Comparison of volatility of daily returns</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_Toc214932635 \h </w:instrText>
            </w:r>
            <w:r w:rsidRPr="008E27B6">
              <w:rPr>
                <w:b w:val="0"/>
                <w:bCs w:val="0"/>
                <w:noProof/>
                <w:webHidden/>
              </w:rPr>
            </w:r>
            <w:r w:rsidRPr="008E27B6">
              <w:rPr>
                <w:b w:val="0"/>
                <w:bCs w:val="0"/>
                <w:noProof/>
                <w:webHidden/>
              </w:rPr>
              <w:fldChar w:fldCharType="separate"/>
            </w:r>
            <w:r w:rsidR="00B10CAB">
              <w:rPr>
                <w:b w:val="0"/>
                <w:bCs w:val="0"/>
                <w:noProof/>
                <w:webHidden/>
              </w:rPr>
              <w:t>5</w:t>
            </w:r>
            <w:r w:rsidRPr="008E27B6">
              <w:rPr>
                <w:b w:val="0"/>
                <w:bCs w:val="0"/>
                <w:noProof/>
                <w:webHidden/>
              </w:rPr>
              <w:fldChar w:fldCharType="end"/>
            </w:r>
          </w:hyperlink>
        </w:p>
        <w:p w14:paraId="7461B4C3" w14:textId="7C816E5D" w:rsidR="008E27B6" w:rsidRPr="008E27B6" w:rsidRDefault="008E27B6">
          <w:pPr>
            <w:pStyle w:val="TOC2"/>
            <w:tabs>
              <w:tab w:val="right" w:leader="dot" w:pos="9350"/>
            </w:tabs>
            <w:rPr>
              <w:rFonts w:eastAsiaTheme="minorEastAsia"/>
              <w:b w:val="0"/>
              <w:bCs w:val="0"/>
              <w:noProof/>
              <w:sz w:val="24"/>
              <w:szCs w:val="24"/>
            </w:rPr>
          </w:pPr>
          <w:hyperlink w:anchor="_Toc214932636" w:history="1">
            <w:r w:rsidRPr="008E27B6">
              <w:rPr>
                <w:rStyle w:val="Hyperlink"/>
                <w:b w:val="0"/>
                <w:bCs w:val="0"/>
                <w:noProof/>
              </w:rPr>
              <w:t>Comparison of mean of daily returns</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_Toc214932636 \h </w:instrText>
            </w:r>
            <w:r w:rsidRPr="008E27B6">
              <w:rPr>
                <w:b w:val="0"/>
                <w:bCs w:val="0"/>
                <w:noProof/>
                <w:webHidden/>
              </w:rPr>
            </w:r>
            <w:r w:rsidRPr="008E27B6">
              <w:rPr>
                <w:b w:val="0"/>
                <w:bCs w:val="0"/>
                <w:noProof/>
                <w:webHidden/>
              </w:rPr>
              <w:fldChar w:fldCharType="separate"/>
            </w:r>
            <w:r w:rsidR="00B10CAB">
              <w:rPr>
                <w:b w:val="0"/>
                <w:bCs w:val="0"/>
                <w:noProof/>
                <w:webHidden/>
              </w:rPr>
              <w:t>7</w:t>
            </w:r>
            <w:r w:rsidRPr="008E27B6">
              <w:rPr>
                <w:b w:val="0"/>
                <w:bCs w:val="0"/>
                <w:noProof/>
                <w:webHidden/>
              </w:rPr>
              <w:fldChar w:fldCharType="end"/>
            </w:r>
          </w:hyperlink>
        </w:p>
        <w:p w14:paraId="636086A3" w14:textId="6BA9BE30" w:rsidR="008E27B6" w:rsidRPr="008E27B6" w:rsidRDefault="008E27B6">
          <w:pPr>
            <w:pStyle w:val="TOC1"/>
            <w:tabs>
              <w:tab w:val="right" w:leader="dot" w:pos="9350"/>
            </w:tabs>
            <w:rPr>
              <w:rFonts w:eastAsiaTheme="minorEastAsia"/>
              <w:i w:val="0"/>
              <w:iCs w:val="0"/>
              <w:noProof/>
            </w:rPr>
          </w:pPr>
          <w:hyperlink w:anchor="_Toc214932637" w:history="1">
            <w:r w:rsidRPr="008E27B6">
              <w:rPr>
                <w:rStyle w:val="Hyperlink"/>
                <w:i w:val="0"/>
                <w:iCs w:val="0"/>
                <w:noProof/>
              </w:rPr>
              <w:t>5. Beta Estimation (Market Model)</w:t>
            </w:r>
            <w:r w:rsidRPr="008E27B6">
              <w:rPr>
                <w:i w:val="0"/>
                <w:iCs w:val="0"/>
                <w:noProof/>
                <w:webHidden/>
              </w:rPr>
              <w:tab/>
            </w:r>
            <w:r w:rsidRPr="008E27B6">
              <w:rPr>
                <w:i w:val="0"/>
                <w:iCs w:val="0"/>
                <w:noProof/>
                <w:webHidden/>
              </w:rPr>
              <w:fldChar w:fldCharType="begin"/>
            </w:r>
            <w:r w:rsidRPr="008E27B6">
              <w:rPr>
                <w:i w:val="0"/>
                <w:iCs w:val="0"/>
                <w:noProof/>
                <w:webHidden/>
              </w:rPr>
              <w:instrText xml:space="preserve"> PAGEREF _Toc214932637 \h </w:instrText>
            </w:r>
            <w:r w:rsidRPr="008E27B6">
              <w:rPr>
                <w:i w:val="0"/>
                <w:iCs w:val="0"/>
                <w:noProof/>
                <w:webHidden/>
              </w:rPr>
            </w:r>
            <w:r w:rsidRPr="008E27B6">
              <w:rPr>
                <w:i w:val="0"/>
                <w:iCs w:val="0"/>
                <w:noProof/>
                <w:webHidden/>
              </w:rPr>
              <w:fldChar w:fldCharType="separate"/>
            </w:r>
            <w:r w:rsidR="00B10CAB">
              <w:rPr>
                <w:i w:val="0"/>
                <w:iCs w:val="0"/>
                <w:noProof/>
                <w:webHidden/>
              </w:rPr>
              <w:t>8</w:t>
            </w:r>
            <w:r w:rsidRPr="008E27B6">
              <w:rPr>
                <w:i w:val="0"/>
                <w:iCs w:val="0"/>
                <w:noProof/>
                <w:webHidden/>
              </w:rPr>
              <w:fldChar w:fldCharType="end"/>
            </w:r>
          </w:hyperlink>
        </w:p>
        <w:p w14:paraId="091A0757" w14:textId="06434050" w:rsidR="008E27B6" w:rsidRPr="008E27B6" w:rsidRDefault="008E27B6">
          <w:pPr>
            <w:pStyle w:val="TOC2"/>
            <w:tabs>
              <w:tab w:val="right" w:leader="dot" w:pos="9350"/>
            </w:tabs>
            <w:rPr>
              <w:rFonts w:eastAsiaTheme="minorEastAsia"/>
              <w:b w:val="0"/>
              <w:bCs w:val="0"/>
              <w:noProof/>
              <w:sz w:val="24"/>
              <w:szCs w:val="24"/>
            </w:rPr>
          </w:pPr>
          <w:hyperlink w:anchor="_Toc214932638" w:history="1">
            <w:r w:rsidRPr="008E27B6">
              <w:rPr>
                <w:rStyle w:val="Hyperlink"/>
                <w:b w:val="0"/>
                <w:bCs w:val="0"/>
                <w:noProof/>
              </w:rPr>
              <w:t>Regression Model</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_Toc214932638 \h </w:instrText>
            </w:r>
            <w:r w:rsidRPr="008E27B6">
              <w:rPr>
                <w:b w:val="0"/>
                <w:bCs w:val="0"/>
                <w:noProof/>
                <w:webHidden/>
              </w:rPr>
            </w:r>
            <w:r w:rsidRPr="008E27B6">
              <w:rPr>
                <w:b w:val="0"/>
                <w:bCs w:val="0"/>
                <w:noProof/>
                <w:webHidden/>
              </w:rPr>
              <w:fldChar w:fldCharType="separate"/>
            </w:r>
            <w:r w:rsidR="00B10CAB">
              <w:rPr>
                <w:b w:val="0"/>
                <w:bCs w:val="0"/>
                <w:noProof/>
                <w:webHidden/>
              </w:rPr>
              <w:t>8</w:t>
            </w:r>
            <w:r w:rsidRPr="008E27B6">
              <w:rPr>
                <w:b w:val="0"/>
                <w:bCs w:val="0"/>
                <w:noProof/>
                <w:webHidden/>
              </w:rPr>
              <w:fldChar w:fldCharType="end"/>
            </w:r>
          </w:hyperlink>
        </w:p>
        <w:p w14:paraId="46984C34" w14:textId="2E7F7BFA" w:rsidR="008E27B6" w:rsidRPr="008E27B6" w:rsidRDefault="008E27B6">
          <w:pPr>
            <w:pStyle w:val="TOC2"/>
            <w:tabs>
              <w:tab w:val="right" w:leader="dot" w:pos="9350"/>
            </w:tabs>
            <w:rPr>
              <w:rFonts w:eastAsiaTheme="minorEastAsia"/>
              <w:b w:val="0"/>
              <w:bCs w:val="0"/>
              <w:noProof/>
              <w:sz w:val="24"/>
              <w:szCs w:val="24"/>
            </w:rPr>
          </w:pPr>
          <w:hyperlink w:anchor="_Toc214932639" w:history="1">
            <w:r w:rsidRPr="008E27B6">
              <w:rPr>
                <w:rStyle w:val="Hyperlink"/>
                <w:b w:val="0"/>
                <w:bCs w:val="0"/>
                <w:noProof/>
              </w:rPr>
              <w:t>Overall Model Goodness of Fit</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_Toc214932639 \h </w:instrText>
            </w:r>
            <w:r w:rsidRPr="008E27B6">
              <w:rPr>
                <w:b w:val="0"/>
                <w:bCs w:val="0"/>
                <w:noProof/>
                <w:webHidden/>
              </w:rPr>
            </w:r>
            <w:r w:rsidRPr="008E27B6">
              <w:rPr>
                <w:b w:val="0"/>
                <w:bCs w:val="0"/>
                <w:noProof/>
                <w:webHidden/>
              </w:rPr>
              <w:fldChar w:fldCharType="separate"/>
            </w:r>
            <w:r w:rsidR="00B10CAB">
              <w:rPr>
                <w:b w:val="0"/>
                <w:bCs w:val="0"/>
                <w:noProof/>
                <w:webHidden/>
              </w:rPr>
              <w:t>10</w:t>
            </w:r>
            <w:r w:rsidRPr="008E27B6">
              <w:rPr>
                <w:b w:val="0"/>
                <w:bCs w:val="0"/>
                <w:noProof/>
                <w:webHidden/>
              </w:rPr>
              <w:fldChar w:fldCharType="end"/>
            </w:r>
          </w:hyperlink>
        </w:p>
        <w:p w14:paraId="5BB03830" w14:textId="5450D4BD" w:rsidR="008E27B6" w:rsidRPr="008E27B6" w:rsidRDefault="008E27B6">
          <w:pPr>
            <w:pStyle w:val="TOC2"/>
            <w:tabs>
              <w:tab w:val="right" w:leader="dot" w:pos="9350"/>
            </w:tabs>
            <w:rPr>
              <w:rFonts w:eastAsiaTheme="minorEastAsia"/>
              <w:b w:val="0"/>
              <w:bCs w:val="0"/>
              <w:noProof/>
              <w:sz w:val="24"/>
              <w:szCs w:val="24"/>
            </w:rPr>
          </w:pPr>
          <w:hyperlink w:anchor="_Toc214932640" w:history="1">
            <w:r w:rsidRPr="008E27B6">
              <w:rPr>
                <w:rStyle w:val="Hyperlink"/>
                <w:b w:val="0"/>
                <w:bCs w:val="0"/>
                <w:noProof/>
              </w:rPr>
              <w:t xml:space="preserve">Stock Volatility Relative to the Market (Testing </w:t>
            </w:r>
            <m:oMath>
              <m:r>
                <m:rPr>
                  <m:sty m:val="b"/>
                </m:rPr>
                <w:rPr>
                  <w:rStyle w:val="Hyperlink"/>
                  <w:rFonts w:ascii="Cambria Math" w:hAnsi="Cambria Math"/>
                  <w:noProof/>
                </w:rPr>
                <m:t>β1=1</m:t>
              </m:r>
            </m:oMath>
            <w:r w:rsidRPr="008E27B6">
              <w:rPr>
                <w:rStyle w:val="Hyperlink"/>
                <w:b w:val="0"/>
                <w:bCs w:val="0"/>
                <w:noProof/>
              </w:rPr>
              <w:t>)</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_Toc214932640 \h </w:instrText>
            </w:r>
            <w:r w:rsidRPr="008E27B6">
              <w:rPr>
                <w:b w:val="0"/>
                <w:bCs w:val="0"/>
                <w:noProof/>
                <w:webHidden/>
              </w:rPr>
            </w:r>
            <w:r w:rsidRPr="008E27B6">
              <w:rPr>
                <w:b w:val="0"/>
                <w:bCs w:val="0"/>
                <w:noProof/>
                <w:webHidden/>
              </w:rPr>
              <w:fldChar w:fldCharType="separate"/>
            </w:r>
            <w:r w:rsidR="00B10CAB">
              <w:rPr>
                <w:b w:val="0"/>
                <w:bCs w:val="0"/>
                <w:noProof/>
                <w:webHidden/>
              </w:rPr>
              <w:t>12</w:t>
            </w:r>
            <w:r w:rsidRPr="008E27B6">
              <w:rPr>
                <w:b w:val="0"/>
                <w:bCs w:val="0"/>
                <w:noProof/>
                <w:webHidden/>
              </w:rPr>
              <w:fldChar w:fldCharType="end"/>
            </w:r>
          </w:hyperlink>
        </w:p>
        <w:p w14:paraId="1268665A" w14:textId="19613E53" w:rsidR="008E27B6" w:rsidRPr="008E27B6" w:rsidRDefault="008E27B6">
          <w:pPr>
            <w:pStyle w:val="TOC2"/>
            <w:tabs>
              <w:tab w:val="right" w:leader="dot" w:pos="9350"/>
            </w:tabs>
            <w:rPr>
              <w:rFonts w:eastAsiaTheme="minorEastAsia"/>
              <w:b w:val="0"/>
              <w:bCs w:val="0"/>
              <w:noProof/>
              <w:sz w:val="24"/>
              <w:szCs w:val="24"/>
            </w:rPr>
          </w:pPr>
          <w:hyperlink w:anchor="_Toc214932641" w:history="1">
            <w:r w:rsidRPr="008E27B6">
              <w:rPr>
                <w:rStyle w:val="Hyperlink"/>
                <w:b w:val="0"/>
                <w:bCs w:val="0"/>
                <w:noProof/>
              </w:rPr>
              <w:t>Model Adequacy</w:t>
            </w:r>
            <w:r w:rsidRPr="008E27B6">
              <w:rPr>
                <w:b w:val="0"/>
                <w:bCs w:val="0"/>
                <w:noProof/>
                <w:webHidden/>
              </w:rPr>
              <w:tab/>
            </w:r>
            <w:r w:rsidRPr="008E27B6">
              <w:rPr>
                <w:b w:val="0"/>
                <w:bCs w:val="0"/>
                <w:noProof/>
                <w:webHidden/>
              </w:rPr>
              <w:fldChar w:fldCharType="begin"/>
            </w:r>
            <w:r w:rsidRPr="008E27B6">
              <w:rPr>
                <w:b w:val="0"/>
                <w:bCs w:val="0"/>
                <w:noProof/>
                <w:webHidden/>
              </w:rPr>
              <w:instrText xml:space="preserve"> PAGEREF _Toc214932641 \h </w:instrText>
            </w:r>
            <w:r w:rsidRPr="008E27B6">
              <w:rPr>
                <w:b w:val="0"/>
                <w:bCs w:val="0"/>
                <w:noProof/>
                <w:webHidden/>
              </w:rPr>
            </w:r>
            <w:r w:rsidRPr="008E27B6">
              <w:rPr>
                <w:b w:val="0"/>
                <w:bCs w:val="0"/>
                <w:noProof/>
                <w:webHidden/>
              </w:rPr>
              <w:fldChar w:fldCharType="separate"/>
            </w:r>
            <w:r w:rsidR="00B10CAB">
              <w:rPr>
                <w:b w:val="0"/>
                <w:bCs w:val="0"/>
                <w:noProof/>
                <w:webHidden/>
              </w:rPr>
              <w:t>14</w:t>
            </w:r>
            <w:r w:rsidRPr="008E27B6">
              <w:rPr>
                <w:b w:val="0"/>
                <w:bCs w:val="0"/>
                <w:noProof/>
                <w:webHidden/>
              </w:rPr>
              <w:fldChar w:fldCharType="end"/>
            </w:r>
          </w:hyperlink>
        </w:p>
        <w:p w14:paraId="4A2B472A" w14:textId="6BA7B1C0" w:rsidR="008E27B6" w:rsidRPr="008E27B6" w:rsidRDefault="008E27B6">
          <w:pPr>
            <w:pStyle w:val="TOC1"/>
            <w:tabs>
              <w:tab w:val="right" w:leader="dot" w:pos="9350"/>
            </w:tabs>
            <w:rPr>
              <w:rFonts w:eastAsiaTheme="minorEastAsia"/>
              <w:i w:val="0"/>
              <w:iCs w:val="0"/>
              <w:noProof/>
            </w:rPr>
          </w:pPr>
          <w:hyperlink w:anchor="_Toc214932642" w:history="1">
            <w:r w:rsidRPr="008E27B6">
              <w:rPr>
                <w:rStyle w:val="Hyperlink"/>
                <w:i w:val="0"/>
                <w:iCs w:val="0"/>
                <w:noProof/>
              </w:rPr>
              <w:t>6. Conclusion</w:t>
            </w:r>
            <w:r w:rsidRPr="008E27B6">
              <w:rPr>
                <w:i w:val="0"/>
                <w:iCs w:val="0"/>
                <w:noProof/>
                <w:webHidden/>
              </w:rPr>
              <w:tab/>
            </w:r>
            <w:r w:rsidRPr="008E27B6">
              <w:rPr>
                <w:i w:val="0"/>
                <w:iCs w:val="0"/>
                <w:noProof/>
                <w:webHidden/>
              </w:rPr>
              <w:fldChar w:fldCharType="begin"/>
            </w:r>
            <w:r w:rsidRPr="008E27B6">
              <w:rPr>
                <w:i w:val="0"/>
                <w:iCs w:val="0"/>
                <w:noProof/>
                <w:webHidden/>
              </w:rPr>
              <w:instrText xml:space="preserve"> PAGEREF _Toc214932642 \h </w:instrText>
            </w:r>
            <w:r w:rsidRPr="008E27B6">
              <w:rPr>
                <w:i w:val="0"/>
                <w:iCs w:val="0"/>
                <w:noProof/>
                <w:webHidden/>
              </w:rPr>
            </w:r>
            <w:r w:rsidRPr="008E27B6">
              <w:rPr>
                <w:i w:val="0"/>
                <w:iCs w:val="0"/>
                <w:noProof/>
                <w:webHidden/>
              </w:rPr>
              <w:fldChar w:fldCharType="separate"/>
            </w:r>
            <w:r w:rsidR="00B10CAB">
              <w:rPr>
                <w:i w:val="0"/>
                <w:iCs w:val="0"/>
                <w:noProof/>
                <w:webHidden/>
              </w:rPr>
              <w:t>19</w:t>
            </w:r>
            <w:r w:rsidRPr="008E27B6">
              <w:rPr>
                <w:i w:val="0"/>
                <w:iCs w:val="0"/>
                <w:noProof/>
                <w:webHidden/>
              </w:rPr>
              <w:fldChar w:fldCharType="end"/>
            </w:r>
          </w:hyperlink>
        </w:p>
        <w:p w14:paraId="7955E022" w14:textId="524D291F" w:rsidR="008E27B6" w:rsidRPr="008E27B6" w:rsidRDefault="008E27B6">
          <w:pPr>
            <w:pStyle w:val="TOC1"/>
            <w:tabs>
              <w:tab w:val="right" w:leader="dot" w:pos="9350"/>
            </w:tabs>
            <w:rPr>
              <w:rFonts w:eastAsiaTheme="minorEastAsia"/>
              <w:i w:val="0"/>
              <w:iCs w:val="0"/>
              <w:noProof/>
            </w:rPr>
          </w:pPr>
          <w:hyperlink w:anchor="_Toc214932643" w:history="1">
            <w:r w:rsidRPr="008E27B6">
              <w:rPr>
                <w:rStyle w:val="Hyperlink"/>
                <w:i w:val="0"/>
                <w:iCs w:val="0"/>
                <w:noProof/>
              </w:rPr>
              <w:t>References</w:t>
            </w:r>
            <w:r w:rsidRPr="008E27B6">
              <w:rPr>
                <w:i w:val="0"/>
                <w:iCs w:val="0"/>
                <w:noProof/>
                <w:webHidden/>
              </w:rPr>
              <w:tab/>
            </w:r>
            <w:r w:rsidRPr="008E27B6">
              <w:rPr>
                <w:i w:val="0"/>
                <w:iCs w:val="0"/>
                <w:noProof/>
                <w:webHidden/>
              </w:rPr>
              <w:fldChar w:fldCharType="begin"/>
            </w:r>
            <w:r w:rsidRPr="008E27B6">
              <w:rPr>
                <w:i w:val="0"/>
                <w:iCs w:val="0"/>
                <w:noProof/>
                <w:webHidden/>
              </w:rPr>
              <w:instrText xml:space="preserve"> PAGEREF _Toc214932643 \h </w:instrText>
            </w:r>
            <w:r w:rsidRPr="008E27B6">
              <w:rPr>
                <w:i w:val="0"/>
                <w:iCs w:val="0"/>
                <w:noProof/>
                <w:webHidden/>
              </w:rPr>
            </w:r>
            <w:r w:rsidRPr="008E27B6">
              <w:rPr>
                <w:i w:val="0"/>
                <w:iCs w:val="0"/>
                <w:noProof/>
                <w:webHidden/>
              </w:rPr>
              <w:fldChar w:fldCharType="separate"/>
            </w:r>
            <w:r w:rsidR="00B10CAB">
              <w:rPr>
                <w:i w:val="0"/>
                <w:iCs w:val="0"/>
                <w:noProof/>
                <w:webHidden/>
              </w:rPr>
              <w:t>20</w:t>
            </w:r>
            <w:r w:rsidRPr="008E27B6">
              <w:rPr>
                <w:i w:val="0"/>
                <w:iCs w:val="0"/>
                <w:noProof/>
                <w:webHidden/>
              </w:rPr>
              <w:fldChar w:fldCharType="end"/>
            </w:r>
          </w:hyperlink>
        </w:p>
        <w:p w14:paraId="6E847C4C" w14:textId="45D1DD9A" w:rsidR="008E27B6" w:rsidRPr="008E27B6" w:rsidRDefault="008E27B6">
          <w:pPr>
            <w:pStyle w:val="TOC1"/>
            <w:tabs>
              <w:tab w:val="right" w:leader="dot" w:pos="9350"/>
            </w:tabs>
            <w:rPr>
              <w:rFonts w:eastAsiaTheme="minorEastAsia"/>
              <w:i w:val="0"/>
              <w:iCs w:val="0"/>
              <w:noProof/>
            </w:rPr>
          </w:pPr>
          <w:hyperlink w:anchor="_Toc214932644" w:history="1">
            <w:r w:rsidRPr="008E27B6">
              <w:rPr>
                <w:rStyle w:val="Hyperlink"/>
                <w:i w:val="0"/>
                <w:iCs w:val="0"/>
                <w:noProof/>
              </w:rPr>
              <w:t>Appendix</w:t>
            </w:r>
            <w:r w:rsidRPr="008E27B6">
              <w:rPr>
                <w:i w:val="0"/>
                <w:iCs w:val="0"/>
                <w:noProof/>
                <w:webHidden/>
              </w:rPr>
              <w:tab/>
            </w:r>
            <w:r w:rsidRPr="008E27B6">
              <w:rPr>
                <w:i w:val="0"/>
                <w:iCs w:val="0"/>
                <w:noProof/>
                <w:webHidden/>
              </w:rPr>
              <w:fldChar w:fldCharType="begin"/>
            </w:r>
            <w:r w:rsidRPr="008E27B6">
              <w:rPr>
                <w:i w:val="0"/>
                <w:iCs w:val="0"/>
                <w:noProof/>
                <w:webHidden/>
              </w:rPr>
              <w:instrText xml:space="preserve"> PAGEREF _Toc214932644 \h </w:instrText>
            </w:r>
            <w:r w:rsidRPr="008E27B6">
              <w:rPr>
                <w:i w:val="0"/>
                <w:iCs w:val="0"/>
                <w:noProof/>
                <w:webHidden/>
              </w:rPr>
            </w:r>
            <w:r w:rsidRPr="008E27B6">
              <w:rPr>
                <w:i w:val="0"/>
                <w:iCs w:val="0"/>
                <w:noProof/>
                <w:webHidden/>
              </w:rPr>
              <w:fldChar w:fldCharType="separate"/>
            </w:r>
            <w:r w:rsidR="00B10CAB">
              <w:rPr>
                <w:i w:val="0"/>
                <w:iCs w:val="0"/>
                <w:noProof/>
                <w:webHidden/>
              </w:rPr>
              <w:t>21</w:t>
            </w:r>
            <w:r w:rsidRPr="008E27B6">
              <w:rPr>
                <w:i w:val="0"/>
                <w:iCs w:val="0"/>
                <w:noProof/>
                <w:webHidden/>
              </w:rPr>
              <w:fldChar w:fldCharType="end"/>
            </w:r>
          </w:hyperlink>
        </w:p>
        <w:p w14:paraId="04F701EC" w14:textId="6BA16ADD" w:rsidR="0055239F" w:rsidRPr="008E27B6" w:rsidRDefault="0055239F">
          <w:pPr>
            <w:rPr>
              <w:b/>
              <w:bCs/>
            </w:rPr>
          </w:pPr>
          <w:r w:rsidRPr="008E27B6">
            <w:rPr>
              <w:b/>
              <w:bCs/>
              <w:noProof/>
            </w:rPr>
            <w:fldChar w:fldCharType="end"/>
          </w:r>
        </w:p>
      </w:sdtContent>
    </w:sdt>
    <w:p w14:paraId="0CE414D8" w14:textId="77777777" w:rsidR="00DF0551" w:rsidRPr="003D1EE4" w:rsidRDefault="00DF0551" w:rsidP="001E0AAA">
      <w:r w:rsidRPr="003D1EE4">
        <w:br w:type="page"/>
      </w:r>
    </w:p>
    <w:p w14:paraId="012563F8" w14:textId="356131EC" w:rsidR="00805A40" w:rsidRDefault="00480049" w:rsidP="009E2B73">
      <w:pPr>
        <w:pStyle w:val="Heading1"/>
      </w:pPr>
      <w:bookmarkStart w:id="0" w:name="_Toc214932627"/>
      <w:r>
        <w:lastRenderedPageBreak/>
        <w:t xml:space="preserve">1. </w:t>
      </w:r>
      <w:r w:rsidR="00112908">
        <w:t>Introduction</w:t>
      </w:r>
      <w:bookmarkEnd w:id="0"/>
    </w:p>
    <w:p w14:paraId="7FABBF00" w14:textId="32AE4148" w:rsidR="004E2FB7" w:rsidRDefault="00E36F8F" w:rsidP="004E2FB7">
      <w:r>
        <w:t>This project builds on the analysis completed in Project 1 by taking a deeper look at how the two portfolios behave across key risk and return measures. We compare the portfolios using their daily return patterns, which allows us to evaluate differences in volatility, average performance, and overall risk behavior in a more detailed and consistent way. This helps reinforce or challenge the conclusions formed earlier about how these portfolios differ under normal market conditions</w:t>
      </w:r>
      <w:r w:rsidR="004E2FB7">
        <w:t>.</w:t>
      </w:r>
    </w:p>
    <w:p w14:paraId="44EEB72B" w14:textId="2376F139" w:rsidR="00235AE9" w:rsidRPr="00235AE9" w:rsidRDefault="004E2FB7" w:rsidP="004E2FB7">
      <w:r>
        <w:t>A</w:t>
      </w:r>
      <w:r w:rsidR="00106524">
        <w:t xml:space="preserve">nother </w:t>
      </w:r>
      <w:r>
        <w:t xml:space="preserve">goal </w:t>
      </w:r>
      <w:r w:rsidR="00106524">
        <w:t xml:space="preserve">of the project </w:t>
      </w:r>
      <w:r>
        <w:t xml:space="preserve">is to </w:t>
      </w:r>
      <w:r w:rsidR="00E36F8F">
        <w:t>estimate</w:t>
      </w:r>
      <w:r>
        <w:t xml:space="preserve"> beta</w:t>
      </w:r>
      <w:r w:rsidR="00E36F8F">
        <w:t>s</w:t>
      </w:r>
      <w:r>
        <w:t xml:space="preserve"> for the individual companies </w:t>
      </w:r>
      <w:r w:rsidR="00E36F8F">
        <w:t>included in our earlier analysis</w:t>
      </w:r>
      <w:r>
        <w:t xml:space="preserve">. Publicly available betas often use different assumptions, time windows, and market benchmarks, which may not match our specific context. </w:t>
      </w:r>
      <w:r w:rsidR="00E36F8F">
        <w:t>By computing betas ourselves, using a clear and consistent modeling approach, we gain results that better fit our specific analysis and allow us to assess the adequacy of these models for portfolio comparison</w:t>
      </w:r>
      <w:r>
        <w:t>.</w:t>
      </w:r>
    </w:p>
    <w:p w14:paraId="79552814" w14:textId="77777777" w:rsidR="007F0BB0" w:rsidRDefault="00480049" w:rsidP="00235AE9">
      <w:pPr>
        <w:pStyle w:val="Heading1"/>
      </w:pPr>
      <w:bookmarkStart w:id="1" w:name="_Toc214932628"/>
      <w:r>
        <w:t>2</w:t>
      </w:r>
      <w:r w:rsidR="00FD5A6B">
        <w:t>.</w:t>
      </w:r>
      <w:r w:rsidR="002D688F">
        <w:t xml:space="preserve"> </w:t>
      </w:r>
      <w:r w:rsidR="00775282">
        <w:t xml:space="preserve">Data </w:t>
      </w:r>
      <w:r w:rsidR="007F0BB0">
        <w:t>and Methodology</w:t>
      </w:r>
      <w:bookmarkEnd w:id="1"/>
    </w:p>
    <w:p w14:paraId="1278D3E6" w14:textId="26FA4E83" w:rsidR="00BC5A36" w:rsidRPr="002D2FBD" w:rsidRDefault="007F0BB0" w:rsidP="007F0BB0">
      <w:pPr>
        <w:pStyle w:val="Heading2"/>
      </w:pPr>
      <w:bookmarkStart w:id="2" w:name="_Toc214932629"/>
      <w:r>
        <w:t xml:space="preserve">Data </w:t>
      </w:r>
      <w:r w:rsidR="00775282">
        <w:t>Description</w:t>
      </w:r>
      <w:bookmarkEnd w:id="2"/>
      <w:r w:rsidR="00775282">
        <w:t xml:space="preserve"> </w:t>
      </w:r>
    </w:p>
    <w:p w14:paraId="58D76B03" w14:textId="77777777" w:rsidR="00775282" w:rsidRDefault="00775282" w:rsidP="00775282">
      <w:r w:rsidRPr="00775282">
        <w:t>Our analysis uses the same set of ten stocks selected in Project 1 and the same dataset assembled earlier. This dataset includes adjusted-close prices for the ten companies downloaded from NASDAQ, the S&amp;P 500 Index obtained through the Yahoo Finance API, and the daily 13-week U.S. Treasury Bill series sourced from Federal Reserve Economic Data (FRED) using the same API.</w:t>
      </w:r>
      <w:r>
        <w:t xml:space="preserve"> </w:t>
      </w:r>
    </w:p>
    <w:p w14:paraId="18172F60" w14:textId="6320EB44" w:rsidR="00775282" w:rsidRDefault="00775282" w:rsidP="00775282">
      <w:r w:rsidRPr="00775282">
        <w:t xml:space="preserve">The dataset covers the same date range as Project 1 to keep the results consistent across both projects. By using the original </w:t>
      </w:r>
      <w:r w:rsidR="00386DB2" w:rsidRPr="00775282">
        <w:t>data,</w:t>
      </w:r>
      <w:r w:rsidRPr="00775282">
        <w:t xml:space="preserve"> we ensure that all comparisons and follow-on analyses are based on a uniform and aligned set of inputs.</w:t>
      </w:r>
    </w:p>
    <w:p w14:paraId="5EFBC9A2" w14:textId="6584E17C" w:rsidR="007F0BB0" w:rsidRDefault="007F0BB0" w:rsidP="007F0BB0">
      <w:pPr>
        <w:pStyle w:val="Heading2"/>
      </w:pPr>
      <w:bookmarkStart w:id="3" w:name="_Toc214932630"/>
      <w:r w:rsidRPr="007F0BB0">
        <w:t>Daily Return Construction</w:t>
      </w:r>
      <w:bookmarkEnd w:id="3"/>
    </w:p>
    <w:p w14:paraId="3E56E08B" w14:textId="309A7BFC" w:rsidR="006C278C" w:rsidRPr="00C507FA" w:rsidRDefault="006C278C" w:rsidP="006C278C">
      <w:r>
        <w:t xml:space="preserve">Daily log returns were calculated for each of the ten companies using adjusted-close prices from the Project 1 dataset (from Oct 2020 to Oct 2025). </w:t>
      </w:r>
      <w:r w:rsidRPr="00C507FA">
        <w:t>For each stock</w:t>
      </w:r>
      <w:r>
        <w:t xml:space="preserve"> </w:t>
      </w:r>
      <m:oMath>
        <m:r>
          <w:rPr>
            <w:rFonts w:ascii="Cambria Math" w:hAnsi="Cambria Math"/>
          </w:rPr>
          <m:t>i</m:t>
        </m:r>
      </m:oMath>
      <w:r>
        <w:t>,</w:t>
      </w:r>
      <w:r w:rsidRPr="00C507FA">
        <w:t xml:space="preserve"> let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i,t</m:t>
            </m:r>
          </m:sub>
        </m:sSub>
        <m:r>
          <w:rPr>
            <w:rFonts w:ascii="Cambria Math" w:hAnsi="Cambria Math"/>
          </w:rPr>
          <m:t xml:space="preserve"> </m:t>
        </m:r>
      </m:oMath>
      <w:r w:rsidRPr="00C507FA">
        <w:t xml:space="preserve">denote its adjusted closing price </w:t>
      </w:r>
      <w:r>
        <w:t>on day</w:t>
      </w:r>
      <w:r w:rsidRPr="00C507FA">
        <w:t xml:space="preserve"> </w:t>
      </w:r>
      <w:r w:rsidRPr="00C507FA">
        <w:rPr>
          <w:rStyle w:val="Emphasis"/>
        </w:rPr>
        <w:t>t</w:t>
      </w:r>
      <w:r w:rsidRPr="00C507FA">
        <w:t>.</w:t>
      </w:r>
      <w:r w:rsidR="00771524">
        <w:t xml:space="preserve"> The daily log return is:</w:t>
      </w:r>
    </w:p>
    <w:p w14:paraId="25F0FC94" w14:textId="77777777" w:rsidR="006C278C" w:rsidRPr="0050663F" w:rsidRDefault="00000000" w:rsidP="006C278C">
      <w:pPr>
        <w:rPr>
          <w:rStyle w:val="delimsizing"/>
          <w:rFonts w:eastAsiaTheme="minorEastAsia"/>
        </w:rPr>
      </w:pPr>
      <m:oMathPara>
        <m:oMath>
          <m:sSub>
            <m:sSubPr>
              <m:ctrlPr>
                <w:rPr>
                  <w:rStyle w:val="mord"/>
                  <w:rFonts w:ascii="Cambria Math" w:hAnsi="Cambria Math"/>
                </w:rPr>
              </m:ctrlPr>
            </m:sSubPr>
            <m:e>
              <m:r>
                <m:rPr>
                  <m:sty m:val="p"/>
                </m:rPr>
                <w:rPr>
                  <w:rStyle w:val="mord"/>
                  <w:rFonts w:ascii="Cambria Math" w:hAnsi="Cambria Math"/>
                </w:rPr>
                <m:t>R</m:t>
              </m:r>
            </m:e>
            <m:sub>
              <m:r>
                <m:rPr>
                  <m:sty m:val="p"/>
                </m:rPr>
                <w:rPr>
                  <w:rStyle w:val="mord"/>
                  <w:rFonts w:ascii="Cambria Math" w:hAnsi="Cambria Math"/>
                </w:rPr>
                <m:t>i,t</m:t>
              </m:r>
            </m:sub>
          </m:sSub>
          <m:r>
            <m:rPr>
              <m:sty m:val="p"/>
            </m:rPr>
            <w:rPr>
              <w:rStyle w:val="vlist-s"/>
              <w:rFonts w:ascii="Cambria Math" w:hAnsi="Cambria Math" w:cs="Arial"/>
            </w:rPr>
            <m:t>​</m:t>
          </m:r>
          <m:r>
            <m:rPr>
              <m:sty m:val="p"/>
            </m:rPr>
            <w:rPr>
              <w:rStyle w:val="mrel"/>
              <w:rFonts w:ascii="Cambria Math" w:hAnsi="Cambria Math"/>
            </w:rPr>
            <m:t>=</m:t>
          </m:r>
          <m:r>
            <w:rPr>
              <w:rStyle w:val="mop"/>
              <w:rFonts w:ascii="Cambria Math" w:hAnsi="Cambria Math"/>
            </w:rPr>
            <m:t>ln</m:t>
          </m:r>
          <m:d>
            <m:dPr>
              <m:ctrlPr>
                <w:rPr>
                  <w:rStyle w:val="delimsizing"/>
                  <w:rFonts w:ascii="Cambria Math" w:hAnsi="Cambria Math"/>
                </w:rPr>
              </m:ctrlPr>
            </m:dPr>
            <m:e>
              <m:f>
                <m:fPr>
                  <m:ctrlPr>
                    <w:rPr>
                      <w:rStyle w:val="vlist-s"/>
                      <w:rFonts w:ascii="Cambria Math" w:hAnsi="Cambria Math" w:cs="Arial"/>
                    </w:rPr>
                  </m:ctrlPr>
                </m:fPr>
                <m:num>
                  <m:r>
                    <m:rPr>
                      <m:sty m:val="p"/>
                    </m:rPr>
                    <w:rPr>
                      <w:rStyle w:val="vlist-s"/>
                      <w:rFonts w:ascii="Cambria Math" w:hAnsi="Cambria Math" w:cs="Arial"/>
                    </w:rPr>
                    <m:t>​</m:t>
                  </m:r>
                  <m:sSub>
                    <m:sSubPr>
                      <m:ctrlPr>
                        <w:rPr>
                          <w:rStyle w:val="vlist-s"/>
                          <w:rFonts w:ascii="Cambria Math" w:hAnsi="Cambria Math" w:cs="Arial"/>
                        </w:rPr>
                      </m:ctrlPr>
                    </m:sSubPr>
                    <m:e>
                      <m:r>
                        <m:rPr>
                          <m:sty m:val="p"/>
                        </m:rPr>
                        <w:rPr>
                          <w:rStyle w:val="vlist-s"/>
                          <w:rFonts w:ascii="Cambria Math" w:hAnsi="Cambria Math" w:cs="Arial"/>
                        </w:rPr>
                        <m:t>P</m:t>
                      </m:r>
                    </m:e>
                    <m:sub>
                      <m:r>
                        <m:rPr>
                          <m:sty m:val="p"/>
                        </m:rPr>
                        <w:rPr>
                          <w:rStyle w:val="vlist-s"/>
                          <w:rFonts w:ascii="Cambria Math" w:hAnsi="Cambria Math" w:cs="Arial"/>
                        </w:rPr>
                        <m:t>i,t</m:t>
                      </m:r>
                    </m:sub>
                  </m:sSub>
                  <m:ctrlPr>
                    <w:rPr>
                      <w:rStyle w:val="delimsizing"/>
                      <w:rFonts w:ascii="Cambria Math" w:hAnsi="Cambria Math"/>
                    </w:rPr>
                  </m:ctrlPr>
                </m:num>
                <m:den>
                  <m:sSub>
                    <m:sSubPr>
                      <m:ctrlPr>
                        <w:rPr>
                          <w:rStyle w:val="vlist-s"/>
                          <w:rFonts w:ascii="Cambria Math" w:hAnsi="Cambria Math" w:cs="Arial"/>
                        </w:rPr>
                      </m:ctrlPr>
                    </m:sSubPr>
                    <m:e>
                      <m:r>
                        <m:rPr>
                          <m:sty m:val="p"/>
                        </m:rPr>
                        <w:rPr>
                          <w:rStyle w:val="vlist-s"/>
                          <w:rFonts w:ascii="Cambria Math" w:hAnsi="Cambria Math" w:cs="Arial"/>
                        </w:rPr>
                        <m:t>P</m:t>
                      </m:r>
                    </m:e>
                    <m:sub>
                      <m:r>
                        <m:rPr>
                          <m:sty m:val="p"/>
                        </m:rPr>
                        <w:rPr>
                          <w:rStyle w:val="vlist-s"/>
                          <w:rFonts w:ascii="Cambria Math" w:hAnsi="Cambria Math" w:cs="Arial"/>
                        </w:rPr>
                        <m:t>i,t-1</m:t>
                      </m:r>
                    </m:sub>
                  </m:sSub>
                </m:den>
              </m:f>
              <m:r>
                <m:rPr>
                  <m:sty m:val="p"/>
                </m:rPr>
                <w:rPr>
                  <w:rStyle w:val="vlist-s"/>
                  <w:rFonts w:ascii="Cambria Math" w:hAnsi="Cambria Math" w:cs="Arial"/>
                </w:rPr>
                <m:t>​</m:t>
              </m:r>
            </m:e>
          </m:d>
          <m:r>
            <m:rPr>
              <m:sty m:val="p"/>
            </m:rPr>
            <w:rPr>
              <w:rStyle w:val="delimsizing"/>
              <w:rFonts w:ascii="Cambria Math" w:hAnsi="Cambria Math"/>
            </w:rPr>
            <m:t xml:space="preserve"> </m:t>
          </m:r>
        </m:oMath>
      </m:oMathPara>
    </w:p>
    <w:p w14:paraId="111790B6" w14:textId="77777777" w:rsidR="00E12D47" w:rsidRDefault="00E12D47" w:rsidP="00E12D47">
      <w:r>
        <w:t>The same approach was used to compute daily log returns for the S&amp;P 500 Index.</w:t>
      </w:r>
    </w:p>
    <w:p w14:paraId="1E7B2ABA" w14:textId="28F4B48F" w:rsidR="00E12D47" w:rsidRDefault="00E12D47" w:rsidP="00E12D47">
      <w:r>
        <w:lastRenderedPageBreak/>
        <w:t>For the risk-free rate, we used the daily 13-week Treasury Bill yield series from Yahoo Finance. This yield is reported as an annualized rate, so each value was converted into a daily risk-free rate using the standard annual-to-daily formula</w:t>
      </w:r>
      <w:r w:rsidR="00BA0AC5">
        <w:t>, assuming 252 average trading days</w:t>
      </w:r>
      <w:r>
        <w:t>:</w:t>
      </w:r>
    </w:p>
    <w:p w14:paraId="347A4843" w14:textId="4C500334" w:rsidR="00E12D47" w:rsidRDefault="00000000" w:rsidP="00E12D47">
      <m:oMathPara>
        <m:oMath>
          <m:sSub>
            <m:sSubPr>
              <m:ctrlPr>
                <w:rPr>
                  <w:rStyle w:val="mord"/>
                  <w:rFonts w:ascii="Cambria Math" w:hAnsi="Cambria Math"/>
                </w:rPr>
              </m:ctrlPr>
            </m:sSubPr>
            <m:e>
              <m:r>
                <m:rPr>
                  <m:sty m:val="p"/>
                </m:rPr>
                <w:rPr>
                  <w:rStyle w:val="mord"/>
                  <w:rFonts w:ascii="Cambria Math" w:hAnsi="Cambria Math"/>
                </w:rPr>
                <m:t>r</m:t>
              </m:r>
            </m:e>
            <m:sub>
              <m:r>
                <m:rPr>
                  <m:sty m:val="p"/>
                </m:rPr>
                <w:rPr>
                  <w:rStyle w:val="mord"/>
                  <w:rFonts w:ascii="Cambria Math" w:hAnsi="Cambria Math"/>
                </w:rPr>
                <m:t>daily</m:t>
              </m:r>
            </m:sub>
          </m:sSub>
          <m:r>
            <m:rPr>
              <m:sty m:val="p"/>
            </m:rPr>
            <w:rPr>
              <w:rStyle w:val="vlist-s"/>
              <w:rFonts w:ascii="Cambria Math" w:hAnsi="Cambria Math" w:cs="Arial"/>
            </w:rPr>
            <m:t>​</m:t>
          </m:r>
          <m:r>
            <m:rPr>
              <m:sty m:val="p"/>
            </m:rPr>
            <w:rPr>
              <w:rStyle w:val="mrel"/>
              <w:rFonts w:ascii="Cambria Math" w:hAnsi="Cambria Math"/>
            </w:rPr>
            <m:t>=</m:t>
          </m:r>
          <m:sSup>
            <m:sSupPr>
              <m:ctrlPr>
                <w:rPr>
                  <w:rStyle w:val="delimsizing"/>
                  <w:rFonts w:ascii="Cambria Math" w:hAnsi="Cambria Math"/>
                  <w:i/>
                </w:rPr>
              </m:ctrlPr>
            </m:sSupPr>
            <m:e>
              <m:d>
                <m:dPr>
                  <m:ctrlPr>
                    <w:rPr>
                      <w:rStyle w:val="delimsizing"/>
                      <w:rFonts w:ascii="Cambria Math" w:hAnsi="Cambria Math"/>
                    </w:rPr>
                  </m:ctrlPr>
                </m:dPr>
                <m:e>
                  <m:r>
                    <m:rPr>
                      <m:sty m:val="p"/>
                    </m:rPr>
                    <w:rPr>
                      <w:rStyle w:val="vlist-s"/>
                      <w:rFonts w:ascii="Cambria Math" w:hAnsi="Cambria Math" w:cs="Arial"/>
                    </w:rPr>
                    <m:t>1+</m:t>
                  </m:r>
                  <m:sSub>
                    <m:sSubPr>
                      <m:ctrlPr>
                        <w:rPr>
                          <w:rStyle w:val="vlist-s"/>
                          <w:rFonts w:ascii="Cambria Math" w:hAnsi="Cambria Math" w:cs="Arial"/>
                        </w:rPr>
                      </m:ctrlPr>
                    </m:sSubPr>
                    <m:e>
                      <m:r>
                        <m:rPr>
                          <m:sty m:val="p"/>
                        </m:rPr>
                        <w:rPr>
                          <w:rStyle w:val="vlist-s"/>
                          <w:rFonts w:ascii="Cambria Math" w:hAnsi="Cambria Math" w:cs="Arial"/>
                        </w:rPr>
                        <m:t>r</m:t>
                      </m:r>
                    </m:e>
                    <m:sub>
                      <m:r>
                        <m:rPr>
                          <m:sty m:val="p"/>
                        </m:rPr>
                        <w:rPr>
                          <w:rStyle w:val="vlist-s"/>
                          <w:rFonts w:ascii="Cambria Math" w:hAnsi="Cambria Math" w:cs="Arial"/>
                        </w:rPr>
                        <m:t>annual</m:t>
                      </m:r>
                    </m:sub>
                  </m:sSub>
                  <m:r>
                    <m:rPr>
                      <m:sty m:val="p"/>
                    </m:rPr>
                    <w:rPr>
                      <w:rStyle w:val="vlist-s"/>
                      <w:rFonts w:ascii="Cambria Math" w:hAnsi="Cambria Math" w:cs="Arial"/>
                    </w:rPr>
                    <m:t>​</m:t>
                  </m:r>
                </m:e>
              </m:d>
            </m:e>
            <m:sup>
              <m:r>
                <w:rPr>
                  <w:rStyle w:val="delimsizing"/>
                  <w:rFonts w:ascii="Cambria Math" w:hAnsi="Cambria Math"/>
                </w:rPr>
                <m:t>1/252</m:t>
              </m:r>
            </m:sup>
          </m:sSup>
          <m:r>
            <w:rPr>
              <w:rStyle w:val="delimsizing"/>
              <w:rFonts w:ascii="Cambria Math" w:hAnsi="Cambria Math"/>
            </w:rPr>
            <m:t>-1</m:t>
          </m:r>
        </m:oMath>
      </m:oMathPara>
    </w:p>
    <w:p w14:paraId="68CF0FC0" w14:textId="12A1F9BB" w:rsidR="007F0BB0" w:rsidRPr="007F0BB0" w:rsidRDefault="00E12D47" w:rsidP="00E12D47">
      <w:r>
        <w:t>Daily excess returns for each stock and for the S&amp;P 500 were then obtained by subtracting the daily risk-free rate from their respective daily log returns. These excess returns are used in the volatility comparisons and beta estimation later in the project.</w:t>
      </w:r>
    </w:p>
    <w:p w14:paraId="3FD2C59B" w14:textId="73CA6592" w:rsidR="002A2E2B" w:rsidRDefault="00480049" w:rsidP="00D87763">
      <w:pPr>
        <w:pStyle w:val="Heading1"/>
      </w:pPr>
      <w:bookmarkStart w:id="4" w:name="_Toc214932631"/>
      <w:r>
        <w:t>3</w:t>
      </w:r>
      <w:r w:rsidR="00D10898">
        <w:t xml:space="preserve">. </w:t>
      </w:r>
      <w:r w:rsidR="007E2C11">
        <w:t>Portfolio Construction</w:t>
      </w:r>
      <w:bookmarkEnd w:id="4"/>
    </w:p>
    <w:p w14:paraId="381CD8EE" w14:textId="7F53B683" w:rsidR="00ED3E4C" w:rsidRPr="002D2FBD" w:rsidRDefault="00ED3E4C" w:rsidP="00ED3E4C">
      <w:pPr>
        <w:pStyle w:val="Heading2"/>
      </w:pPr>
      <w:bookmarkStart w:id="5" w:name="_Toc214932632"/>
      <w:r>
        <w:t>Equal-Weighted Portfolio</w:t>
      </w:r>
      <w:bookmarkEnd w:id="5"/>
      <w:r>
        <w:t xml:space="preserve"> </w:t>
      </w:r>
    </w:p>
    <w:p w14:paraId="42B80624" w14:textId="391A9619" w:rsidR="00CB6442" w:rsidRDefault="00ED3E4C" w:rsidP="00E04A4B">
      <w:r>
        <w:t>The equal-weighted portfolio assigns the same weight to each of the ten selected companies. Since the stock list and dataset come directly from Project 1.</w:t>
      </w:r>
    </w:p>
    <w:p w14:paraId="48C6BD80" w14:textId="37F3242E" w:rsidR="00ED3E4C" w:rsidRPr="00024A96" w:rsidRDefault="00ED3E4C" w:rsidP="00E04A4B">
      <w:r>
        <w:t xml:space="preserve">Let </w:t>
      </w:r>
      <m:oMath>
        <m:sSub>
          <m:sSubPr>
            <m:ctrlPr>
              <w:rPr>
                <w:rFonts w:ascii="Cambria Math" w:hAnsi="Cambria Math"/>
              </w:rPr>
            </m:ctrlPr>
          </m:sSubPr>
          <m:e>
            <m:r>
              <w:rPr>
                <w:rFonts w:ascii="Cambria Math" w:hAnsi="Cambria Math"/>
              </w:rPr>
              <m:t>R</m:t>
            </m:r>
          </m:e>
          <m:sub>
            <m:r>
              <w:rPr>
                <w:rFonts w:ascii="Cambria Math" w:hAnsi="Cambria Math"/>
              </w:rPr>
              <m:t>i,t</m:t>
            </m:r>
          </m:sub>
        </m:sSub>
      </m:oMath>
      <w:r>
        <w:rPr>
          <w:rFonts w:eastAsiaTheme="minorEastAsia"/>
        </w:rPr>
        <w:t xml:space="preserve"> </w:t>
      </w:r>
      <w:r>
        <w:t xml:space="preserve">be the daily return of stock </w:t>
      </w:r>
      <w:proofErr w:type="spellStart"/>
      <w:r>
        <w:rPr>
          <w:rStyle w:val="Emphasis"/>
        </w:rPr>
        <w:t>i</w:t>
      </w:r>
      <w:proofErr w:type="spellEnd"/>
      <w:r>
        <w:t xml:space="preserve"> on day </w:t>
      </w:r>
      <w:proofErr w:type="gramStart"/>
      <w:r>
        <w:rPr>
          <w:rStyle w:val="Emphasis"/>
        </w:rPr>
        <w:t>t</w:t>
      </w:r>
      <w:r>
        <w:t xml:space="preserve"> ,</w:t>
      </w:r>
      <w:proofErr w:type="gramEnd"/>
      <w:r>
        <w:t xml:space="preserve"> and let there be </w:t>
      </w:r>
      <m:oMath>
        <m:r>
          <w:rPr>
            <w:rFonts w:ascii="Cambria Math" w:hAnsi="Cambria Math"/>
          </w:rPr>
          <m:t xml:space="preserve">N=10 </m:t>
        </m:r>
      </m:oMath>
      <w:r>
        <w:t>stocks. The equal-weighted daily portfolio return is:</w:t>
      </w:r>
    </w:p>
    <w:p w14:paraId="656445CA" w14:textId="75704B7C" w:rsidR="00431C9B" w:rsidRDefault="00000000" w:rsidP="00692118">
      <w:pPr>
        <w:jc w:val="center"/>
      </w:pPr>
      <m:oMathPara>
        <m:oMath>
          <m:sSub>
            <m:sSubPr>
              <m:ctrlPr>
                <w:rPr>
                  <w:rStyle w:val="mord"/>
                  <w:rFonts w:ascii="Cambria Math" w:hAnsi="Cambria Math"/>
                </w:rPr>
              </m:ctrlPr>
            </m:sSubPr>
            <m:e>
              <m:r>
                <m:rPr>
                  <m:sty m:val="p"/>
                </m:rPr>
                <w:rPr>
                  <w:rStyle w:val="mord"/>
                  <w:rFonts w:ascii="Cambria Math" w:hAnsi="Cambria Math"/>
                </w:rPr>
                <m:t>R</m:t>
              </m:r>
            </m:e>
            <m:sub>
              <m:r>
                <m:rPr>
                  <m:sty m:val="p"/>
                </m:rPr>
                <w:rPr>
                  <w:rStyle w:val="mord"/>
                  <w:rFonts w:ascii="Cambria Math" w:hAnsi="Cambria Math"/>
                </w:rPr>
                <m:t>p,t</m:t>
              </m:r>
            </m:sub>
          </m:sSub>
          <m:r>
            <m:rPr>
              <m:sty m:val="p"/>
            </m:rPr>
            <w:rPr>
              <w:rStyle w:val="vlist-s"/>
              <w:rFonts w:ascii="Cambria Math" w:hAnsi="Cambria Math" w:cs="Arial"/>
            </w:rPr>
            <m:t>​</m:t>
          </m:r>
          <m:r>
            <m:rPr>
              <m:sty m:val="p"/>
            </m:rPr>
            <w:rPr>
              <w:rStyle w:val="mrel"/>
              <w:rFonts w:ascii="Cambria Math" w:hAnsi="Cambria Math"/>
            </w:rPr>
            <m:t>=</m:t>
          </m:r>
          <m:f>
            <m:fPr>
              <m:ctrlPr>
                <w:rPr>
                  <w:rStyle w:val="mop"/>
                  <w:rFonts w:ascii="Cambria Math" w:hAnsi="Cambria Math"/>
                  <w:i/>
                </w:rPr>
              </m:ctrlPr>
            </m:fPr>
            <m:num>
              <m:r>
                <w:rPr>
                  <w:rStyle w:val="mop"/>
                  <w:rFonts w:ascii="Cambria Math" w:hAnsi="Cambria Math"/>
                </w:rPr>
                <m:t>1</m:t>
              </m:r>
            </m:num>
            <m:den>
              <m:r>
                <w:rPr>
                  <w:rStyle w:val="mop"/>
                  <w:rFonts w:ascii="Cambria Math" w:hAnsi="Cambria Math"/>
                </w:rPr>
                <m:t>N</m:t>
              </m:r>
            </m:den>
          </m:f>
          <m:r>
            <m:rPr>
              <m:sty m:val="p"/>
            </m:rPr>
            <w:rPr>
              <w:rStyle w:val="delimsizing"/>
              <w:rFonts w:ascii="Cambria Math" w:hAnsi="Cambria Math"/>
            </w:rPr>
            <m:t xml:space="preserve"> </m:t>
          </m:r>
          <m:nary>
            <m:naryPr>
              <m:chr m:val="∑"/>
              <m:limLoc m:val="undOvr"/>
              <m:ctrlPr>
                <w:rPr>
                  <w:rStyle w:val="delimsizing"/>
                  <w:rFonts w:ascii="Cambria Math" w:hAnsi="Cambria Math"/>
                </w:rPr>
              </m:ctrlPr>
            </m:naryPr>
            <m:sub>
              <m:r>
                <w:rPr>
                  <w:rStyle w:val="delimsizing"/>
                  <w:rFonts w:ascii="Cambria Math" w:hAnsi="Cambria Math"/>
                </w:rPr>
                <m:t>i=1</m:t>
              </m:r>
            </m:sub>
            <m:sup>
              <m:r>
                <w:rPr>
                  <w:rStyle w:val="delimsizing"/>
                  <w:rFonts w:ascii="Cambria Math" w:hAnsi="Cambria Math"/>
                </w:rPr>
                <m:t>N</m:t>
              </m:r>
            </m:sup>
            <m:e>
              <m:sSub>
                <m:sSubPr>
                  <m:ctrlPr>
                    <w:rPr>
                      <w:rStyle w:val="mord"/>
                      <w:rFonts w:ascii="Cambria Math" w:hAnsi="Cambria Math"/>
                    </w:rPr>
                  </m:ctrlPr>
                </m:sSubPr>
                <m:e>
                  <m:r>
                    <m:rPr>
                      <m:sty m:val="p"/>
                    </m:rPr>
                    <w:rPr>
                      <w:rStyle w:val="mord"/>
                      <w:rFonts w:ascii="Cambria Math" w:hAnsi="Cambria Math"/>
                    </w:rPr>
                    <m:t>R</m:t>
                  </m:r>
                </m:e>
                <m:sub>
                  <m:r>
                    <m:rPr>
                      <m:sty m:val="p"/>
                    </m:rPr>
                    <w:rPr>
                      <w:rStyle w:val="mord"/>
                      <w:rFonts w:ascii="Cambria Math" w:hAnsi="Cambria Math"/>
                    </w:rPr>
                    <m:t>i,t</m:t>
                  </m:r>
                </m:sub>
              </m:sSub>
            </m:e>
          </m:nary>
        </m:oMath>
      </m:oMathPara>
    </w:p>
    <w:p w14:paraId="1993BBB3" w14:textId="123D6C22" w:rsidR="007E2C11" w:rsidRDefault="007A6517" w:rsidP="007A6517">
      <w:r w:rsidRPr="007A6517">
        <w:t>The equal-weighted portfolio provides a simple and transparent benchmark. It avoids reliance on estimated parameters and offers a clean baseline for comparing how the two portfolios behave in terms of daily return patterns and volatility.</w:t>
      </w:r>
    </w:p>
    <w:p w14:paraId="413C124E" w14:textId="77ACF347" w:rsidR="007A6517" w:rsidRDefault="00901D5F" w:rsidP="00901D5F">
      <w:pPr>
        <w:pStyle w:val="Heading2"/>
      </w:pPr>
      <w:bookmarkStart w:id="6" w:name="_Toc214932633"/>
      <w:r>
        <w:t>Optimal</w:t>
      </w:r>
      <w:r w:rsidRPr="00901D5F">
        <w:t xml:space="preserve"> Portfolio</w:t>
      </w:r>
      <w:bookmarkEnd w:id="6"/>
    </w:p>
    <w:p w14:paraId="3FC253FF" w14:textId="44C87AB2" w:rsidR="00901D5F" w:rsidRDefault="00614E46" w:rsidP="00901D5F">
      <w:r>
        <w:t>The optimal portfolio weights were taken directly from Project 1. These weights were already computed based on the full dataset and are applied here without modification. Using the same set of weights ensures continuity and allows us to focus on analyzing the portfolio’s behavior, rather than recalibrating or redesigning the allocation.</w:t>
      </w:r>
    </w:p>
    <w:p w14:paraId="0BCD845F" w14:textId="77777777" w:rsidR="00504DF1" w:rsidRPr="00EF4DBF" w:rsidRDefault="00504DF1" w:rsidP="00504DF1">
      <w:pPr>
        <w:rPr>
          <w:szCs w:val="22"/>
        </w:rPr>
      </w:pPr>
      <w:r>
        <w:t xml:space="preserve">As a recap, </w:t>
      </w:r>
      <w:r w:rsidRPr="00EF4DBF">
        <w:rPr>
          <w:szCs w:val="22"/>
        </w:rPr>
        <w:t>the ten-stock portfolio was optimized to maximize the Sharpe ratio, yielding the tangency portfolio on the efficient frontier. The optimization problem was formulated as:</w:t>
      </w:r>
    </w:p>
    <w:p w14:paraId="665BE6FC" w14:textId="1F012355" w:rsidR="00504DF1" w:rsidRDefault="00000000" w:rsidP="00504DF1">
      <w:pPr>
        <w:rPr>
          <w:rFonts w:eastAsiaTheme="minorEastAsia"/>
          <w:szCs w:val="22"/>
        </w:rPr>
      </w:pPr>
      <m:oMathPara>
        <m:oMath>
          <m:func>
            <m:funcPr>
              <m:ctrlPr>
                <w:rPr>
                  <w:rFonts w:ascii="Cambria Math" w:eastAsiaTheme="minorEastAsia" w:hAnsi="Cambria Math"/>
                  <w:szCs w:val="22"/>
                </w:rPr>
              </m:ctrlPr>
            </m:funcPr>
            <m:fName>
              <m:limLow>
                <m:limLowPr>
                  <m:ctrlPr>
                    <w:rPr>
                      <w:rFonts w:ascii="Cambria Math" w:eastAsiaTheme="minorEastAsia" w:hAnsi="Cambria Math"/>
                      <w:szCs w:val="22"/>
                    </w:rPr>
                  </m:ctrlPr>
                </m:limLowPr>
                <m:e>
                  <m:r>
                    <m:rPr>
                      <m:sty m:val="p"/>
                    </m:rPr>
                    <w:rPr>
                      <w:rFonts w:ascii="Cambria Math" w:eastAsiaTheme="minorEastAsia" w:hAnsi="Cambria Math"/>
                      <w:szCs w:val="22"/>
                    </w:rPr>
                    <m:t>max</m:t>
                  </m:r>
                </m:e>
                <m:lim>
                  <m:r>
                    <m:rPr>
                      <m:sty m:val="p"/>
                    </m:rPr>
                    <w:rPr>
                      <w:rFonts w:ascii="Cambria Math" w:eastAsiaTheme="minorEastAsia" w:hAnsi="Cambria Math"/>
                      <w:szCs w:val="22"/>
                    </w:rPr>
                    <m:t>w</m:t>
                  </m:r>
                </m:lim>
              </m:limLow>
            </m:fName>
            <m:e>
              <m:r>
                <w:rPr>
                  <w:rFonts w:ascii="Cambria Math" w:eastAsiaTheme="minorEastAsia" w:hAnsi="Cambria Math"/>
                  <w:szCs w:val="22"/>
                </w:rPr>
                <m:t xml:space="preserve"> </m:t>
              </m:r>
              <m:f>
                <m:fPr>
                  <m:ctrlPr>
                    <w:rPr>
                      <w:rFonts w:ascii="Cambria Math" w:hAnsi="Cambria Math"/>
                      <w:szCs w:val="22"/>
                    </w:rPr>
                  </m:ctrlPr>
                </m:fPr>
                <m:num>
                  <m:sSup>
                    <m:sSupPr>
                      <m:ctrlPr>
                        <w:rPr>
                          <w:rFonts w:ascii="Cambria Math" w:hAnsi="Cambria Math"/>
                          <w:szCs w:val="22"/>
                        </w:rPr>
                      </m:ctrlPr>
                    </m:sSupPr>
                    <m:e>
                      <m:r>
                        <m:rPr>
                          <m:sty m:val="p"/>
                        </m:rPr>
                        <w:rPr>
                          <w:rFonts w:ascii="Cambria Math" w:hAnsi="Cambria Math"/>
                          <w:szCs w:val="22"/>
                        </w:rPr>
                        <m:t>w</m:t>
                      </m:r>
                    </m:e>
                    <m:sup>
                      <m:r>
                        <m:rPr>
                          <m:sty m:val="p"/>
                        </m:rPr>
                        <w:rPr>
                          <w:rFonts w:ascii="Cambria Math" w:hAnsi="Cambria Math"/>
                          <w:szCs w:val="22"/>
                        </w:rPr>
                        <m:t>T</m:t>
                      </m:r>
                    </m:sup>
                  </m:sSup>
                  <m:r>
                    <m:rPr>
                      <m:sty m:val="p"/>
                    </m:rPr>
                    <w:rPr>
                      <w:rFonts w:ascii="Cambria Math" w:hAnsi="Cambria Math"/>
                      <w:szCs w:val="22"/>
                    </w:rPr>
                    <m:t>μ-</m:t>
                  </m:r>
                  <m:sSub>
                    <m:sSubPr>
                      <m:ctrlPr>
                        <w:rPr>
                          <w:rFonts w:ascii="Cambria Math" w:hAnsi="Cambria Math"/>
                          <w:szCs w:val="22"/>
                        </w:rPr>
                      </m:ctrlPr>
                    </m:sSubPr>
                    <m:e>
                      <m:r>
                        <m:rPr>
                          <m:sty m:val="p"/>
                        </m:rPr>
                        <w:rPr>
                          <w:rFonts w:ascii="Cambria Math" w:hAnsi="Cambria Math"/>
                          <w:szCs w:val="22"/>
                        </w:rPr>
                        <m:t>r</m:t>
                      </m:r>
                    </m:e>
                    <m:sub>
                      <m:r>
                        <m:rPr>
                          <m:sty m:val="p"/>
                        </m:rPr>
                        <w:rPr>
                          <w:rFonts w:ascii="Cambria Math" w:hAnsi="Cambria Math"/>
                          <w:szCs w:val="22"/>
                        </w:rPr>
                        <m:t>f</m:t>
                      </m:r>
                    </m:sub>
                  </m:sSub>
                </m:num>
                <m:den>
                  <m:sSub>
                    <m:sSubPr>
                      <m:ctrlPr>
                        <w:rPr>
                          <w:rFonts w:ascii="Cambria Math" w:hAnsi="Cambria Math"/>
                          <w:szCs w:val="22"/>
                        </w:rPr>
                      </m:ctrlPr>
                    </m:sSubPr>
                    <m:e>
                      <m:r>
                        <m:rPr>
                          <m:sty m:val="p"/>
                        </m:rPr>
                        <w:rPr>
                          <w:rFonts w:ascii="Cambria Math" w:hAnsi="Cambria Math"/>
                          <w:szCs w:val="22"/>
                        </w:rPr>
                        <m:t>σ</m:t>
                      </m:r>
                    </m:e>
                    <m:sub>
                      <m:r>
                        <m:rPr>
                          <m:sty m:val="p"/>
                        </m:rPr>
                        <w:rPr>
                          <w:rFonts w:ascii="Cambria Math" w:hAnsi="Cambria Math"/>
                          <w:szCs w:val="22"/>
                        </w:rPr>
                        <m:t>p</m:t>
                      </m:r>
                    </m:sub>
                  </m:sSub>
                </m:den>
              </m:f>
            </m:e>
          </m:func>
          <m:r>
            <m:rPr>
              <m:sty m:val="p"/>
            </m:rPr>
            <w:rPr>
              <w:rFonts w:ascii="Cambria Math" w:eastAsiaTheme="minorEastAsia" w:hAnsi="Cambria Math"/>
              <w:szCs w:val="22"/>
            </w:rPr>
            <m:t xml:space="preserve"> s.t. </m:t>
          </m:r>
          <m:nary>
            <m:naryPr>
              <m:chr m:val="∑"/>
              <m:supHide m:val="1"/>
              <m:ctrlPr>
                <w:rPr>
                  <w:rFonts w:ascii="Cambria Math" w:eastAsiaTheme="minorEastAsia" w:hAnsi="Cambria Math"/>
                  <w:szCs w:val="22"/>
                </w:rPr>
              </m:ctrlPr>
            </m:naryPr>
            <m:sub>
              <m:r>
                <m:rPr>
                  <m:sty m:val="p"/>
                </m:rPr>
                <w:rPr>
                  <w:rFonts w:ascii="Cambria Math" w:eastAsiaTheme="minorEastAsia" w:hAnsi="Cambria Math"/>
                  <w:szCs w:val="22"/>
                </w:rPr>
                <m:t>i</m:t>
              </m:r>
            </m:sub>
            <m:sup/>
            <m:e>
              <m:sSub>
                <m:sSubPr>
                  <m:ctrlPr>
                    <w:rPr>
                      <w:rFonts w:ascii="Cambria Math" w:eastAsiaTheme="minorEastAsia" w:hAnsi="Cambria Math"/>
                      <w:szCs w:val="22"/>
                    </w:rPr>
                  </m:ctrlPr>
                </m:sSubPr>
                <m:e>
                  <m:r>
                    <m:rPr>
                      <m:sty m:val="p"/>
                    </m:rPr>
                    <w:rPr>
                      <w:rFonts w:ascii="Cambria Math" w:eastAsiaTheme="minorEastAsia" w:hAnsi="Cambria Math"/>
                      <w:szCs w:val="22"/>
                    </w:rPr>
                    <m:t>w</m:t>
                  </m:r>
                </m:e>
                <m:sub>
                  <m:r>
                    <m:rPr>
                      <m:sty m:val="p"/>
                    </m:rPr>
                    <w:rPr>
                      <w:rFonts w:ascii="Cambria Math" w:eastAsiaTheme="minorEastAsia" w:hAnsi="Cambria Math"/>
                      <w:szCs w:val="22"/>
                    </w:rPr>
                    <m:t>i</m:t>
                  </m:r>
                </m:sub>
              </m:sSub>
              <m:r>
                <m:rPr>
                  <m:sty m:val="p"/>
                </m:rPr>
                <w:rPr>
                  <w:rFonts w:ascii="Cambria Math" w:eastAsiaTheme="minorEastAsia" w:hAnsi="Cambria Math"/>
                  <w:szCs w:val="22"/>
                </w:rPr>
                <m:t xml:space="preserve">=1, </m:t>
              </m:r>
              <m:sSub>
                <m:sSubPr>
                  <m:ctrlPr>
                    <w:rPr>
                      <w:rFonts w:ascii="Cambria Math" w:eastAsiaTheme="minorEastAsia" w:hAnsi="Cambria Math"/>
                      <w:szCs w:val="22"/>
                    </w:rPr>
                  </m:ctrlPr>
                </m:sSubPr>
                <m:e>
                  <m:r>
                    <m:rPr>
                      <m:sty m:val="p"/>
                    </m:rPr>
                    <w:rPr>
                      <w:rFonts w:ascii="Cambria Math" w:eastAsiaTheme="minorEastAsia" w:hAnsi="Cambria Math"/>
                      <w:szCs w:val="22"/>
                    </w:rPr>
                    <m:t>w</m:t>
                  </m:r>
                </m:e>
                <m:sub>
                  <m:r>
                    <m:rPr>
                      <m:sty m:val="p"/>
                    </m:rPr>
                    <w:rPr>
                      <w:rFonts w:ascii="Cambria Math" w:eastAsiaTheme="minorEastAsia" w:hAnsi="Cambria Math"/>
                      <w:szCs w:val="22"/>
                    </w:rPr>
                    <m:t>i</m:t>
                  </m:r>
                </m:sub>
              </m:sSub>
              <m:r>
                <m:rPr>
                  <m:sty m:val="p"/>
                </m:rPr>
                <w:rPr>
                  <w:rFonts w:ascii="Cambria Math" w:eastAsiaTheme="minorEastAsia" w:hAnsi="Cambria Math"/>
                  <w:szCs w:val="22"/>
                </w:rPr>
                <m:t>≥0</m:t>
              </m:r>
            </m:e>
          </m:nary>
        </m:oMath>
      </m:oMathPara>
    </w:p>
    <w:p w14:paraId="6EB92D68" w14:textId="6737955B" w:rsidR="00504DF1" w:rsidRDefault="00000000" w:rsidP="00504DF1">
      <w:pPr>
        <w:jc w:val="center"/>
        <w:rPr>
          <w:rFonts w:eastAsiaTheme="minorEastAsia"/>
          <w:szCs w:val="22"/>
        </w:rPr>
      </w:pPr>
      <m:oMathPara>
        <m:oMath>
          <m:sSub>
            <m:sSubPr>
              <m:ctrlPr>
                <w:rPr>
                  <w:rFonts w:ascii="Cambria Math" w:hAnsi="Cambria Math"/>
                  <w:szCs w:val="22"/>
                </w:rPr>
              </m:ctrlPr>
            </m:sSubPr>
            <m:e>
              <m:sSup>
                <m:sSupPr>
                  <m:ctrlPr>
                    <w:rPr>
                      <w:rFonts w:ascii="Cambria Math" w:hAnsi="Cambria Math"/>
                      <w:szCs w:val="22"/>
                    </w:rPr>
                  </m:ctrlPr>
                </m:sSupPr>
                <m:e>
                  <m:r>
                    <m:rPr>
                      <m:sty m:val="p"/>
                    </m:rPr>
                    <w:rPr>
                      <w:rFonts w:ascii="Cambria Math" w:hAnsi="Cambria Math"/>
                      <w:szCs w:val="22"/>
                    </w:rPr>
                    <m:t>σ</m:t>
                  </m:r>
                </m:e>
                <m:sup>
                  <m:r>
                    <w:rPr>
                      <w:rFonts w:ascii="Cambria Math" w:hAnsi="Cambria Math"/>
                      <w:szCs w:val="22"/>
                    </w:rPr>
                    <m:t>2</m:t>
                  </m:r>
                </m:sup>
              </m:sSup>
            </m:e>
            <m:sub>
              <m:r>
                <m:rPr>
                  <m:sty m:val="p"/>
                </m:rPr>
                <w:rPr>
                  <w:rFonts w:ascii="Cambria Math" w:hAnsi="Cambria Math"/>
                  <w:szCs w:val="22"/>
                </w:rPr>
                <m:t>p</m:t>
              </m:r>
            </m:sub>
          </m:sSub>
          <m:r>
            <m:rPr>
              <m:sty m:val="p"/>
            </m:rPr>
            <w:rPr>
              <w:rFonts w:ascii="Cambria Math" w:hAnsi="Cambria Math"/>
              <w:szCs w:val="22"/>
            </w:rPr>
            <m:t>=</m:t>
          </m:r>
          <m:sSup>
            <m:sSupPr>
              <m:ctrlPr>
                <w:rPr>
                  <w:rFonts w:ascii="Cambria Math" w:hAnsi="Cambria Math"/>
                  <w:szCs w:val="22"/>
                </w:rPr>
              </m:ctrlPr>
            </m:sSupPr>
            <m:e>
              <m:r>
                <m:rPr>
                  <m:sty m:val="p"/>
                </m:rPr>
                <w:rPr>
                  <w:rFonts w:ascii="Cambria Math" w:hAnsi="Cambria Math"/>
                  <w:szCs w:val="22"/>
                </w:rPr>
                <m:t>w</m:t>
              </m:r>
            </m:e>
            <m:sup>
              <m:r>
                <m:rPr>
                  <m:sty m:val="p"/>
                </m:rPr>
                <w:rPr>
                  <w:rFonts w:ascii="Cambria Math" w:hAnsi="Cambria Math"/>
                  <w:szCs w:val="22"/>
                </w:rPr>
                <m:t>T</m:t>
              </m:r>
            </m:sup>
          </m:sSup>
          <m:r>
            <m:rPr>
              <m:sty m:val="p"/>
            </m:rPr>
            <w:rPr>
              <w:rFonts w:ascii="Cambria Math" w:hAnsi="Cambria Math"/>
              <w:szCs w:val="22"/>
            </w:rPr>
            <m:t>×Ω×w</m:t>
          </m:r>
        </m:oMath>
      </m:oMathPara>
    </w:p>
    <w:p w14:paraId="71236A31" w14:textId="77777777" w:rsidR="006169E8" w:rsidRDefault="00504DF1" w:rsidP="00504DF1">
      <w:pPr>
        <w:rPr>
          <w:rFonts w:eastAsiaTheme="minorEastAsia"/>
          <w:szCs w:val="22"/>
        </w:rPr>
      </w:pPr>
      <w:r>
        <w:rPr>
          <w:rFonts w:eastAsiaTheme="minorEastAsia"/>
          <w:szCs w:val="22"/>
        </w:rPr>
        <w:t>w</w:t>
      </w:r>
      <w:r w:rsidRPr="00EF4DBF">
        <w:rPr>
          <w:rFonts w:eastAsiaTheme="minorEastAsia"/>
          <w:szCs w:val="22"/>
        </w:rPr>
        <w:t xml:space="preserve">here </w:t>
      </w:r>
      <m:oMath>
        <m:r>
          <m:rPr>
            <m:sty m:val="p"/>
          </m:rPr>
          <w:rPr>
            <w:rFonts w:ascii="Cambria Math" w:hAnsi="Cambria Math"/>
          </w:rPr>
          <m:t>w</m:t>
        </m:r>
      </m:oMath>
      <w:r>
        <w:rPr>
          <w:rFonts w:eastAsiaTheme="minorEastAsia"/>
        </w:rPr>
        <w:t xml:space="preserve"> </w:t>
      </w:r>
      <w:r w:rsidRPr="00EF4DBF">
        <w:t xml:space="preserve">is the weight vector, </w:t>
      </w:r>
      <m:oMath>
        <m:r>
          <m:rPr>
            <m:sty m:val="p"/>
          </m:rPr>
          <w:rPr>
            <w:rFonts w:ascii="Cambria Math" w:hAnsi="Cambria Math"/>
          </w:rPr>
          <m:t>μ</m:t>
        </m:r>
      </m:oMath>
      <w:r w:rsidRPr="00EF4DBF">
        <w:rPr>
          <w:rFonts w:eastAsiaTheme="minorEastAsia"/>
        </w:rPr>
        <w:t xml:space="preserve"> </w:t>
      </w:r>
      <w:r w:rsidR="00F33D0B">
        <w:t>is estimated using the sample mean of daily log returns</w:t>
      </w:r>
      <w:r w:rsidRPr="00EF4DBF">
        <w:t xml:space="preserve">. The numerator represents the portfolio’s expected excess return over the risk-free rate, while the denominator represents total portfolio volatility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p</m:t>
            </m:r>
          </m:sub>
        </m:sSub>
      </m:oMath>
      <w:r w:rsidRPr="00EF4DBF">
        <w:rPr>
          <w:rFonts w:eastAsiaTheme="minorEastAsia"/>
        </w:rPr>
        <w:t>.</w:t>
      </w:r>
      <w:r>
        <w:rPr>
          <w:rFonts w:eastAsiaTheme="minorEastAsia"/>
        </w:rPr>
        <w:t xml:space="preserve"> </w:t>
      </w:r>
      <m:oMath>
        <m:r>
          <m:rPr>
            <m:sty m:val="p"/>
          </m:rPr>
          <w:rPr>
            <w:rFonts w:ascii="Cambria Math" w:eastAsiaTheme="minorEastAsia" w:hAnsi="Cambria Math"/>
            <w:szCs w:val="22"/>
          </w:rPr>
          <m:t>Ω</m:t>
        </m:r>
      </m:oMath>
      <w:r w:rsidRPr="00EF4DBF">
        <w:rPr>
          <w:rFonts w:eastAsiaTheme="minorEastAsia"/>
          <w:szCs w:val="22"/>
        </w:rPr>
        <w:t xml:space="preserve"> is </w:t>
      </w:r>
      <w:r w:rsidRPr="00EF4DBF">
        <w:t>the covariance matrix of stock returns</w:t>
      </w:r>
      <w:r>
        <w:t xml:space="preserve">. </w:t>
      </w:r>
      <w:r>
        <w:rPr>
          <w:rFonts w:eastAsiaTheme="minorEastAsia"/>
          <w:szCs w:val="22"/>
        </w:rPr>
        <w:t>T</w:t>
      </w:r>
      <w:r w:rsidRPr="001C356F">
        <w:rPr>
          <w:rFonts w:eastAsiaTheme="minorEastAsia"/>
          <w:szCs w:val="22"/>
        </w:rPr>
        <w:t xml:space="preserve">he optimal long-only weight vector was </w:t>
      </w:r>
      <w:r>
        <w:rPr>
          <w:rFonts w:eastAsiaTheme="minorEastAsia"/>
          <w:szCs w:val="22"/>
        </w:rPr>
        <w:t>computed using Python libraries.</w:t>
      </w:r>
      <w:r w:rsidR="005A3200">
        <w:rPr>
          <w:rFonts w:eastAsiaTheme="minorEastAsia"/>
          <w:szCs w:val="22"/>
        </w:rPr>
        <w:t xml:space="preserve"> </w:t>
      </w:r>
    </w:p>
    <w:p w14:paraId="25640F7A" w14:textId="77777777" w:rsidR="00936BEC" w:rsidRDefault="005A3200" w:rsidP="00504DF1">
      <w:r w:rsidRPr="006169E8">
        <w:rPr>
          <w:rFonts w:eastAsiaTheme="minorEastAsia"/>
          <w:color w:val="000000" w:themeColor="text1"/>
          <w:szCs w:val="22"/>
        </w:rPr>
        <w:t>The optimal portfolio is dominated by GS (</w:t>
      </w:r>
      <w:r w:rsidR="006169E8" w:rsidRPr="006169E8">
        <w:rPr>
          <w:rFonts w:eastAsiaTheme="minorEastAsia"/>
          <w:color w:val="000000" w:themeColor="text1"/>
          <w:szCs w:val="22"/>
        </w:rPr>
        <w:t>57</w:t>
      </w:r>
      <w:r w:rsidRPr="006169E8">
        <w:rPr>
          <w:rFonts w:eastAsiaTheme="minorEastAsia"/>
          <w:color w:val="000000" w:themeColor="text1"/>
          <w:szCs w:val="22"/>
        </w:rPr>
        <w:t xml:space="preserve">.6%), </w:t>
      </w:r>
      <w:r w:rsidR="006169E8" w:rsidRPr="006169E8">
        <w:rPr>
          <w:rFonts w:eastAsiaTheme="minorEastAsia"/>
          <w:color w:val="000000" w:themeColor="text1"/>
          <w:szCs w:val="22"/>
        </w:rPr>
        <w:t>JPM</w:t>
      </w:r>
      <w:r w:rsidR="00B36F3A">
        <w:rPr>
          <w:rFonts w:eastAsiaTheme="minorEastAsia"/>
          <w:color w:val="000000" w:themeColor="text1"/>
          <w:szCs w:val="22"/>
        </w:rPr>
        <w:t xml:space="preserve"> </w:t>
      </w:r>
      <w:r w:rsidR="006169E8" w:rsidRPr="006169E8">
        <w:rPr>
          <w:rFonts w:eastAsiaTheme="minorEastAsia"/>
          <w:color w:val="000000" w:themeColor="text1"/>
          <w:szCs w:val="22"/>
        </w:rPr>
        <w:t xml:space="preserve">(18%), </w:t>
      </w:r>
      <w:r w:rsidRPr="006169E8">
        <w:rPr>
          <w:rFonts w:eastAsiaTheme="minorEastAsia"/>
          <w:color w:val="000000" w:themeColor="text1"/>
          <w:szCs w:val="22"/>
        </w:rPr>
        <w:t>WFC (</w:t>
      </w:r>
      <w:r w:rsidR="006169E8" w:rsidRPr="006169E8">
        <w:rPr>
          <w:rFonts w:eastAsiaTheme="minorEastAsia"/>
          <w:color w:val="000000" w:themeColor="text1"/>
          <w:szCs w:val="22"/>
        </w:rPr>
        <w:t>1</w:t>
      </w:r>
      <w:r w:rsidR="00A3347D">
        <w:rPr>
          <w:rFonts w:eastAsiaTheme="minorEastAsia"/>
          <w:color w:val="000000" w:themeColor="text1"/>
          <w:szCs w:val="22"/>
        </w:rPr>
        <w:t>6</w:t>
      </w:r>
      <w:r w:rsidRPr="006169E8">
        <w:rPr>
          <w:rFonts w:eastAsiaTheme="minorEastAsia"/>
          <w:color w:val="000000" w:themeColor="text1"/>
          <w:szCs w:val="22"/>
        </w:rPr>
        <w:t>%), and SPG (</w:t>
      </w:r>
      <w:r w:rsidR="006169E8" w:rsidRPr="006169E8">
        <w:rPr>
          <w:rFonts w:eastAsiaTheme="minorEastAsia"/>
          <w:color w:val="000000" w:themeColor="text1"/>
          <w:szCs w:val="22"/>
        </w:rPr>
        <w:t>8</w:t>
      </w:r>
      <w:r w:rsidRPr="006169E8">
        <w:rPr>
          <w:rFonts w:eastAsiaTheme="minorEastAsia"/>
          <w:color w:val="000000" w:themeColor="text1"/>
          <w:szCs w:val="22"/>
        </w:rPr>
        <w:t>.</w:t>
      </w:r>
      <w:r w:rsidR="006169E8" w:rsidRPr="006169E8">
        <w:rPr>
          <w:rFonts w:eastAsiaTheme="minorEastAsia"/>
          <w:color w:val="000000" w:themeColor="text1"/>
          <w:szCs w:val="22"/>
        </w:rPr>
        <w:t>4</w:t>
      </w:r>
      <w:r w:rsidRPr="006169E8">
        <w:rPr>
          <w:rFonts w:eastAsiaTheme="minorEastAsia"/>
          <w:color w:val="000000" w:themeColor="text1"/>
          <w:szCs w:val="22"/>
        </w:rPr>
        <w:t>%).</w:t>
      </w:r>
      <w:r w:rsidR="006169E8" w:rsidRPr="006169E8">
        <w:rPr>
          <w:rFonts w:eastAsiaTheme="minorEastAsia"/>
          <w:color w:val="000000" w:themeColor="text1"/>
          <w:szCs w:val="22"/>
        </w:rPr>
        <w:t xml:space="preserve"> </w:t>
      </w:r>
      <w:r w:rsidR="006169E8" w:rsidRPr="006169E8">
        <w:rPr>
          <w:color w:val="000000" w:themeColor="text1"/>
        </w:rPr>
        <w:t xml:space="preserve">These </w:t>
      </w:r>
      <w:r w:rsidR="006169E8">
        <w:t>weights reflect the solution to the daily Sharpe ratio optimization problem described above.</w:t>
      </w:r>
      <w:r w:rsidR="00936BEC">
        <w:t xml:space="preserve"> </w:t>
      </w:r>
    </w:p>
    <w:p w14:paraId="5A7B40B3" w14:textId="313607AE" w:rsidR="00936BEC" w:rsidRPr="008E3191" w:rsidRDefault="00936BEC" w:rsidP="00504DF1">
      <w:r>
        <w:t>Optimal portfolio weight distribution:</w:t>
      </w:r>
    </w:p>
    <w:tbl>
      <w:tblPr>
        <w:tblW w:w="2880" w:type="dxa"/>
        <w:tblLook w:val="04A0" w:firstRow="1" w:lastRow="0" w:firstColumn="1" w:lastColumn="0" w:noHBand="0" w:noVBand="1"/>
      </w:tblPr>
      <w:tblGrid>
        <w:gridCol w:w="1440"/>
        <w:gridCol w:w="1440"/>
      </w:tblGrid>
      <w:tr w:rsidR="008E3191" w:rsidRPr="008E3191" w14:paraId="3942502D" w14:textId="77777777" w:rsidTr="008E3191">
        <w:trPr>
          <w:trHeight w:val="360"/>
        </w:trPr>
        <w:tc>
          <w:tcPr>
            <w:tcW w:w="1440" w:type="dxa"/>
            <w:tcBorders>
              <w:top w:val="single" w:sz="4" w:space="0" w:color="B8C0FF"/>
              <w:left w:val="single" w:sz="4" w:space="0" w:color="B8C0FF"/>
              <w:bottom w:val="single" w:sz="4" w:space="0" w:color="B8C0FF"/>
              <w:right w:val="single" w:sz="4" w:space="0" w:color="B8C0FF"/>
            </w:tcBorders>
            <w:shd w:val="clear" w:color="000000" w:fill="F2F2F2"/>
            <w:noWrap/>
            <w:vAlign w:val="center"/>
            <w:hideMark/>
          </w:tcPr>
          <w:p w14:paraId="2205B198" w14:textId="77777777" w:rsidR="008E3191" w:rsidRPr="008E3191" w:rsidRDefault="008E3191" w:rsidP="008E3191">
            <w:pPr>
              <w:spacing w:after="0" w:line="240" w:lineRule="auto"/>
              <w:jc w:val="center"/>
              <w:rPr>
                <w:rFonts w:ascii="Aptos Narrow" w:eastAsia="Times New Roman" w:hAnsi="Aptos Narrow" w:cs="Times New Roman"/>
                <w:b/>
                <w:bCs/>
                <w:color w:val="000000"/>
                <w:kern w:val="0"/>
                <w:sz w:val="20"/>
                <w:szCs w:val="20"/>
                <w14:ligatures w14:val="none"/>
              </w:rPr>
            </w:pPr>
            <w:r w:rsidRPr="008E3191">
              <w:rPr>
                <w:rFonts w:ascii="Aptos Narrow" w:eastAsia="Times New Roman" w:hAnsi="Aptos Narrow" w:cs="Times New Roman"/>
                <w:b/>
                <w:bCs/>
                <w:color w:val="000000"/>
                <w:kern w:val="0"/>
                <w:sz w:val="20"/>
                <w:szCs w:val="20"/>
                <w14:ligatures w14:val="none"/>
              </w:rPr>
              <w:t>Ticker</w:t>
            </w:r>
          </w:p>
        </w:tc>
        <w:tc>
          <w:tcPr>
            <w:tcW w:w="1440" w:type="dxa"/>
            <w:tcBorders>
              <w:top w:val="single" w:sz="4" w:space="0" w:color="B8C0FF"/>
              <w:left w:val="nil"/>
              <w:bottom w:val="single" w:sz="4" w:space="0" w:color="B8C0FF"/>
              <w:right w:val="single" w:sz="4" w:space="0" w:color="B8C0FF"/>
            </w:tcBorders>
            <w:shd w:val="clear" w:color="000000" w:fill="F2F2F2"/>
            <w:noWrap/>
            <w:vAlign w:val="center"/>
            <w:hideMark/>
          </w:tcPr>
          <w:p w14:paraId="4F7AE8D0" w14:textId="77777777" w:rsidR="008E3191" w:rsidRPr="008E3191" w:rsidRDefault="008E3191" w:rsidP="008E3191">
            <w:pPr>
              <w:spacing w:after="0" w:line="240" w:lineRule="auto"/>
              <w:jc w:val="center"/>
              <w:rPr>
                <w:rFonts w:ascii="Aptos Narrow" w:eastAsia="Times New Roman" w:hAnsi="Aptos Narrow" w:cs="Times New Roman"/>
                <w:b/>
                <w:bCs/>
                <w:color w:val="000000"/>
                <w:kern w:val="0"/>
                <w:sz w:val="20"/>
                <w:szCs w:val="20"/>
                <w14:ligatures w14:val="none"/>
              </w:rPr>
            </w:pPr>
            <w:r w:rsidRPr="008E3191">
              <w:rPr>
                <w:rFonts w:ascii="Aptos Narrow" w:eastAsia="Times New Roman" w:hAnsi="Aptos Narrow" w:cs="Times New Roman"/>
                <w:b/>
                <w:bCs/>
                <w:color w:val="000000"/>
                <w:kern w:val="0"/>
                <w:sz w:val="20"/>
                <w:szCs w:val="20"/>
                <w14:ligatures w14:val="none"/>
              </w:rPr>
              <w:t>Weight</w:t>
            </w:r>
          </w:p>
        </w:tc>
      </w:tr>
      <w:tr w:rsidR="008E3191" w:rsidRPr="008E3191" w14:paraId="5ADDCE1D"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400A954E"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GS</w:t>
            </w:r>
          </w:p>
        </w:tc>
        <w:tc>
          <w:tcPr>
            <w:tcW w:w="1440" w:type="dxa"/>
            <w:tcBorders>
              <w:top w:val="nil"/>
              <w:left w:val="nil"/>
              <w:bottom w:val="single" w:sz="4" w:space="0" w:color="B8C0FF"/>
              <w:right w:val="single" w:sz="4" w:space="0" w:color="B8C0FF"/>
            </w:tcBorders>
            <w:noWrap/>
            <w:vAlign w:val="center"/>
            <w:hideMark/>
          </w:tcPr>
          <w:p w14:paraId="710EABB2"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0.5764021</w:t>
            </w:r>
          </w:p>
        </w:tc>
      </w:tr>
      <w:tr w:rsidR="008E3191" w:rsidRPr="008E3191" w14:paraId="24F976E9"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0A391185"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JPM</w:t>
            </w:r>
          </w:p>
        </w:tc>
        <w:tc>
          <w:tcPr>
            <w:tcW w:w="1440" w:type="dxa"/>
            <w:tcBorders>
              <w:top w:val="nil"/>
              <w:left w:val="nil"/>
              <w:bottom w:val="single" w:sz="4" w:space="0" w:color="B8C0FF"/>
              <w:right w:val="single" w:sz="4" w:space="0" w:color="B8C0FF"/>
            </w:tcBorders>
            <w:noWrap/>
            <w:vAlign w:val="center"/>
            <w:hideMark/>
          </w:tcPr>
          <w:p w14:paraId="4A61CCC5"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0.1795652</w:t>
            </w:r>
          </w:p>
        </w:tc>
      </w:tr>
      <w:tr w:rsidR="008E3191" w:rsidRPr="008E3191" w14:paraId="484B1877"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11539E37"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WFC</w:t>
            </w:r>
          </w:p>
        </w:tc>
        <w:tc>
          <w:tcPr>
            <w:tcW w:w="1440" w:type="dxa"/>
            <w:tcBorders>
              <w:top w:val="nil"/>
              <w:left w:val="nil"/>
              <w:bottom w:val="single" w:sz="4" w:space="0" w:color="B8C0FF"/>
              <w:right w:val="single" w:sz="4" w:space="0" w:color="B8C0FF"/>
            </w:tcBorders>
            <w:noWrap/>
            <w:vAlign w:val="center"/>
            <w:hideMark/>
          </w:tcPr>
          <w:p w14:paraId="4FE96817"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0.160036</w:t>
            </w:r>
          </w:p>
        </w:tc>
      </w:tr>
      <w:tr w:rsidR="008E3191" w:rsidRPr="008E3191" w14:paraId="209F8C23"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03F66C78"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SPG</w:t>
            </w:r>
          </w:p>
        </w:tc>
        <w:tc>
          <w:tcPr>
            <w:tcW w:w="1440" w:type="dxa"/>
            <w:tcBorders>
              <w:top w:val="nil"/>
              <w:left w:val="nil"/>
              <w:bottom w:val="single" w:sz="4" w:space="0" w:color="B8C0FF"/>
              <w:right w:val="single" w:sz="4" w:space="0" w:color="B8C0FF"/>
            </w:tcBorders>
            <w:noWrap/>
            <w:vAlign w:val="center"/>
            <w:hideMark/>
          </w:tcPr>
          <w:p w14:paraId="1FABE5E7"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0.08399663</w:t>
            </w:r>
          </w:p>
        </w:tc>
      </w:tr>
      <w:tr w:rsidR="008E3191" w:rsidRPr="008E3191" w14:paraId="792969EE"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23CFDD8E"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BAC</w:t>
            </w:r>
          </w:p>
        </w:tc>
        <w:tc>
          <w:tcPr>
            <w:tcW w:w="1440" w:type="dxa"/>
            <w:tcBorders>
              <w:top w:val="nil"/>
              <w:left w:val="nil"/>
              <w:bottom w:val="single" w:sz="4" w:space="0" w:color="B8C0FF"/>
              <w:right w:val="single" w:sz="4" w:space="0" w:color="B8C0FF"/>
            </w:tcBorders>
            <w:noWrap/>
            <w:vAlign w:val="center"/>
            <w:hideMark/>
          </w:tcPr>
          <w:p w14:paraId="787344F5"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2.4042E-17</w:t>
            </w:r>
          </w:p>
        </w:tc>
      </w:tr>
      <w:tr w:rsidR="008E3191" w:rsidRPr="008E3191" w14:paraId="0CEB1BD8"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44D1C446"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O</w:t>
            </w:r>
          </w:p>
        </w:tc>
        <w:tc>
          <w:tcPr>
            <w:tcW w:w="1440" w:type="dxa"/>
            <w:tcBorders>
              <w:top w:val="nil"/>
              <w:left w:val="nil"/>
              <w:bottom w:val="single" w:sz="4" w:space="0" w:color="B8C0FF"/>
              <w:right w:val="single" w:sz="4" w:space="0" w:color="B8C0FF"/>
            </w:tcBorders>
            <w:noWrap/>
            <w:vAlign w:val="center"/>
            <w:hideMark/>
          </w:tcPr>
          <w:p w14:paraId="3E63922A"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1.3974E-17</w:t>
            </w:r>
          </w:p>
        </w:tc>
      </w:tr>
      <w:tr w:rsidR="008E3191" w:rsidRPr="008E3191" w14:paraId="018F2AFB"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3297E4FE"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PLD</w:t>
            </w:r>
          </w:p>
        </w:tc>
        <w:tc>
          <w:tcPr>
            <w:tcW w:w="1440" w:type="dxa"/>
            <w:tcBorders>
              <w:top w:val="nil"/>
              <w:left w:val="nil"/>
              <w:bottom w:val="single" w:sz="4" w:space="0" w:color="B8C0FF"/>
              <w:right w:val="single" w:sz="4" w:space="0" w:color="B8C0FF"/>
            </w:tcBorders>
            <w:noWrap/>
            <w:vAlign w:val="center"/>
            <w:hideMark/>
          </w:tcPr>
          <w:p w14:paraId="0838AE9B"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2.1961E-18</w:t>
            </w:r>
          </w:p>
        </w:tc>
      </w:tr>
      <w:tr w:rsidR="008E3191" w:rsidRPr="008E3191" w14:paraId="5937159B"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6C709B46"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BLK</w:t>
            </w:r>
          </w:p>
        </w:tc>
        <w:tc>
          <w:tcPr>
            <w:tcW w:w="1440" w:type="dxa"/>
            <w:tcBorders>
              <w:top w:val="nil"/>
              <w:left w:val="nil"/>
              <w:bottom w:val="single" w:sz="4" w:space="0" w:color="B8C0FF"/>
              <w:right w:val="single" w:sz="4" w:space="0" w:color="B8C0FF"/>
            </w:tcBorders>
            <w:noWrap/>
            <w:vAlign w:val="center"/>
            <w:hideMark/>
          </w:tcPr>
          <w:p w14:paraId="3701C032"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0.00E+00</w:t>
            </w:r>
          </w:p>
        </w:tc>
      </w:tr>
      <w:tr w:rsidR="008E3191" w:rsidRPr="008E3191" w14:paraId="0A4A7522"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3144B42D"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AMT</w:t>
            </w:r>
          </w:p>
        </w:tc>
        <w:tc>
          <w:tcPr>
            <w:tcW w:w="1440" w:type="dxa"/>
            <w:tcBorders>
              <w:top w:val="nil"/>
              <w:left w:val="nil"/>
              <w:bottom w:val="single" w:sz="4" w:space="0" w:color="B8C0FF"/>
              <w:right w:val="single" w:sz="4" w:space="0" w:color="B8C0FF"/>
            </w:tcBorders>
            <w:noWrap/>
            <w:vAlign w:val="center"/>
            <w:hideMark/>
          </w:tcPr>
          <w:p w14:paraId="33C0E629"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0.00E+00</w:t>
            </w:r>
          </w:p>
        </w:tc>
      </w:tr>
      <w:tr w:rsidR="008E3191" w:rsidRPr="008E3191" w14:paraId="07A22B68" w14:textId="77777777" w:rsidTr="008E3191">
        <w:trPr>
          <w:trHeight w:val="360"/>
        </w:trPr>
        <w:tc>
          <w:tcPr>
            <w:tcW w:w="1440" w:type="dxa"/>
            <w:tcBorders>
              <w:top w:val="nil"/>
              <w:left w:val="single" w:sz="4" w:space="0" w:color="B8C0FF"/>
              <w:bottom w:val="single" w:sz="4" w:space="0" w:color="B8C0FF"/>
              <w:right w:val="single" w:sz="4" w:space="0" w:color="B8C0FF"/>
            </w:tcBorders>
            <w:noWrap/>
            <w:vAlign w:val="center"/>
            <w:hideMark/>
          </w:tcPr>
          <w:p w14:paraId="657C62B4"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AVB</w:t>
            </w:r>
          </w:p>
        </w:tc>
        <w:tc>
          <w:tcPr>
            <w:tcW w:w="1440" w:type="dxa"/>
            <w:tcBorders>
              <w:top w:val="nil"/>
              <w:left w:val="nil"/>
              <w:bottom w:val="single" w:sz="4" w:space="0" w:color="B8C0FF"/>
              <w:right w:val="single" w:sz="4" w:space="0" w:color="B8C0FF"/>
            </w:tcBorders>
            <w:noWrap/>
            <w:vAlign w:val="center"/>
            <w:hideMark/>
          </w:tcPr>
          <w:p w14:paraId="6FE38CEC" w14:textId="77777777" w:rsidR="008E3191" w:rsidRPr="008E3191" w:rsidRDefault="008E3191" w:rsidP="008E3191">
            <w:pPr>
              <w:spacing w:after="0" w:line="240" w:lineRule="auto"/>
              <w:jc w:val="center"/>
              <w:rPr>
                <w:rFonts w:ascii="Aptos Narrow" w:eastAsia="Times New Roman" w:hAnsi="Aptos Narrow" w:cs="Times New Roman"/>
                <w:color w:val="000000"/>
                <w:kern w:val="0"/>
                <w:sz w:val="20"/>
                <w:szCs w:val="20"/>
                <w14:ligatures w14:val="none"/>
              </w:rPr>
            </w:pPr>
            <w:r w:rsidRPr="008E3191">
              <w:rPr>
                <w:rFonts w:ascii="Aptos Narrow" w:eastAsia="Times New Roman" w:hAnsi="Aptos Narrow" w:cs="Times New Roman"/>
                <w:color w:val="000000"/>
                <w:kern w:val="0"/>
                <w:sz w:val="20"/>
                <w:szCs w:val="20"/>
                <w14:ligatures w14:val="none"/>
              </w:rPr>
              <w:t>0.00E+00</w:t>
            </w:r>
          </w:p>
        </w:tc>
      </w:tr>
    </w:tbl>
    <w:p w14:paraId="3BBA9127" w14:textId="12C11819" w:rsidR="00D620DE" w:rsidRDefault="00D620DE" w:rsidP="00D620DE">
      <w:pPr>
        <w:pStyle w:val="Heading1"/>
      </w:pPr>
      <w:bookmarkStart w:id="7" w:name="_Toc214932634"/>
      <w:r>
        <w:t>4. Hypothesis Tests</w:t>
      </w:r>
      <w:bookmarkEnd w:id="7"/>
    </w:p>
    <w:p w14:paraId="632D1693" w14:textId="7105C19B" w:rsidR="00D620DE" w:rsidRPr="00D620DE" w:rsidRDefault="00D620DE" w:rsidP="00D620DE">
      <w:r>
        <w:t>The daily return series for both portfolios are used to test whether their risk and return characteristics differ in a statistically meaningful way. Two hypothesis tests are conducted: one comparing the volatility of daily returns, and another comparing their mean daily returns.</w:t>
      </w:r>
      <w:r w:rsidR="002F5EEC">
        <w:t xml:space="preserve"> </w:t>
      </w:r>
      <w:r w:rsidR="002F5EEC" w:rsidRPr="002F5EEC">
        <w:t xml:space="preserve">We follow the </w:t>
      </w:r>
      <w:r w:rsidR="002F5EEC">
        <w:t>hypothesis</w:t>
      </w:r>
      <w:r w:rsidR="002F5EEC" w:rsidRPr="002F5EEC">
        <w:t xml:space="preserve"> testing procedure </w:t>
      </w:r>
      <w:r w:rsidR="002F5EEC">
        <w:t>taught</w:t>
      </w:r>
      <w:r w:rsidR="002F5EEC" w:rsidRPr="002F5EEC">
        <w:t xml:space="preserve"> in the </w:t>
      </w:r>
      <w:r w:rsidR="002F5EEC">
        <w:t>class</w:t>
      </w:r>
      <w:r w:rsidR="002F5EEC" w:rsidRPr="002F5EEC">
        <w:t>.</w:t>
      </w:r>
    </w:p>
    <w:p w14:paraId="61863786" w14:textId="5399C193" w:rsidR="00D620DE" w:rsidRDefault="00970FD0" w:rsidP="00970FD0">
      <w:pPr>
        <w:pStyle w:val="Heading2"/>
      </w:pPr>
      <w:bookmarkStart w:id="8" w:name="_Toc214932635"/>
      <w:r>
        <w:t xml:space="preserve">Comparison of </w:t>
      </w:r>
      <w:r w:rsidR="00037B0B">
        <w:t>volatility of daily returns</w:t>
      </w:r>
      <w:bookmarkEnd w:id="8"/>
    </w:p>
    <w:p w14:paraId="0AFCE36A" w14:textId="56EC7BFB" w:rsidR="00970FD0" w:rsidRDefault="000A7269" w:rsidP="00970FD0">
      <w:r w:rsidRPr="00E50609">
        <w:rPr>
          <w:b/>
          <w:bCs/>
        </w:rPr>
        <w:t>Hypotheses</w:t>
      </w:r>
      <w:r>
        <w:t>:</w:t>
      </w:r>
    </w:p>
    <w:p w14:paraId="19E9936B" w14:textId="4B379D8F" w:rsidR="000A7269" w:rsidRPr="000A7269" w:rsidRDefault="00000000" w:rsidP="00970FD0">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EW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Opt</m:t>
              </m:r>
            </m:sub>
            <m:sup>
              <m:r>
                <w:rPr>
                  <w:rFonts w:ascii="Cambria Math" w:hAnsi="Cambria Math"/>
                </w:rPr>
                <m:t>2</m:t>
              </m:r>
            </m:sup>
          </m:sSubSup>
        </m:oMath>
      </m:oMathPara>
    </w:p>
    <w:p w14:paraId="5A293BCB" w14:textId="5031AABB" w:rsidR="000A7269" w:rsidRPr="000A7269" w:rsidRDefault="00000000" w:rsidP="000A7269">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EW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Opt</m:t>
              </m:r>
            </m:sub>
            <m:sup>
              <m:r>
                <w:rPr>
                  <w:rFonts w:ascii="Cambria Math" w:hAnsi="Cambria Math"/>
                </w:rPr>
                <m:t>2</m:t>
              </m:r>
            </m:sup>
          </m:sSubSup>
        </m:oMath>
      </m:oMathPara>
    </w:p>
    <w:p w14:paraId="5E9A2278" w14:textId="46965486" w:rsidR="000A7269" w:rsidRDefault="005A386C" w:rsidP="00970FD0">
      <w:r>
        <w:rPr>
          <w:rFonts w:eastAsiaTheme="minorEastAsia"/>
        </w:rPr>
        <w:lastRenderedPageBreak/>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EW</m:t>
            </m:r>
          </m:sub>
          <m:sup>
            <m:r>
              <w:rPr>
                <w:rFonts w:ascii="Cambria Math" w:hAnsi="Cambria Math"/>
              </w:rPr>
              <m:t>2</m:t>
            </m:r>
          </m:sup>
        </m:sSubSup>
      </m:oMath>
      <w:r w:rsidR="00CF5610">
        <w:rPr>
          <w:rFonts w:eastAsiaTheme="minorEastAsia"/>
        </w:rPr>
        <w:t xml:space="preserve"> </w:t>
      </w:r>
      <w:r>
        <w:t xml:space="preserve">and </w:t>
      </w:r>
      <m:oMath>
        <m:sSubSup>
          <m:sSubSupPr>
            <m:ctrlPr>
              <w:rPr>
                <w:rFonts w:ascii="Cambria Math" w:hAnsi="Cambria Math"/>
              </w:rPr>
            </m:ctrlPr>
          </m:sSubSupPr>
          <m:e>
            <m:r>
              <w:rPr>
                <w:rFonts w:ascii="Cambria Math" w:hAnsi="Cambria Math"/>
              </w:rPr>
              <m:t>σ</m:t>
            </m:r>
          </m:e>
          <m:sub>
            <m:r>
              <w:rPr>
                <w:rFonts w:ascii="Cambria Math" w:hAnsi="Cambria Math"/>
              </w:rPr>
              <m:t>Opt</m:t>
            </m:r>
          </m:sub>
          <m:sup>
            <m:r>
              <w:rPr>
                <w:rFonts w:ascii="Cambria Math" w:hAnsi="Cambria Math"/>
              </w:rPr>
              <m:t>2</m:t>
            </m:r>
          </m:sup>
        </m:sSubSup>
      </m:oMath>
      <w:r>
        <w:t xml:space="preserve"> are the variances of the daily returns for </w:t>
      </w:r>
      <w:r w:rsidR="001428E1">
        <w:t xml:space="preserve">the </w:t>
      </w:r>
      <w:r>
        <w:t>equal-weighted</w:t>
      </w:r>
      <w:r w:rsidR="001428E1">
        <w:t xml:space="preserve"> portfolio </w:t>
      </w:r>
      <w:r>
        <w:t>and optimal</w:t>
      </w:r>
      <w:r w:rsidR="001428E1">
        <w:t xml:space="preserve"> portfolio, </w:t>
      </w:r>
      <w:r w:rsidR="00804CA6">
        <w:t>respectively.</w:t>
      </w:r>
    </w:p>
    <w:p w14:paraId="5C84663D" w14:textId="43CE5F1E" w:rsidR="005A386C" w:rsidRDefault="00B67194" w:rsidP="00970FD0">
      <w:r w:rsidRPr="00E50609">
        <w:rPr>
          <w:b/>
          <w:bCs/>
        </w:rPr>
        <w:t>Test statistic and probability distribution</w:t>
      </w:r>
      <w:r>
        <w:t>:</w:t>
      </w:r>
    </w:p>
    <w:p w14:paraId="114157C2" w14:textId="25920E2F" w:rsidR="00E50609" w:rsidRPr="00E50609" w:rsidRDefault="00603272" w:rsidP="00E50609">
      <w:r>
        <w:t>W</w:t>
      </w:r>
      <w:r w:rsidR="00E50609" w:rsidRPr="00E50609">
        <w:t>e use a</w:t>
      </w:r>
      <w:r>
        <w:t xml:space="preserve"> two-tailed</w:t>
      </w:r>
      <w:r w:rsidR="00E50609" w:rsidRPr="00E50609">
        <w:t xml:space="preserve"> F-test, which compares the ratio of the sample variances:</w:t>
      </w:r>
    </w:p>
    <w:p w14:paraId="12D0551E" w14:textId="04473BF5" w:rsidR="00E50609" w:rsidRPr="00E50609" w:rsidRDefault="00E50609" w:rsidP="00E50609">
      <m:oMathPara>
        <m:oMath>
          <m:r>
            <w:rPr>
              <w:rFonts w:ascii="Cambria Math" w:hAnsi="Cambria Math"/>
            </w:rPr>
            <m:t>F=</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EW</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Opt</m:t>
                  </m:r>
                </m:sub>
                <m:sup>
                  <m:r>
                    <w:rPr>
                      <w:rFonts w:ascii="Cambria Math" w:hAnsi="Cambria Math"/>
                    </w:rPr>
                    <m:t>2</m:t>
                  </m:r>
                </m:sup>
              </m:sSubSup>
            </m:den>
          </m:f>
        </m:oMath>
      </m:oMathPara>
    </w:p>
    <w:p w14:paraId="5D5E16BF" w14:textId="77777777" w:rsidR="00E50609" w:rsidRPr="00E50609" w:rsidRDefault="00E50609" w:rsidP="00E50609">
      <w:r w:rsidRPr="00E50609">
        <w:t>This statistic follows an F-distribution with:</w:t>
      </w:r>
    </w:p>
    <w:p w14:paraId="7D9B75B9" w14:textId="4FB75B77" w:rsidR="00E50609" w:rsidRPr="00E50609" w:rsidRDefault="00000000" w:rsidP="00E50609">
      <w:pPr>
        <w:numPr>
          <w:ilvl w:val="0"/>
          <w:numId w:val="14"/>
        </w:numPr>
      </w:pP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 xml:space="preserve">-1 </m:t>
        </m:r>
      </m:oMath>
      <w:r w:rsidR="00E50609" w:rsidRPr="00E50609">
        <w:t>numerator degrees of freedom</w:t>
      </w:r>
    </w:p>
    <w:p w14:paraId="50004054" w14:textId="63A1C2B4" w:rsidR="00E50609" w:rsidRPr="00E50609" w:rsidRDefault="00000000" w:rsidP="00E50609">
      <w:pPr>
        <w:numPr>
          <w:ilvl w:val="0"/>
          <w:numId w:val="14"/>
        </w:numPr>
      </w:pP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m:t>
        </m:r>
      </m:oMath>
      <w:r w:rsidR="00AE73E4">
        <w:rPr>
          <w:rFonts w:eastAsiaTheme="minorEastAsia"/>
        </w:rPr>
        <w:t xml:space="preserve"> </w:t>
      </w:r>
      <w:r w:rsidR="00E50609" w:rsidRPr="00E50609">
        <w:t>denominator degrees of freedom</w:t>
      </w:r>
    </w:p>
    <w:p w14:paraId="34B0B5C0" w14:textId="4E4DDC78" w:rsidR="00E50609" w:rsidRDefault="00E50609" w:rsidP="00E50609">
      <w:r w:rsidRPr="00E50609">
        <w:t xml:space="preserve">where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E50609">
        <w:t xml:space="preserve">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E50609">
        <w:t>are the number of daily observations in each portfolio.</w:t>
      </w:r>
    </w:p>
    <w:p w14:paraId="37F2BB54" w14:textId="2472491B" w:rsidR="00E50609" w:rsidRDefault="00E50609" w:rsidP="00E50609">
      <w:r>
        <w:t>Test statistic</w:t>
      </w:r>
      <w:r w:rsidR="00395732">
        <w:t xml:space="preserve"> calculation</w:t>
      </w:r>
      <w:r>
        <w:t>:</w:t>
      </w:r>
    </w:p>
    <w:p w14:paraId="17965E86" w14:textId="394CB872" w:rsidR="00603272" w:rsidRDefault="00603272" w:rsidP="00E50609">
      <w:pPr>
        <w:rPr>
          <w:rFonts w:eastAsiaTheme="minorEastAsia"/>
        </w:rPr>
      </w:pPr>
      <w:r w:rsidRPr="00603272">
        <w:rPr>
          <w:rFonts w:eastAsiaTheme="minorEastAsia"/>
        </w:rPr>
        <w:t xml:space="preserve">We </w:t>
      </w:r>
      <w:r>
        <w:rPr>
          <w:rFonts w:eastAsiaTheme="minorEastAsia"/>
        </w:rPr>
        <w:t>use Python and obtain the following value</w:t>
      </w:r>
      <w:r w:rsidR="00395732">
        <w:rPr>
          <w:rFonts w:eastAsiaTheme="minorEastAsia"/>
        </w:rPr>
        <w:t>s</w:t>
      </w:r>
      <w:r>
        <w:rPr>
          <w:rFonts w:eastAsiaTheme="minorEastAsia"/>
        </w:rPr>
        <w:t>:</w:t>
      </w:r>
      <w:r w:rsidRPr="00603272">
        <w:rPr>
          <w:rFonts w:ascii="Cambria Math" w:hAnsi="Cambria Math"/>
          <w:i/>
        </w:rPr>
        <w:br/>
      </w:r>
      <m:oMathPara>
        <m:oMath>
          <m:r>
            <w:rPr>
              <w:rFonts w:ascii="Cambria Math" w:hAnsi="Cambria Math"/>
            </w:rPr>
            <m:t>F</m:t>
          </m:r>
          <m:r>
            <m:rPr>
              <m:nor/>
            </m:rPr>
            <m:t>-</m:t>
          </m:r>
          <m:r>
            <m:rPr>
              <m:sty m:val="p"/>
            </m:rPr>
            <w:rPr>
              <w:rFonts w:ascii="Cambria Math" w:hAnsi="Cambria Math"/>
            </w:rPr>
            <m:t>statistic</m:t>
          </m:r>
          <m:r>
            <w:rPr>
              <w:rFonts w:ascii="Cambria Math" w:hAnsi="Cambria Math"/>
            </w:rPr>
            <m:t>=</m:t>
          </m:r>
          <m:r>
            <m:rPr>
              <m:sty m:val="p"/>
            </m:rPr>
            <w:rPr>
              <w:rFonts w:ascii="Cambria Math" w:eastAsiaTheme="minorEastAsia" w:hAnsi="Cambria Math"/>
            </w:rPr>
            <m:t>1.677</m:t>
          </m:r>
        </m:oMath>
      </m:oMathPara>
    </w:p>
    <w:p w14:paraId="2B6AE174" w14:textId="03E32669" w:rsidR="00603272" w:rsidRPr="00DE58BE" w:rsidRDefault="00DE58BE" w:rsidP="00E50609">
      <w:pPr>
        <w:rPr>
          <w:rFonts w:eastAsiaTheme="minorEastAsia"/>
        </w:rPr>
      </w:pPr>
      <m:oMathPara>
        <m:oMath>
          <m:r>
            <m:rPr>
              <m:sty m:val="p"/>
            </m:rPr>
            <w:rPr>
              <w:rFonts w:ascii="Cambria Math" w:hAnsi="Cambria Math"/>
            </w:rPr>
            <m:t>Two</m:t>
          </m:r>
          <m:r>
            <m:rPr>
              <m:nor/>
            </m:rPr>
            <m:t>-</m:t>
          </m:r>
          <m:r>
            <m:rPr>
              <m:sty m:val="p"/>
            </m:rPr>
            <w:rPr>
              <w:rFonts w:ascii="Cambria Math" w:hAnsi="Cambria Math"/>
            </w:rPr>
            <m:t xml:space="preserve">tailed </m:t>
          </m:r>
          <m:r>
            <w:rPr>
              <w:rFonts w:ascii="Cambria Math" w:hAnsi="Cambria Math"/>
            </w:rPr>
            <m:t>p</m:t>
          </m:r>
          <m:r>
            <m:rPr>
              <m:nor/>
            </m:rPr>
            <m:t>-value</m:t>
          </m:r>
          <m:r>
            <w:rPr>
              <w:rFonts w:ascii="Cambria Math" w:hAnsi="Cambria Math"/>
            </w:rPr>
            <m:t>=2.22×</m:t>
          </m:r>
          <m:sSup>
            <m:sSupPr>
              <m:ctrlPr>
                <w:rPr>
                  <w:rFonts w:ascii="Cambria Math" w:hAnsi="Cambria Math"/>
                </w:rPr>
              </m:ctrlPr>
            </m:sSupPr>
            <m:e>
              <m:r>
                <w:rPr>
                  <w:rFonts w:ascii="Cambria Math" w:hAnsi="Cambria Math"/>
                </w:rPr>
                <m:t>10</m:t>
              </m:r>
            </m:e>
            <m:sup>
              <m:r>
                <w:rPr>
                  <w:rFonts w:ascii="Cambria Math" w:hAnsi="Cambria Math"/>
                </w:rPr>
                <m:t>-16</m:t>
              </m:r>
            </m:sup>
          </m:sSup>
        </m:oMath>
      </m:oMathPara>
    </w:p>
    <w:p w14:paraId="36D0B7F6" w14:textId="3345EB35" w:rsidR="00DE58BE" w:rsidRPr="00464065" w:rsidRDefault="00464065" w:rsidP="00DE58BE">
      <w:pPr>
        <w:ind w:left="360"/>
        <w:jc w:val="center"/>
        <w:rPr>
          <w:rFonts w:eastAsiaTheme="minorEastAsia"/>
        </w:rPr>
      </w:pPr>
      <m:oMathPara>
        <m:oMath>
          <m:r>
            <m:rPr>
              <m:sty m:val="p"/>
            </m:rPr>
            <w:rPr>
              <w:rFonts w:ascii="Cambria Math" w:eastAsiaTheme="minorEastAsia" w:hAnsi="Cambria Math"/>
            </w:rPr>
            <m:t>Right</m:t>
          </m:r>
          <m:r>
            <m:rPr>
              <m:nor/>
            </m:rPr>
            <w:rPr>
              <w:iCs/>
            </w:rPr>
            <m:t>-</m:t>
          </m:r>
          <m:r>
            <m:rPr>
              <m:sty m:val="p"/>
            </m:rPr>
            <w:rPr>
              <w:rFonts w:ascii="Cambria Math" w:eastAsiaTheme="minorEastAsia" w:hAnsi="Cambria Math"/>
            </w:rPr>
            <m:t>tail</m:t>
          </m:r>
          <m:r>
            <w:rPr>
              <w:rFonts w:ascii="Cambria Math" w:eastAsiaTheme="minorEastAsia" w:hAnsi="Cambria Math"/>
            </w:rPr>
            <m:t xml:space="preserve"> p</m:t>
          </m:r>
          <m:r>
            <m:rPr>
              <m:nor/>
            </m:rPr>
            <m:t>-</m:t>
          </m:r>
          <m:r>
            <m:rPr>
              <m:sty m:val="p"/>
            </m:rPr>
            <w:rPr>
              <w:rFonts w:ascii="Cambria Math" w:eastAsiaTheme="minorEastAsia" w:hAnsi="Cambria Math"/>
            </w:rPr>
            <m:t>value (EW variance&gt;OPT variance)</m:t>
          </m:r>
          <m:r>
            <w:rPr>
              <w:rFonts w:ascii="Cambria Math" w:eastAsiaTheme="minorEastAsia" w:hAnsi="Cambria Math"/>
            </w:rPr>
            <m:t xml:space="preserve"> = 1.11×</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-16</m:t>
              </m:r>
            </m:sup>
          </m:sSup>
        </m:oMath>
      </m:oMathPara>
    </w:p>
    <w:p w14:paraId="0E7B27C3" w14:textId="5BF98ACA" w:rsidR="00464065" w:rsidRPr="00DE58BE" w:rsidRDefault="00464065" w:rsidP="00464065">
      <w:pPr>
        <w:ind w:left="360"/>
        <w:jc w:val="center"/>
        <w:rPr>
          <w:rFonts w:eastAsiaTheme="minorEastAsia"/>
        </w:rPr>
      </w:pPr>
      <m:oMathPara>
        <m:oMath>
          <m:r>
            <m:rPr>
              <m:sty m:val="p"/>
            </m:rPr>
            <w:rPr>
              <w:rFonts w:ascii="Cambria Math" w:eastAsiaTheme="minorEastAsia" w:hAnsi="Cambria Math"/>
            </w:rPr>
            <m:t>Left</m:t>
          </m:r>
          <m:r>
            <m:rPr>
              <m:nor/>
            </m:rPr>
            <w:rPr>
              <w:iCs/>
            </w:rPr>
            <m:t>-</m:t>
          </m:r>
          <m:r>
            <m:rPr>
              <m:sty m:val="p"/>
            </m:rPr>
            <w:rPr>
              <w:rFonts w:ascii="Cambria Math" w:eastAsiaTheme="minorEastAsia" w:hAnsi="Cambria Math"/>
            </w:rPr>
            <m:t>tail</m:t>
          </m:r>
          <m:r>
            <w:rPr>
              <w:rFonts w:ascii="Cambria Math" w:eastAsiaTheme="minorEastAsia" w:hAnsi="Cambria Math"/>
            </w:rPr>
            <m:t xml:space="preserve"> p</m:t>
          </m:r>
          <m:r>
            <m:rPr>
              <m:nor/>
            </m:rPr>
            <m:t>-</m:t>
          </m:r>
          <m:r>
            <m:rPr>
              <m:sty m:val="p"/>
            </m:rPr>
            <w:rPr>
              <w:rFonts w:ascii="Cambria Math" w:eastAsiaTheme="minorEastAsia" w:hAnsi="Cambria Math"/>
            </w:rPr>
            <m:t>value (EW variance&lt;OPT variance)</m:t>
          </m:r>
          <m:r>
            <w:rPr>
              <w:rFonts w:ascii="Cambria Math" w:eastAsiaTheme="minorEastAsia" w:hAnsi="Cambria Math"/>
            </w:rPr>
            <m:t xml:space="preserve"> = </m:t>
          </m:r>
          <m:r>
            <m:rPr>
              <m:sty m:val="p"/>
            </m:rPr>
            <w:rPr>
              <w:rFonts w:ascii="Cambria Math" w:eastAsiaTheme="minorEastAsia" w:hAnsi="Cambria Math"/>
            </w:rPr>
            <m:t>~1</m:t>
          </m:r>
        </m:oMath>
      </m:oMathPara>
    </w:p>
    <w:p w14:paraId="7335E250" w14:textId="651E1E6B" w:rsidR="00DE58BE" w:rsidRDefault="00DE58BE" w:rsidP="00DE58BE">
      <w:pPr>
        <w:jc w:val="center"/>
        <w:rPr>
          <w:rFonts w:eastAsiaTheme="minorEastAsia"/>
        </w:rPr>
      </w:pPr>
      <w:r w:rsidRPr="00DE58BE">
        <w:rPr>
          <w:rFonts w:ascii="Cambria Math" w:eastAsiaTheme="minorEastAsia" w:hAnsi="Cambria Math"/>
          <w:iCs/>
        </w:rPr>
        <w:t xml:space="preserve">95% confidence interval for the variance ratio </w:t>
      </w:r>
      <m:oMath>
        <m:sSubSup>
          <m:sSubSupPr>
            <m:ctrlPr>
              <w:rPr>
                <w:rFonts w:ascii="Cambria Math" w:eastAsiaTheme="minorEastAsia" w:hAnsi="Cambria Math"/>
                <w:iCs/>
              </w:rPr>
            </m:ctrlPr>
          </m:sSubSupPr>
          <m:e>
            <m:r>
              <w:rPr>
                <w:rFonts w:ascii="Cambria Math" w:eastAsiaTheme="minorEastAsia" w:hAnsi="Cambria Math"/>
              </w:rPr>
              <m:t>σ</m:t>
            </m:r>
          </m:e>
          <m:sub>
            <m:r>
              <m:rPr>
                <m:nor/>
              </m:rPr>
              <w:rPr>
                <w:rFonts w:ascii="Cambria Math" w:eastAsiaTheme="minorEastAsia" w:hAnsi="Cambria Math"/>
                <w:iCs/>
              </w:rPr>
              <m:t>EW</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iCs/>
              </w:rPr>
            </m:ctrlPr>
          </m:sSubSupPr>
          <m:e>
            <m:r>
              <w:rPr>
                <w:rFonts w:ascii="Cambria Math" w:eastAsiaTheme="minorEastAsia" w:hAnsi="Cambria Math"/>
              </w:rPr>
              <m:t>σ</m:t>
            </m:r>
          </m:e>
          <m:sub>
            <m:r>
              <m:rPr>
                <m:nor/>
              </m:rPr>
              <w:rPr>
                <w:rFonts w:ascii="Cambria Math" w:eastAsiaTheme="minorEastAsia" w:hAnsi="Cambria Math"/>
                <w:iCs/>
              </w:rPr>
              <m:t>OPT</m:t>
            </m:r>
          </m:sub>
          <m:sup>
            <m:r>
              <m:rPr>
                <m:sty m:val="p"/>
              </m:rPr>
              <w:rPr>
                <w:rFonts w:ascii="Cambria Math" w:eastAsiaTheme="minorEastAsia" w:hAnsi="Cambria Math"/>
              </w:rPr>
              <m:t>2</m:t>
            </m:r>
          </m:sup>
        </m:sSubSup>
      </m:oMath>
      <w:r w:rsidRPr="00464065">
        <w:rPr>
          <w:rFonts w:ascii="Cambria Math" w:eastAsiaTheme="minorEastAsia" w:hAnsi="Cambria Math"/>
          <w:iCs/>
        </w:rPr>
        <w:t xml:space="preserve"> = [1.5011, 1.8733]</w:t>
      </w:r>
    </w:p>
    <w:p w14:paraId="4181F9D7" w14:textId="77777777" w:rsidR="00395732" w:rsidRPr="00603272" w:rsidRDefault="00395732" w:rsidP="00C407EE">
      <w:pPr>
        <w:rPr>
          <w:rFonts w:eastAsiaTheme="minorEastAsia"/>
        </w:rPr>
      </w:pPr>
    </w:p>
    <w:p w14:paraId="13C9E7CD" w14:textId="4589BFF9" w:rsidR="00B67194" w:rsidRDefault="00E50609" w:rsidP="00970FD0">
      <w:r w:rsidRPr="00E50609">
        <w:rPr>
          <w:b/>
          <w:bCs/>
        </w:rPr>
        <w:t xml:space="preserve">Significance </w:t>
      </w:r>
      <w:r>
        <w:rPr>
          <w:b/>
          <w:bCs/>
        </w:rPr>
        <w:t>l</w:t>
      </w:r>
      <w:r w:rsidRPr="00E50609">
        <w:rPr>
          <w:b/>
          <w:bCs/>
        </w:rPr>
        <w:t>evel</w:t>
      </w:r>
      <w:r>
        <w:t xml:space="preserve">: </w:t>
      </w:r>
    </w:p>
    <w:p w14:paraId="0446B690" w14:textId="3966D5C6" w:rsidR="00E50609" w:rsidRPr="00E50609" w:rsidRDefault="00E50609" w:rsidP="00E50609">
      <w:pPr>
        <w:rPr>
          <w:rFonts w:eastAsiaTheme="minorEastAsia"/>
        </w:rPr>
      </w:pPr>
      <w:r w:rsidRPr="00E50609">
        <w:rPr>
          <w:rFonts w:eastAsiaTheme="minorEastAsia"/>
        </w:rPr>
        <w:t>We use the standard significance level</w:t>
      </w:r>
      <w:r>
        <w:rPr>
          <w:rFonts w:eastAsiaTheme="minorEastAsia"/>
        </w:rPr>
        <w:t xml:space="preserve"> of 5%</w:t>
      </w:r>
      <w:r w:rsidRPr="00E50609">
        <w:rPr>
          <w:rFonts w:eastAsiaTheme="minorEastAsia"/>
        </w:rPr>
        <w:t>:</w:t>
      </w:r>
    </w:p>
    <w:p w14:paraId="0C2B7C20" w14:textId="56448617" w:rsidR="00E50609" w:rsidRDefault="00E50609" w:rsidP="00E50609">
      <w:pPr>
        <w:rPr>
          <w:rFonts w:eastAsiaTheme="minorEastAsia"/>
        </w:rPr>
      </w:pPr>
      <m:oMathPara>
        <m:oMath>
          <m:r>
            <w:rPr>
              <w:rFonts w:ascii="Cambria Math" w:eastAsiaTheme="minorEastAsia" w:hAnsi="Cambria Math"/>
            </w:rPr>
            <m:t>α=0.05</m:t>
          </m:r>
          <m:r>
            <m:rPr>
              <m:sty m:val="p"/>
            </m:rPr>
            <w:rPr>
              <w:rFonts w:eastAsiaTheme="minorEastAsia"/>
            </w:rPr>
            <w:br/>
          </m:r>
        </m:oMath>
      </m:oMathPara>
      <w:r w:rsidR="00E07764" w:rsidRPr="00E07764">
        <w:rPr>
          <w:rFonts w:eastAsiaTheme="minorEastAsia"/>
          <w:b/>
          <w:bCs/>
        </w:rPr>
        <w:t>Decision rule</w:t>
      </w:r>
      <w:r w:rsidR="00E07764">
        <w:rPr>
          <w:rFonts w:eastAsiaTheme="minorEastAsia"/>
        </w:rPr>
        <w:t>:</w:t>
      </w:r>
    </w:p>
    <w:p w14:paraId="645E2F24" w14:textId="02F2899C" w:rsidR="002B2853" w:rsidRDefault="002B2853" w:rsidP="00E07764">
      <w:r>
        <w:t xml:space="preserve">Reject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oMath>
      <w:r>
        <w:t>if:</w:t>
      </w:r>
    </w:p>
    <w:p w14:paraId="357A450B" w14:textId="357A9A10" w:rsidR="002B2853" w:rsidRPr="002B2853" w:rsidRDefault="002B2853" w:rsidP="002B2853">
      <w:pPr>
        <w:pStyle w:val="ListParagraph"/>
        <w:numPr>
          <w:ilvl w:val="0"/>
          <w:numId w:val="20"/>
        </w:numPr>
      </w:pPr>
      <w:r w:rsidRPr="00932036">
        <w:rPr>
          <w:color w:val="000000" w:themeColor="text1"/>
        </w:rPr>
        <w:t xml:space="preserve">the F-statistic falls in the rejection region of the F-distribution, </w:t>
      </w:r>
      <w:r w:rsidRPr="002B2853">
        <w:rPr>
          <w:b/>
          <w:bCs/>
        </w:rPr>
        <w:t>or</w:t>
      </w:r>
    </w:p>
    <w:p w14:paraId="66DE0DD1" w14:textId="18F02261" w:rsidR="002B2853" w:rsidRDefault="002B2853" w:rsidP="00E07764">
      <w:pPr>
        <w:pStyle w:val="ListParagraph"/>
        <w:numPr>
          <w:ilvl w:val="0"/>
          <w:numId w:val="20"/>
        </w:numPr>
      </w:pPr>
      <m:oMath>
        <m:r>
          <w:rPr>
            <w:rFonts w:ascii="Cambria Math" w:hAnsi="Cambria Math"/>
          </w:rPr>
          <m:t>p</m:t>
        </m:r>
        <m:r>
          <m:rPr>
            <m:nor/>
          </m:rPr>
          <m:t>-value</m:t>
        </m:r>
        <m:r>
          <w:rPr>
            <w:rFonts w:ascii="Cambria Math" w:hAnsi="Cambria Math"/>
          </w:rPr>
          <m:t>&lt;0.05</m:t>
        </m:r>
      </m:oMath>
    </w:p>
    <w:p w14:paraId="237DBD33" w14:textId="77777777" w:rsidR="00375BE9" w:rsidRDefault="00375BE9" w:rsidP="00E50609">
      <w:pPr>
        <w:rPr>
          <w:rFonts w:eastAsiaTheme="minorEastAsia"/>
          <w:b/>
          <w:bCs/>
        </w:rPr>
      </w:pPr>
    </w:p>
    <w:p w14:paraId="2933D421" w14:textId="46F44166" w:rsidR="00E07764" w:rsidRDefault="009F2CBC" w:rsidP="00E50609">
      <w:pPr>
        <w:rPr>
          <w:rFonts w:eastAsiaTheme="minorEastAsia"/>
        </w:rPr>
      </w:pPr>
      <w:r w:rsidRPr="009F2CBC">
        <w:rPr>
          <w:rFonts w:eastAsiaTheme="minorEastAsia"/>
          <w:b/>
          <w:bCs/>
        </w:rPr>
        <w:lastRenderedPageBreak/>
        <w:t>Statistical Decision</w:t>
      </w:r>
      <w:r>
        <w:rPr>
          <w:rFonts w:eastAsiaTheme="minorEastAsia"/>
        </w:rPr>
        <w:t>:</w:t>
      </w:r>
    </w:p>
    <w:p w14:paraId="7A49A626" w14:textId="14B41034" w:rsidR="009F2CBC" w:rsidRDefault="000D3503" w:rsidP="00E50609">
      <w:r w:rsidRPr="000D3503">
        <w:t xml:space="preserve">As the p-value is </w:t>
      </w:r>
      <w:r>
        <w:t xml:space="preserve">approximately </w:t>
      </w:r>
      <w:r w:rsidRPr="000D3503">
        <w:t>0</w:t>
      </w:r>
      <w:r>
        <w:t xml:space="preserve"> and &lt; </w:t>
      </w:r>
      <w:r w:rsidRPr="000D3503">
        <w:t xml:space="preserve">0.05, we </w:t>
      </w:r>
      <w:r w:rsidRPr="00395732">
        <w:rPr>
          <w:b/>
          <w:bCs/>
        </w:rPr>
        <w:t>r</w:t>
      </w:r>
      <w:r w:rsidR="009F2CBC" w:rsidRPr="00395732">
        <w:rPr>
          <w:b/>
          <w:bCs/>
        </w:rPr>
        <w:t>eject H</w:t>
      </w:r>
      <w:r w:rsidR="009F2CBC" w:rsidRPr="00395732">
        <w:rPr>
          <w:b/>
          <w:bCs/>
          <w:vertAlign w:val="subscript"/>
        </w:rPr>
        <w:t>0</w:t>
      </w:r>
      <w:r w:rsidR="009F2CBC" w:rsidRPr="000D3503">
        <w:t xml:space="preserve"> </w:t>
      </w:r>
      <w:r w:rsidRPr="000D3503">
        <w:t>at 5% significance level</w:t>
      </w:r>
      <w:r w:rsidR="009F2CBC" w:rsidRPr="000D3503">
        <w:t xml:space="preserve">. </w:t>
      </w:r>
      <w:r>
        <w:t xml:space="preserve">The data provides strong evidence that the two portfolios do </w:t>
      </w:r>
      <w:r w:rsidRPr="000D3503">
        <w:rPr>
          <w:rStyle w:val="Strong"/>
          <w:b w:val="0"/>
          <w:bCs w:val="0"/>
        </w:rPr>
        <w:t>NOT</w:t>
      </w:r>
      <w:r>
        <w:t xml:space="preserve"> have equal variances.</w:t>
      </w:r>
    </w:p>
    <w:p w14:paraId="1A41308E" w14:textId="77777777" w:rsidR="00395732" w:rsidRPr="00395732" w:rsidRDefault="00395732" w:rsidP="00395732">
      <w:r>
        <w:t xml:space="preserve">Additionally, since </w:t>
      </w:r>
      <w:r w:rsidRPr="00395732">
        <w:t>the right-tail p-value is extremely small and the left-tail p-value is ~1, the evidence points strongly toward:</w:t>
      </w:r>
    </w:p>
    <w:p w14:paraId="51F081C4" w14:textId="6F55EDDB" w:rsidR="00395732" w:rsidRPr="00395732" w:rsidRDefault="00000000" w:rsidP="00395732">
      <m:oMathPara>
        <m:oMath>
          <m:sSubSup>
            <m:sSubSupPr>
              <m:ctrlPr>
                <w:rPr>
                  <w:rFonts w:ascii="Cambria Math" w:hAnsi="Cambria Math"/>
                </w:rPr>
              </m:ctrlPr>
            </m:sSubSupPr>
            <m:e>
              <m:r>
                <w:rPr>
                  <w:rFonts w:ascii="Cambria Math" w:hAnsi="Cambria Math"/>
                </w:rPr>
                <m:t>σ</m:t>
              </m:r>
            </m:e>
            <m:sub>
              <m:r>
                <m:rPr>
                  <m:nor/>
                </m:rPr>
                <m:t>EW</m:t>
              </m:r>
            </m:sub>
            <m:sup>
              <m:r>
                <w:rPr>
                  <w:rFonts w:ascii="Cambria Math" w:hAnsi="Cambria Math"/>
                </w:rPr>
                <m:t>2</m:t>
              </m:r>
            </m:sup>
          </m:sSubSup>
          <m:r>
            <w:rPr>
              <w:rFonts w:ascii="Cambria Math" w:hAnsi="Cambria Math"/>
            </w:rPr>
            <m:t>&gt;</m:t>
          </m:r>
          <m:sSubSup>
            <m:sSubSupPr>
              <m:ctrlPr>
                <w:rPr>
                  <w:rFonts w:ascii="Cambria Math" w:hAnsi="Cambria Math"/>
                </w:rPr>
              </m:ctrlPr>
            </m:sSubSupPr>
            <m:e>
              <m:r>
                <w:rPr>
                  <w:rFonts w:ascii="Cambria Math" w:hAnsi="Cambria Math"/>
                </w:rPr>
                <m:t>σ</m:t>
              </m:r>
            </m:e>
            <m:sub>
              <m:r>
                <m:rPr>
                  <m:nor/>
                </m:rPr>
                <m:t>OPT</m:t>
              </m:r>
            </m:sub>
            <m:sup>
              <m:r>
                <w:rPr>
                  <w:rFonts w:ascii="Cambria Math" w:hAnsi="Cambria Math"/>
                </w:rPr>
                <m:t>2</m:t>
              </m:r>
            </m:sup>
          </m:sSubSup>
          <m:r>
            <m:rPr>
              <m:sty m:val="p"/>
            </m:rPr>
            <w:rPr>
              <w:rFonts w:ascii="Cambria Math" w:hAnsi="Cambria Math"/>
            </w:rPr>
            <m:t>.</m:t>
          </m:r>
        </m:oMath>
      </m:oMathPara>
    </w:p>
    <w:p w14:paraId="11E623AA" w14:textId="6F7B7C21" w:rsidR="00395732" w:rsidRPr="00AB4C0A" w:rsidRDefault="00395732" w:rsidP="00E50609">
      <w:r w:rsidRPr="00395732">
        <w:t xml:space="preserve">This is consistent with the confidence interval </w:t>
      </w:r>
      <w:r w:rsidRPr="00DE58BE">
        <w:rPr>
          <w:rFonts w:eastAsiaTheme="minorEastAsia"/>
        </w:rPr>
        <w:t>[1.5011,</w:t>
      </w:r>
      <w:r w:rsidRPr="00DE58BE">
        <w:rPr>
          <w:rFonts w:ascii="Arial" w:eastAsiaTheme="minorEastAsia" w:hAnsi="Arial" w:cs="Arial"/>
        </w:rPr>
        <w:t> </w:t>
      </w:r>
      <w:r w:rsidRPr="00DE58BE">
        <w:rPr>
          <w:rFonts w:eastAsiaTheme="minorEastAsia"/>
        </w:rPr>
        <w:t>1.8733]</w:t>
      </w:r>
      <w:r>
        <w:rPr>
          <w:rFonts w:eastAsiaTheme="minorEastAsia"/>
        </w:rPr>
        <w:t xml:space="preserve"> </w:t>
      </w:r>
      <w:r w:rsidRPr="00395732">
        <w:t>which lies fully above 1.</w:t>
      </w:r>
    </w:p>
    <w:p w14:paraId="2D1F4B6B" w14:textId="4E92CBBD" w:rsidR="009F2CBC" w:rsidRDefault="009F2CBC" w:rsidP="00E50609">
      <w:r w:rsidRPr="009F2CBC">
        <w:rPr>
          <w:b/>
          <w:bCs/>
        </w:rPr>
        <w:t>Economic/Investment Decision</w:t>
      </w:r>
      <w:r>
        <w:t>:</w:t>
      </w:r>
    </w:p>
    <w:p w14:paraId="301F5EB5" w14:textId="6E98795E" w:rsidR="009F2CBC" w:rsidRPr="001C343E" w:rsidRDefault="00AB4C0A" w:rsidP="009F2CBC">
      <w:pPr>
        <w:rPr>
          <w:rFonts w:eastAsiaTheme="minorEastAsia"/>
          <w:color w:val="EE0000"/>
        </w:rPr>
      </w:pPr>
      <w:r>
        <w:t xml:space="preserve">The equal-weighted portfolio exhibits </w:t>
      </w:r>
      <w:r w:rsidRPr="00AB4C0A">
        <w:rPr>
          <w:rStyle w:val="Strong"/>
          <w:b w:val="0"/>
          <w:bCs w:val="0"/>
        </w:rPr>
        <w:t>higher daily volatility</w:t>
      </w:r>
      <w:r w:rsidRPr="00AB4C0A">
        <w:t xml:space="preserve"> than the optimal portfolio, </w:t>
      </w:r>
      <w:r>
        <w:t xml:space="preserve">based on the confidence interval for the variance ratio. </w:t>
      </w:r>
      <w:r w:rsidRPr="00AB4C0A">
        <w:t xml:space="preserve">This means the optimal portfolio takes less risk and is more stable. This difference in volatility is </w:t>
      </w:r>
      <w:r>
        <w:t>economically significant and will influence portfolio selection trade-offs.</w:t>
      </w:r>
      <w:r w:rsidR="00932036">
        <w:t xml:space="preserve"> </w:t>
      </w:r>
    </w:p>
    <w:p w14:paraId="68283F29" w14:textId="599A9530" w:rsidR="001C343E" w:rsidRDefault="001C343E" w:rsidP="001C343E">
      <w:pPr>
        <w:pStyle w:val="Heading2"/>
      </w:pPr>
      <w:bookmarkStart w:id="9" w:name="_Toc214932636"/>
      <w:r>
        <w:t>Comparison of mean</w:t>
      </w:r>
      <w:r w:rsidR="00037B0B">
        <w:t xml:space="preserve"> of daily returns</w:t>
      </w:r>
      <w:bookmarkEnd w:id="9"/>
    </w:p>
    <w:p w14:paraId="6B0BF9DC" w14:textId="77777777" w:rsidR="001C343E" w:rsidRDefault="001C343E" w:rsidP="001C343E">
      <w:r w:rsidRPr="00E50609">
        <w:rPr>
          <w:b/>
          <w:bCs/>
        </w:rPr>
        <w:t>Hypotheses</w:t>
      </w:r>
      <w:r>
        <w:t>:</w:t>
      </w:r>
    </w:p>
    <w:p w14:paraId="457D5153" w14:textId="6CC21222" w:rsidR="001C343E" w:rsidRPr="000A7269" w:rsidRDefault="00000000" w:rsidP="001C343E">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EW</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Opt</m:t>
              </m:r>
            </m:sub>
          </m:sSub>
          <m:r>
            <w:rPr>
              <w:rFonts w:ascii="Cambria Math" w:hAnsi="Cambria Math"/>
            </w:rPr>
            <m:t>​</m:t>
          </m:r>
        </m:oMath>
      </m:oMathPara>
    </w:p>
    <w:p w14:paraId="73A5C646" w14:textId="3887A393" w:rsidR="001C343E" w:rsidRPr="000A7269" w:rsidRDefault="00000000" w:rsidP="001C343E">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EW</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Opt</m:t>
              </m:r>
            </m:sub>
          </m:sSub>
        </m:oMath>
      </m:oMathPara>
    </w:p>
    <w:p w14:paraId="39B46590" w14:textId="45BBE2AE" w:rsidR="001C343E" w:rsidRDefault="001C343E" w:rsidP="001C343E">
      <w:r>
        <w:rPr>
          <w:rFonts w:eastAsiaTheme="minorEastAsia"/>
        </w:rPr>
        <w:t xml:space="preserve">where </w:t>
      </w:r>
      <m:oMath>
        <m:sSub>
          <m:sSubPr>
            <m:ctrlPr>
              <w:rPr>
                <w:rFonts w:ascii="Cambria Math" w:hAnsi="Cambria Math"/>
                <w:i/>
              </w:rPr>
            </m:ctrlPr>
          </m:sSubPr>
          <m:e>
            <m:r>
              <w:rPr>
                <w:rFonts w:ascii="Cambria Math" w:hAnsi="Cambria Math"/>
              </w:rPr>
              <m:t>μ</m:t>
            </m:r>
          </m:e>
          <m:sub>
            <m:r>
              <w:rPr>
                <w:rFonts w:ascii="Cambria Math" w:hAnsi="Cambria Math"/>
              </w:rPr>
              <m:t>EW</m:t>
            </m:r>
          </m:sub>
        </m:sSub>
        <m:r>
          <w:rPr>
            <w:rFonts w:ascii="Cambria Math" w:hAnsi="Cambria Math"/>
          </w:rPr>
          <m:t xml:space="preserve"> </m:t>
        </m:r>
      </m:oMath>
      <w:r>
        <w:t xml:space="preserve">and </w:t>
      </w:r>
      <m:oMath>
        <m:sSub>
          <m:sSubPr>
            <m:ctrlPr>
              <w:rPr>
                <w:rFonts w:ascii="Cambria Math" w:hAnsi="Cambria Math"/>
                <w:i/>
              </w:rPr>
            </m:ctrlPr>
          </m:sSubPr>
          <m:e>
            <m:r>
              <w:rPr>
                <w:rFonts w:ascii="Cambria Math" w:hAnsi="Cambria Math"/>
              </w:rPr>
              <m:t>μ</m:t>
            </m:r>
          </m:e>
          <m:sub>
            <m:r>
              <w:rPr>
                <w:rFonts w:ascii="Cambria Math" w:hAnsi="Cambria Math"/>
              </w:rPr>
              <m:t>Opt</m:t>
            </m:r>
          </m:sub>
        </m:sSub>
        <m:r>
          <w:rPr>
            <w:rFonts w:ascii="Cambria Math" w:hAnsi="Cambria Math"/>
          </w:rPr>
          <m:t xml:space="preserve"> </m:t>
        </m:r>
      </m:oMath>
      <w:r>
        <w:t>are the mean daily returns of the two portfolios.</w:t>
      </w:r>
    </w:p>
    <w:p w14:paraId="58A92226" w14:textId="77777777" w:rsidR="001C343E" w:rsidRDefault="001C343E" w:rsidP="001C343E">
      <w:r w:rsidRPr="00E50609">
        <w:rPr>
          <w:b/>
          <w:bCs/>
        </w:rPr>
        <w:t>Test statistic and probability distribution</w:t>
      </w:r>
      <w:r>
        <w:t>:</w:t>
      </w:r>
    </w:p>
    <w:p w14:paraId="1CF95BA8" w14:textId="49B546C2" w:rsidR="001C343E" w:rsidRDefault="00A0310C" w:rsidP="001C343E">
      <w:r>
        <w:t>A two-sample t-test is used to compare the average daily returns of the two portfolios.</w:t>
      </w:r>
      <w:r w:rsidR="00524E97">
        <w:t xml:space="preserve"> </w:t>
      </w:r>
      <w:r>
        <w:t xml:space="preserve">Since the variance test showed unequal variances, we use the </w:t>
      </w:r>
      <w:r w:rsidRPr="00A0310C">
        <w:rPr>
          <w:rStyle w:val="Strong"/>
          <w:b w:val="0"/>
          <w:bCs w:val="0"/>
        </w:rPr>
        <w:t>Welch t-test</w:t>
      </w:r>
      <w:r>
        <w:t xml:space="preserve"> (unequal variances t-test).</w:t>
      </w:r>
    </w:p>
    <w:p w14:paraId="6400A10C" w14:textId="7487E8C2" w:rsidR="001C343E" w:rsidRDefault="001C343E" w:rsidP="001C343E">
      <w:r>
        <w:t>Test statistic calculation:</w:t>
      </w:r>
    </w:p>
    <w:p w14:paraId="5F430749" w14:textId="4FD556AA" w:rsidR="0048038C" w:rsidRDefault="0048038C" w:rsidP="0048038C">
      <w:pPr>
        <w:rPr>
          <w:rFonts w:eastAsiaTheme="minorEastAsia"/>
        </w:rPr>
      </w:pPr>
      <w:r w:rsidRPr="00603272">
        <w:rPr>
          <w:rFonts w:eastAsiaTheme="minorEastAsia"/>
        </w:rPr>
        <w:t xml:space="preserve">We </w:t>
      </w:r>
      <w:r>
        <w:rPr>
          <w:rFonts w:eastAsiaTheme="minorEastAsia"/>
        </w:rPr>
        <w:t>use Python and obtain the following values:</w:t>
      </w:r>
      <w:r w:rsidRPr="00603272">
        <w:rPr>
          <w:rFonts w:ascii="Cambria Math" w:hAnsi="Cambria Math"/>
          <w:i/>
        </w:rPr>
        <w:br/>
      </w:r>
      <m:oMathPara>
        <m:oMath>
          <m:r>
            <w:rPr>
              <w:rFonts w:ascii="Cambria Math" w:hAnsi="Cambria Math"/>
            </w:rPr>
            <m:t>t</m:t>
          </m:r>
          <m:r>
            <m:rPr>
              <m:nor/>
            </m:rPr>
            <m:t>-</m:t>
          </m:r>
          <m:r>
            <m:rPr>
              <m:sty m:val="p"/>
            </m:rPr>
            <w:rPr>
              <w:rFonts w:ascii="Cambria Math" w:hAnsi="Cambria Math"/>
            </w:rPr>
            <m:t>statistic</m:t>
          </m:r>
          <m:r>
            <w:rPr>
              <w:rFonts w:ascii="Cambria Math" w:hAnsi="Cambria Math"/>
            </w:rPr>
            <m:t>=</m:t>
          </m:r>
          <m:r>
            <m:rPr>
              <m:sty m:val="p"/>
            </m:rPr>
            <w:rPr>
              <w:rStyle w:val="mord"/>
              <w:rFonts w:ascii="Cambria Math" w:hAnsi="Cambria Math"/>
            </w:rPr>
            <m:t>-0.8444</m:t>
          </m:r>
        </m:oMath>
      </m:oMathPara>
    </w:p>
    <w:p w14:paraId="072F2E84" w14:textId="42883E66" w:rsidR="001C343E" w:rsidRPr="0048038C" w:rsidRDefault="0048038C" w:rsidP="001C343E">
      <w:pPr>
        <w:rPr>
          <w:rFonts w:eastAsiaTheme="minorEastAsia"/>
        </w:rPr>
      </w:pPr>
      <m:oMathPara>
        <m:oMath>
          <m:r>
            <w:rPr>
              <w:rFonts w:ascii="Cambria Math" w:hAnsi="Cambria Math"/>
            </w:rPr>
            <m:t>p</m:t>
          </m:r>
          <m:r>
            <m:rPr>
              <m:nor/>
            </m:rPr>
            <m:t>-value</m:t>
          </m:r>
          <m:r>
            <w:rPr>
              <w:rFonts w:ascii="Cambria Math" w:hAnsi="Cambria Math"/>
            </w:rPr>
            <m:t>=</m:t>
          </m:r>
          <m:r>
            <m:rPr>
              <m:sty m:val="p"/>
            </m:rPr>
            <w:rPr>
              <w:rFonts w:ascii="Cambria Math" w:hAnsi="Cambria Math"/>
            </w:rPr>
            <m:t>0.3985</m:t>
          </m:r>
        </m:oMath>
      </m:oMathPara>
    </w:p>
    <w:p w14:paraId="381839AC" w14:textId="77777777" w:rsidR="001C343E" w:rsidRDefault="001C343E" w:rsidP="001C343E">
      <w:r w:rsidRPr="00E50609">
        <w:rPr>
          <w:b/>
          <w:bCs/>
        </w:rPr>
        <w:t xml:space="preserve">Significance </w:t>
      </w:r>
      <w:r>
        <w:rPr>
          <w:b/>
          <w:bCs/>
        </w:rPr>
        <w:t>l</w:t>
      </w:r>
      <w:r w:rsidRPr="00E50609">
        <w:rPr>
          <w:b/>
          <w:bCs/>
        </w:rPr>
        <w:t>evel</w:t>
      </w:r>
      <w:r>
        <w:t xml:space="preserve">: </w:t>
      </w:r>
    </w:p>
    <w:p w14:paraId="14694C69" w14:textId="77777777" w:rsidR="001C343E" w:rsidRPr="00E50609" w:rsidRDefault="001C343E" w:rsidP="001C343E">
      <w:pPr>
        <w:rPr>
          <w:rFonts w:eastAsiaTheme="minorEastAsia"/>
        </w:rPr>
      </w:pPr>
      <w:r w:rsidRPr="00E50609">
        <w:rPr>
          <w:rFonts w:eastAsiaTheme="minorEastAsia"/>
        </w:rPr>
        <w:t>We use the standard significance level</w:t>
      </w:r>
      <w:r>
        <w:rPr>
          <w:rFonts w:eastAsiaTheme="minorEastAsia"/>
        </w:rPr>
        <w:t xml:space="preserve"> of 5%</w:t>
      </w:r>
      <w:r w:rsidRPr="00E50609">
        <w:rPr>
          <w:rFonts w:eastAsiaTheme="minorEastAsia"/>
        </w:rPr>
        <w:t>:</w:t>
      </w:r>
    </w:p>
    <w:p w14:paraId="26A51237" w14:textId="77777777" w:rsidR="001C343E" w:rsidRDefault="001C343E" w:rsidP="001C343E">
      <w:pPr>
        <w:rPr>
          <w:rFonts w:eastAsiaTheme="minorEastAsia"/>
        </w:rPr>
      </w:pPr>
      <m:oMathPara>
        <m:oMath>
          <m:r>
            <w:rPr>
              <w:rFonts w:ascii="Cambria Math" w:eastAsiaTheme="minorEastAsia" w:hAnsi="Cambria Math"/>
            </w:rPr>
            <w:lastRenderedPageBreak/>
            <m:t>α=0.05</m:t>
          </m:r>
          <m:r>
            <m:rPr>
              <m:sty m:val="p"/>
            </m:rPr>
            <w:rPr>
              <w:rFonts w:eastAsiaTheme="minorEastAsia"/>
            </w:rPr>
            <w:br/>
          </m:r>
        </m:oMath>
      </m:oMathPara>
      <w:r w:rsidRPr="00E07764">
        <w:rPr>
          <w:rFonts w:eastAsiaTheme="minorEastAsia"/>
          <w:b/>
          <w:bCs/>
        </w:rPr>
        <w:t>Decision rule</w:t>
      </w:r>
      <w:r>
        <w:rPr>
          <w:rFonts w:eastAsiaTheme="minorEastAsia"/>
        </w:rPr>
        <w:t>:</w:t>
      </w:r>
    </w:p>
    <w:p w14:paraId="2D287EC3" w14:textId="3C733143" w:rsidR="000709D4" w:rsidRPr="000709D4" w:rsidRDefault="000709D4" w:rsidP="000709D4">
      <w:pPr>
        <w:rPr>
          <w:rFonts w:eastAsiaTheme="minorEastAsia"/>
        </w:rPr>
      </w:pPr>
      <w:r w:rsidRPr="000709D4">
        <w:rPr>
          <w:rFonts w:eastAsiaTheme="minorEastAsia"/>
        </w:rPr>
        <w:t xml:space="preserve">Reject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0</m:t>
            </m:r>
          </m:sub>
        </m:sSub>
      </m:oMath>
      <w:r w:rsidRPr="000709D4">
        <w:rPr>
          <w:rFonts w:eastAsiaTheme="minorEastAsia"/>
        </w:rPr>
        <w:t>if:</w:t>
      </w:r>
    </w:p>
    <w:p w14:paraId="0593C7E6" w14:textId="77777777" w:rsidR="000709D4" w:rsidRPr="000709D4" w:rsidRDefault="000709D4" w:rsidP="000709D4">
      <w:pPr>
        <w:numPr>
          <w:ilvl w:val="0"/>
          <w:numId w:val="22"/>
        </w:numPr>
        <w:rPr>
          <w:rFonts w:eastAsiaTheme="minorEastAsia"/>
        </w:rPr>
      </w:pPr>
      <w:r w:rsidRPr="00932036">
        <w:rPr>
          <w:rFonts w:eastAsiaTheme="minorEastAsia"/>
          <w:color w:val="000000" w:themeColor="text1"/>
        </w:rPr>
        <w:t xml:space="preserve">the t-statistic falls in the rejection region of the t-distribution, </w:t>
      </w:r>
      <w:r w:rsidRPr="000709D4">
        <w:rPr>
          <w:rFonts w:eastAsiaTheme="minorEastAsia"/>
        </w:rPr>
        <w:t>or</w:t>
      </w:r>
    </w:p>
    <w:p w14:paraId="116879DB" w14:textId="77777777" w:rsidR="000709D4" w:rsidRPr="000709D4" w:rsidRDefault="000709D4" w:rsidP="000709D4">
      <w:pPr>
        <w:numPr>
          <w:ilvl w:val="0"/>
          <w:numId w:val="22"/>
        </w:numPr>
        <w:rPr>
          <w:rFonts w:eastAsiaTheme="minorEastAsia"/>
        </w:rPr>
      </w:pPr>
      <w:r w:rsidRPr="000709D4">
        <w:rPr>
          <w:rFonts w:eastAsiaTheme="minorEastAsia"/>
        </w:rPr>
        <w:t>the p-value is less than 0.05.</w:t>
      </w:r>
    </w:p>
    <w:p w14:paraId="32C33F8D" w14:textId="77777777" w:rsidR="001C343E" w:rsidRDefault="001C343E" w:rsidP="001C343E">
      <w:pPr>
        <w:rPr>
          <w:rFonts w:eastAsiaTheme="minorEastAsia"/>
        </w:rPr>
      </w:pPr>
      <w:r w:rsidRPr="009F2CBC">
        <w:rPr>
          <w:rFonts w:eastAsiaTheme="minorEastAsia"/>
          <w:b/>
          <w:bCs/>
        </w:rPr>
        <w:t>Statistical Decision</w:t>
      </w:r>
      <w:r>
        <w:rPr>
          <w:rFonts w:eastAsiaTheme="minorEastAsia"/>
        </w:rPr>
        <w:t>:</w:t>
      </w:r>
    </w:p>
    <w:p w14:paraId="181F685E" w14:textId="7D754791" w:rsidR="001C343E" w:rsidRPr="002E1115" w:rsidRDefault="002E1115" w:rsidP="002E1115">
      <w:pPr>
        <w:rPr>
          <w:rFonts w:eastAsiaTheme="minorEastAsia"/>
          <w:color w:val="000000" w:themeColor="text1"/>
        </w:rPr>
      </w:pPr>
      <w:r>
        <w:rPr>
          <w:rFonts w:eastAsiaTheme="minorEastAsia"/>
          <w:color w:val="000000" w:themeColor="text1"/>
        </w:rPr>
        <w:t xml:space="preserve">As </w:t>
      </w:r>
      <w:r w:rsidRPr="002E1115">
        <w:rPr>
          <w:rFonts w:eastAsiaTheme="minorEastAsia"/>
          <w:color w:val="000000" w:themeColor="text1"/>
        </w:rPr>
        <w:t>the p-value (0.3985) is much larger than 0.05</w:t>
      </w:r>
      <w:r>
        <w:rPr>
          <w:rFonts w:eastAsiaTheme="minorEastAsia"/>
          <w:color w:val="000000" w:themeColor="text1"/>
        </w:rPr>
        <w:t>, w</w:t>
      </w:r>
      <w:r w:rsidRPr="002E1115">
        <w:rPr>
          <w:rFonts w:eastAsiaTheme="minorEastAsia"/>
          <w:color w:val="000000" w:themeColor="text1"/>
        </w:rPr>
        <w:t xml:space="preserve">e fail to reject </w:t>
      </w:r>
      <w:r>
        <w:rPr>
          <w:rFonts w:eastAsiaTheme="minorEastAsia"/>
          <w:color w:val="000000" w:themeColor="text1"/>
        </w:rPr>
        <w:t>H</w:t>
      </w:r>
      <w:r w:rsidRPr="002E1115">
        <w:rPr>
          <w:rFonts w:eastAsiaTheme="minorEastAsia"/>
          <w:color w:val="000000" w:themeColor="text1"/>
          <w:vertAlign w:val="subscript"/>
        </w:rPr>
        <w:t>0</w:t>
      </w:r>
      <w:r>
        <w:rPr>
          <w:rFonts w:eastAsiaTheme="minorEastAsia"/>
          <w:color w:val="000000" w:themeColor="text1"/>
        </w:rPr>
        <w:t xml:space="preserve"> at 5% significance level. </w:t>
      </w:r>
      <w:r w:rsidRPr="002E1115">
        <w:rPr>
          <w:rFonts w:eastAsiaTheme="minorEastAsia"/>
          <w:color w:val="000000" w:themeColor="text1"/>
        </w:rPr>
        <w:t>There is no statistical evidence that the two portfolios have different mean daily returns.</w:t>
      </w:r>
    </w:p>
    <w:p w14:paraId="196FCB80" w14:textId="77777777" w:rsidR="00524E97" w:rsidRDefault="001C343E" w:rsidP="001C343E">
      <w:r w:rsidRPr="009F2CBC">
        <w:rPr>
          <w:b/>
          <w:bCs/>
        </w:rPr>
        <w:t>Economic/Investment Decision</w:t>
      </w:r>
      <w:r>
        <w:t>:</w:t>
      </w:r>
    </w:p>
    <w:p w14:paraId="0F98B6E3" w14:textId="0217ACB4" w:rsidR="004F3A41" w:rsidRDefault="004F3A41" w:rsidP="001C343E">
      <w:r w:rsidRPr="004F3A41">
        <w:t>The two portfolios earn similar average daily returns. Even though their volatilities are different, the mean return difference is too small to be statistically meaningful.</w:t>
      </w:r>
      <w:r>
        <w:t xml:space="preserve"> </w:t>
      </w:r>
      <w:r w:rsidRPr="004F3A41">
        <w:t>This means neither portfolio consistently outperforms the other on a day-to-day basis in terms of average return.</w:t>
      </w:r>
      <w:r w:rsidR="00932036">
        <w:t xml:space="preserve"> </w:t>
      </w:r>
      <w:r w:rsidR="00932036">
        <w:t>However, the equal-weighted portfolio delivers roughly the same daily returns while exhibiting higher volatility than the optimal portfolio, indicating that the optimal portfolio is more efficient.</w:t>
      </w:r>
    </w:p>
    <w:p w14:paraId="042F31E2" w14:textId="5D7B989E" w:rsidR="001B70B1" w:rsidRDefault="001B70B1" w:rsidP="001B70B1">
      <w:pPr>
        <w:pStyle w:val="Heading1"/>
      </w:pPr>
      <w:bookmarkStart w:id="10" w:name="_Toc214932637"/>
      <w:r>
        <w:t>5. Beta Estimation</w:t>
      </w:r>
      <w:r w:rsidR="00EF3954">
        <w:t xml:space="preserve"> </w:t>
      </w:r>
      <w:r w:rsidR="00EF3954" w:rsidRPr="00EF3954">
        <w:t>(Market Model)</w:t>
      </w:r>
      <w:bookmarkEnd w:id="10"/>
    </w:p>
    <w:p w14:paraId="2460C3F5" w14:textId="559911C6" w:rsidR="001B70B1" w:rsidRDefault="00F745F6" w:rsidP="00FC4B35">
      <w:pPr>
        <w:pStyle w:val="Heading2"/>
      </w:pPr>
      <w:bookmarkStart w:id="11" w:name="_Toc214932638"/>
      <w:r w:rsidRPr="00F745F6">
        <w:t>Regression Model</w:t>
      </w:r>
      <w:bookmarkEnd w:id="11"/>
    </w:p>
    <w:p w14:paraId="1BB23583" w14:textId="04821E80" w:rsidR="005E2374" w:rsidRDefault="005E2374" w:rsidP="00A671DA">
      <w:r w:rsidRPr="005E2374">
        <w:t>We estimate beta for each stock using the standard market model applied to daily excess returns</w:t>
      </w:r>
      <w:r>
        <w:t>:</w:t>
      </w:r>
    </w:p>
    <w:p w14:paraId="2E8C842B" w14:textId="26ABD42B" w:rsidR="00EF4BE3" w:rsidRDefault="00000000" w:rsidP="00A671DA">
      <m:oMathPara>
        <m:oMath>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rPr>
            <m:t>+</m:t>
          </m:r>
          <m:sSub>
            <m:sSubPr>
              <m:ctrlPr>
                <w:rPr>
                  <w:rFonts w:ascii="Cambria Math" w:hAnsi="Cambria Math"/>
                  <w:i/>
                </w:rPr>
              </m:ctrlPr>
            </m:sSubPr>
            <m:e>
              <m:r>
                <w:rPr>
                  <w:rFonts w:ascii="Cambria Math"/>
                </w:rPr>
                <m:t>β</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rPr>
            <m:t>+</m:t>
          </m:r>
          <m:sSub>
            <m:sSubPr>
              <m:ctrlPr>
                <w:rPr>
                  <w:rFonts w:ascii="Cambria Math" w:hAnsi="Cambria Math"/>
                  <w:i/>
                </w:rPr>
              </m:ctrlPr>
            </m:sSubPr>
            <m:e>
              <m:r>
                <w:rPr>
                  <w:rFonts w:ascii="Cambria Math"/>
                </w:rPr>
                <m:t>ϵ</m:t>
              </m:r>
            </m:e>
            <m:sub>
              <m:r>
                <w:rPr>
                  <w:rFonts w:ascii="Cambria Math"/>
                </w:rPr>
                <m:t>i</m:t>
              </m:r>
            </m:sub>
          </m:sSub>
          <m:r>
            <m:rPr>
              <m:sty m:val="p"/>
            </m:rPr>
            <w:br/>
          </m:r>
        </m:oMath>
      </m:oMathPara>
      <w:r w:rsidR="004E449E">
        <w:t xml:space="preserve">where </w:t>
      </w:r>
      <m:oMath>
        <m:sSub>
          <m:sSubPr>
            <m:ctrlPr>
              <w:rPr>
                <w:rFonts w:ascii="Cambria Math" w:hAnsi="Cambria Math"/>
                <w:i/>
                <w:iCs/>
              </w:rPr>
            </m:ctrlPr>
          </m:sSubPr>
          <m:e>
            <m:r>
              <w:rPr>
                <w:rFonts w:ascii="Cambria Math" w:hAnsi="Cambria Math"/>
              </w:rPr>
              <m:t>R</m:t>
            </m:r>
          </m:e>
          <m:sub>
            <m:r>
              <w:rPr>
                <w:rFonts w:ascii="Cambria Math" w:hAnsi="Cambria Math"/>
              </w:rPr>
              <m:t>i</m:t>
            </m:r>
          </m:sub>
        </m:sSub>
      </m:oMath>
      <w:r w:rsidR="004E449E">
        <w:rPr>
          <w:rFonts w:eastAsiaTheme="minorEastAsia"/>
          <w:iCs/>
        </w:rPr>
        <w:t xml:space="preserve"> is the daily </w:t>
      </w:r>
      <w:r w:rsidR="004E449E" w:rsidRPr="00A671DA">
        <w:t xml:space="preserve">return of stock </w:t>
      </w:r>
      <w:proofErr w:type="spellStart"/>
      <w:r w:rsidR="004E449E" w:rsidRPr="00A671DA">
        <w:rPr>
          <w:i/>
          <w:iCs/>
        </w:rPr>
        <w:t>i</w:t>
      </w:r>
      <w:proofErr w:type="spellEnd"/>
      <w:r w:rsidR="004E449E" w:rsidRPr="00A671DA">
        <w:t xml:space="preserve">, </w:t>
      </w:r>
      <m:oMath>
        <m:sSub>
          <m:sSubPr>
            <m:ctrlPr>
              <w:rPr>
                <w:rFonts w:ascii="Cambria Math" w:hAnsi="Cambria Math"/>
              </w:rPr>
            </m:ctrlPr>
          </m:sSubPr>
          <m:e>
            <m:r>
              <w:rPr>
                <w:rFonts w:ascii="Cambria Math" w:hAnsi="Cambria Math"/>
              </w:rPr>
              <m:t>R</m:t>
            </m:r>
          </m:e>
          <m:sub>
            <m:r>
              <w:rPr>
                <w:rFonts w:ascii="Cambria Math" w:hAnsi="Cambria Math"/>
              </w:rPr>
              <m:t>m</m:t>
            </m:r>
          </m:sub>
        </m:sSub>
      </m:oMath>
      <w:r w:rsidR="004E449E">
        <w:rPr>
          <w:rFonts w:eastAsiaTheme="minorEastAsia"/>
        </w:rPr>
        <w:t xml:space="preserve"> is </w:t>
      </w:r>
      <w:r w:rsidR="004E449E" w:rsidRPr="00A671DA">
        <w:t xml:space="preserve">the daily return </w:t>
      </w:r>
      <w:r w:rsidR="0079388A">
        <w:t>for the market index</w:t>
      </w:r>
      <w:r w:rsidR="004E449E" w:rsidRPr="00A671DA">
        <w:t xml:space="preserve"> S&amp;P 500</w:t>
      </w:r>
      <w:r w:rsidR="0079388A">
        <w:t>, and</w:t>
      </w:r>
      <w:r w:rsidR="004E449E" w:rsidRPr="00A671DA">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xml:space="preserve"> </m:t>
        </m:r>
      </m:oMath>
      <w:r w:rsidR="004E449E" w:rsidRPr="00A671DA">
        <w:t xml:space="preserve">is the </w:t>
      </w:r>
      <w:r w:rsidR="00011778" w:rsidRPr="00A671DA">
        <w:t>daily risk-free rate</w:t>
      </w:r>
      <w:r w:rsidR="004E449E" w:rsidRPr="00A671DA">
        <w:t>.</w:t>
      </w:r>
      <w:r w:rsidR="00011778">
        <w:t xml:space="preserve"> </w:t>
      </w:r>
      <w:r w:rsidR="00011778">
        <w:br/>
      </w:r>
      <w:r w:rsidR="00011778" w:rsidRPr="00011778">
        <w:t xml:space="preserve">Each stock is regressed individually on the same market excess return </w:t>
      </w:r>
      <w:r w:rsidR="00011778">
        <w:t>model</w:t>
      </w:r>
      <w:r w:rsidR="00011778" w:rsidRPr="00011778">
        <w:t xml:space="preserve"> over the same </w:t>
      </w:r>
      <w:r w:rsidR="00932036" w:rsidRPr="00011778">
        <w:t>period</w:t>
      </w:r>
      <w:r w:rsidR="00011778">
        <w:t xml:space="preserve">. </w:t>
      </w:r>
    </w:p>
    <w:p w14:paraId="04B4E0B1" w14:textId="47E3AD74" w:rsidR="00A671DA" w:rsidRDefault="00EF4BE3" w:rsidP="00A671DA">
      <w:r w:rsidRPr="00EF4BE3">
        <w:rPr>
          <w:b/>
          <w:bCs/>
        </w:rPr>
        <w:t>E</w:t>
      </w:r>
      <w:r w:rsidR="00011778" w:rsidRPr="00EF4BE3">
        <w:rPr>
          <w:b/>
          <w:bCs/>
        </w:rPr>
        <w:t>stimated betas</w:t>
      </w:r>
      <w:r>
        <w:t xml:space="preserve"> </w:t>
      </w:r>
      <w:r w:rsidRPr="00FC4B35">
        <w:rPr>
          <w:b/>
          <w:bCs/>
        </w:rPr>
        <w:t>for All Stocks</w:t>
      </w:r>
      <w:r w:rsidRPr="00EF4BE3">
        <w:rPr>
          <w:b/>
          <w:bCs/>
        </w:rPr>
        <w:t>:</w:t>
      </w:r>
    </w:p>
    <w:tbl>
      <w:tblPr>
        <w:tblW w:w="9360" w:type="dxa"/>
        <w:tblLook w:val="04A0" w:firstRow="1" w:lastRow="0" w:firstColumn="1" w:lastColumn="0" w:noHBand="0" w:noVBand="1"/>
      </w:tblPr>
      <w:tblGrid>
        <w:gridCol w:w="1296"/>
        <w:gridCol w:w="1296"/>
        <w:gridCol w:w="1152"/>
        <w:gridCol w:w="1296"/>
        <w:gridCol w:w="1440"/>
        <w:gridCol w:w="1872"/>
        <w:gridCol w:w="1008"/>
      </w:tblGrid>
      <w:tr w:rsidR="0046661B" w:rsidRPr="00DD4FE3" w14:paraId="730EBD07" w14:textId="77777777" w:rsidTr="00771E16">
        <w:trPr>
          <w:trHeight w:val="500"/>
        </w:trPr>
        <w:tc>
          <w:tcPr>
            <w:tcW w:w="1296" w:type="dxa"/>
            <w:tcBorders>
              <w:top w:val="single" w:sz="4" w:space="0" w:color="B8C0FF"/>
              <w:left w:val="single" w:sz="4" w:space="0" w:color="B8C0FF"/>
              <w:bottom w:val="single" w:sz="4" w:space="0" w:color="B8C0FF"/>
              <w:right w:val="single" w:sz="4" w:space="0" w:color="B8C0FF"/>
            </w:tcBorders>
            <w:shd w:val="clear" w:color="000000" w:fill="F2F2F2"/>
            <w:noWrap/>
            <w:vAlign w:val="center"/>
            <w:hideMark/>
          </w:tcPr>
          <w:p w14:paraId="3C5E5128" w14:textId="77777777" w:rsidR="00011778" w:rsidRPr="00DD4FE3" w:rsidRDefault="00011778" w:rsidP="00011778">
            <w:pPr>
              <w:spacing w:after="0" w:line="240" w:lineRule="auto"/>
              <w:jc w:val="center"/>
              <w:rPr>
                <w:rFonts w:eastAsia="Times New Roman" w:cs="Times New Roman"/>
                <w:b/>
                <w:bCs/>
                <w:color w:val="000000"/>
                <w:kern w:val="0"/>
                <w:sz w:val="20"/>
                <w:szCs w:val="20"/>
                <w14:ligatures w14:val="none"/>
              </w:rPr>
            </w:pPr>
            <w:r w:rsidRPr="00DD4FE3">
              <w:rPr>
                <w:rFonts w:eastAsia="Times New Roman" w:cs="Times New Roman"/>
                <w:b/>
                <w:bCs/>
                <w:color w:val="000000"/>
                <w:kern w:val="0"/>
                <w:sz w:val="20"/>
                <w:szCs w:val="20"/>
                <w14:ligatures w14:val="none"/>
              </w:rPr>
              <w:t>Stock</w:t>
            </w:r>
          </w:p>
        </w:tc>
        <w:tc>
          <w:tcPr>
            <w:tcW w:w="1296" w:type="dxa"/>
            <w:tcBorders>
              <w:top w:val="single" w:sz="4" w:space="0" w:color="B8C0FF"/>
              <w:left w:val="nil"/>
              <w:bottom w:val="single" w:sz="4" w:space="0" w:color="B8C0FF"/>
              <w:right w:val="single" w:sz="4" w:space="0" w:color="B8C0FF"/>
            </w:tcBorders>
            <w:shd w:val="clear" w:color="000000" w:fill="F2F2F2"/>
            <w:noWrap/>
            <w:vAlign w:val="center"/>
            <w:hideMark/>
          </w:tcPr>
          <w:p w14:paraId="095C3530" w14:textId="4E4A1C5C" w:rsidR="00011778" w:rsidRPr="00DD4FE3" w:rsidRDefault="00000000" w:rsidP="00011778">
            <w:pPr>
              <w:spacing w:after="0" w:line="240" w:lineRule="auto"/>
              <w:jc w:val="center"/>
              <w:rPr>
                <w:rFonts w:eastAsia="Times New Roman" w:cs="Times New Roman"/>
                <w:b/>
                <w:bCs/>
                <w:color w:val="000000"/>
                <w:kern w:val="0"/>
                <w:sz w:val="20"/>
                <w:szCs w:val="20"/>
                <w14:ligatures w14:val="none"/>
              </w:rPr>
            </w:pPr>
            <m:oMathPara>
              <m:oMath>
                <m:sSub>
                  <m:sSubPr>
                    <m:ctrlPr>
                      <w:rPr>
                        <w:rFonts w:ascii="Cambria Math" w:hAnsi="Cambria Math"/>
                        <w:b/>
                        <w:bCs/>
                        <w:i/>
                        <w:sz w:val="20"/>
                        <w:szCs w:val="20"/>
                      </w:rPr>
                    </m:ctrlPr>
                  </m:sSubPr>
                  <m:e>
                    <m:r>
                      <m:rPr>
                        <m:sty m:val="bi"/>
                      </m:rPr>
                      <w:rPr>
                        <w:rFonts w:ascii="Cambria Math" w:hAnsi="Cambria Math"/>
                        <w:sz w:val="20"/>
                        <w:szCs w:val="20"/>
                      </w:rPr>
                      <m:t>β</m:t>
                    </m:r>
                  </m:e>
                  <m:sub>
                    <m:r>
                      <m:rPr>
                        <m:sty m:val="bi"/>
                      </m:rPr>
                      <w:rPr>
                        <w:rFonts w:ascii="Cambria Math" w:hAnsi="Cambria Math"/>
                        <w:sz w:val="20"/>
                        <w:szCs w:val="20"/>
                      </w:rPr>
                      <m:t>0</m:t>
                    </m:r>
                  </m:sub>
                </m:sSub>
              </m:oMath>
            </m:oMathPara>
          </w:p>
        </w:tc>
        <w:tc>
          <w:tcPr>
            <w:tcW w:w="1152" w:type="dxa"/>
            <w:tcBorders>
              <w:top w:val="single" w:sz="4" w:space="0" w:color="B8C0FF"/>
              <w:left w:val="nil"/>
              <w:bottom w:val="single" w:sz="4" w:space="0" w:color="B8C0FF"/>
              <w:right w:val="single" w:sz="4" w:space="0" w:color="B8C0FF"/>
            </w:tcBorders>
            <w:shd w:val="clear" w:color="000000" w:fill="F2F2F2"/>
            <w:noWrap/>
            <w:vAlign w:val="center"/>
            <w:hideMark/>
          </w:tcPr>
          <w:p w14:paraId="31713B1F" w14:textId="21B5D3FA" w:rsidR="00011778" w:rsidRPr="00DD4FE3" w:rsidRDefault="00000000" w:rsidP="00011778">
            <w:pPr>
              <w:spacing w:after="0" w:line="240" w:lineRule="auto"/>
              <w:jc w:val="center"/>
              <w:rPr>
                <w:rFonts w:eastAsia="Times New Roman" w:cs="Times New Roman"/>
                <w:b/>
                <w:bCs/>
                <w:color w:val="000000"/>
                <w:kern w:val="0"/>
                <w:sz w:val="20"/>
                <w:szCs w:val="20"/>
                <w14:ligatures w14:val="none"/>
              </w:rPr>
            </w:pPr>
            <m:oMathPara>
              <m:oMath>
                <m:sSub>
                  <m:sSubPr>
                    <m:ctrlPr>
                      <w:rPr>
                        <w:rFonts w:ascii="Cambria Math" w:hAnsi="Cambria Math"/>
                        <w:b/>
                        <w:bCs/>
                        <w:i/>
                        <w:sz w:val="20"/>
                        <w:szCs w:val="20"/>
                      </w:rPr>
                    </m:ctrlPr>
                  </m:sSubPr>
                  <m:e>
                    <m:r>
                      <m:rPr>
                        <m:sty m:val="bi"/>
                      </m:rPr>
                      <w:rPr>
                        <w:rFonts w:ascii="Cambria Math" w:hAnsi="Cambria Math"/>
                        <w:sz w:val="20"/>
                        <w:szCs w:val="20"/>
                      </w:rPr>
                      <m:t>β</m:t>
                    </m:r>
                  </m:e>
                  <m:sub>
                    <m:r>
                      <m:rPr>
                        <m:sty m:val="bi"/>
                      </m:rPr>
                      <w:rPr>
                        <w:rFonts w:ascii="Cambria Math" w:hAnsi="Cambria Math"/>
                        <w:sz w:val="20"/>
                        <w:szCs w:val="20"/>
                      </w:rPr>
                      <m:t>1</m:t>
                    </m:r>
                  </m:sub>
                </m:sSub>
              </m:oMath>
            </m:oMathPara>
          </w:p>
        </w:tc>
        <w:tc>
          <w:tcPr>
            <w:tcW w:w="1296" w:type="dxa"/>
            <w:tcBorders>
              <w:top w:val="single" w:sz="4" w:space="0" w:color="B8C0FF"/>
              <w:left w:val="nil"/>
              <w:bottom w:val="single" w:sz="4" w:space="0" w:color="B8C0FF"/>
              <w:right w:val="single" w:sz="4" w:space="0" w:color="B8C0FF"/>
            </w:tcBorders>
            <w:shd w:val="clear" w:color="000000" w:fill="F2F2F2"/>
            <w:noWrap/>
            <w:vAlign w:val="center"/>
            <w:hideMark/>
          </w:tcPr>
          <w:p w14:paraId="5FF5CF14" w14:textId="558B414E" w:rsidR="00011778" w:rsidRPr="00DD4FE3" w:rsidRDefault="00011778" w:rsidP="00011778">
            <w:pPr>
              <w:spacing w:after="0" w:line="240" w:lineRule="auto"/>
              <w:jc w:val="center"/>
              <w:rPr>
                <w:rFonts w:eastAsia="Times New Roman" w:cs="Times New Roman"/>
                <w:b/>
                <w:bCs/>
                <w:color w:val="000000"/>
                <w:kern w:val="0"/>
                <w:sz w:val="20"/>
                <w:szCs w:val="20"/>
                <w14:ligatures w14:val="none"/>
              </w:rPr>
            </w:pPr>
            <w:r w:rsidRPr="00DD4FE3">
              <w:rPr>
                <w:rFonts w:eastAsia="Times New Roman" w:cs="Times New Roman"/>
                <w:b/>
                <w:bCs/>
                <w:color w:val="000000"/>
                <w:kern w:val="0"/>
                <w:sz w:val="20"/>
                <w:szCs w:val="20"/>
                <w14:ligatures w14:val="none"/>
              </w:rPr>
              <w:t>t-stat (</w:t>
            </w:r>
            <m:oMath>
              <m:sSub>
                <m:sSubPr>
                  <m:ctrlPr>
                    <w:rPr>
                      <w:rFonts w:ascii="Cambria Math" w:hAnsi="Cambria Math"/>
                      <w:b/>
                      <w:bCs/>
                      <w:i/>
                      <w:sz w:val="20"/>
                      <w:szCs w:val="20"/>
                    </w:rPr>
                  </m:ctrlPr>
                </m:sSubPr>
                <m:e>
                  <m:r>
                    <m:rPr>
                      <m:sty m:val="bi"/>
                    </m:rPr>
                    <w:rPr>
                      <w:rFonts w:ascii="Cambria Math" w:hAnsi="Cambria Math"/>
                      <w:sz w:val="20"/>
                      <w:szCs w:val="20"/>
                    </w:rPr>
                    <m:t>β</m:t>
                  </m:r>
                </m:e>
                <m:sub>
                  <m:r>
                    <m:rPr>
                      <m:sty m:val="bi"/>
                    </m:rPr>
                    <w:rPr>
                      <w:rFonts w:ascii="Cambria Math" w:hAnsi="Cambria Math"/>
                      <w:sz w:val="20"/>
                      <w:szCs w:val="20"/>
                    </w:rPr>
                    <m:t>1</m:t>
                  </m:r>
                </m:sub>
              </m:sSub>
            </m:oMath>
            <w:r w:rsidR="00771E16" w:rsidRPr="00DD4FE3">
              <w:rPr>
                <w:rFonts w:eastAsia="Times New Roman" w:cs="Times New Roman"/>
                <w:b/>
                <w:bCs/>
                <w:sz w:val="20"/>
                <w:szCs w:val="20"/>
              </w:rPr>
              <w:t>)</w:t>
            </w:r>
          </w:p>
        </w:tc>
        <w:tc>
          <w:tcPr>
            <w:tcW w:w="1440" w:type="dxa"/>
            <w:tcBorders>
              <w:top w:val="single" w:sz="4" w:space="0" w:color="B8C0FF"/>
              <w:left w:val="nil"/>
              <w:bottom w:val="single" w:sz="4" w:space="0" w:color="B8C0FF"/>
              <w:right w:val="single" w:sz="4" w:space="0" w:color="B8C0FF"/>
            </w:tcBorders>
            <w:shd w:val="clear" w:color="000000" w:fill="F2F2F2"/>
            <w:noWrap/>
            <w:vAlign w:val="center"/>
            <w:hideMark/>
          </w:tcPr>
          <w:p w14:paraId="741622A8" w14:textId="5EEA7F30" w:rsidR="00011778" w:rsidRPr="00DD4FE3" w:rsidRDefault="00011778" w:rsidP="00011778">
            <w:pPr>
              <w:spacing w:after="0" w:line="240" w:lineRule="auto"/>
              <w:jc w:val="center"/>
              <w:rPr>
                <w:rFonts w:eastAsia="Times New Roman" w:cs="Times New Roman"/>
                <w:b/>
                <w:bCs/>
                <w:color w:val="000000"/>
                <w:kern w:val="0"/>
                <w:sz w:val="20"/>
                <w:szCs w:val="20"/>
                <w14:ligatures w14:val="none"/>
              </w:rPr>
            </w:pPr>
            <w:r w:rsidRPr="00DD4FE3">
              <w:rPr>
                <w:rFonts w:eastAsia="Times New Roman" w:cs="Times New Roman"/>
                <w:b/>
                <w:bCs/>
                <w:color w:val="000000"/>
                <w:kern w:val="0"/>
                <w:sz w:val="20"/>
                <w:szCs w:val="20"/>
                <w14:ligatures w14:val="none"/>
              </w:rPr>
              <w:t>p-value (</w:t>
            </w:r>
            <m:oMath>
              <m:sSub>
                <m:sSubPr>
                  <m:ctrlPr>
                    <w:rPr>
                      <w:rFonts w:ascii="Cambria Math" w:hAnsi="Cambria Math"/>
                      <w:b/>
                      <w:bCs/>
                      <w:i/>
                      <w:sz w:val="20"/>
                      <w:szCs w:val="20"/>
                    </w:rPr>
                  </m:ctrlPr>
                </m:sSubPr>
                <m:e>
                  <m:r>
                    <m:rPr>
                      <m:sty m:val="bi"/>
                    </m:rPr>
                    <w:rPr>
                      <w:rFonts w:ascii="Cambria Math" w:hAnsi="Cambria Math"/>
                      <w:sz w:val="20"/>
                      <w:szCs w:val="20"/>
                    </w:rPr>
                    <m:t>β</m:t>
                  </m:r>
                </m:e>
                <m:sub>
                  <m:r>
                    <m:rPr>
                      <m:sty m:val="bi"/>
                    </m:rPr>
                    <w:rPr>
                      <w:rFonts w:ascii="Cambria Math" w:hAnsi="Cambria Math"/>
                      <w:sz w:val="20"/>
                      <w:szCs w:val="20"/>
                    </w:rPr>
                    <m:t>1</m:t>
                  </m:r>
                </m:sub>
              </m:sSub>
            </m:oMath>
            <w:r w:rsidR="00771E16" w:rsidRPr="00DD4FE3">
              <w:rPr>
                <w:rFonts w:ascii="Cambria Math" w:eastAsiaTheme="minorEastAsia" w:hAnsi="Cambria Math"/>
                <w:b/>
                <w:bCs/>
                <w:sz w:val="20"/>
                <w:szCs w:val="20"/>
              </w:rPr>
              <w:t>)</w:t>
            </w:r>
          </w:p>
        </w:tc>
        <w:tc>
          <w:tcPr>
            <w:tcW w:w="1872" w:type="dxa"/>
            <w:tcBorders>
              <w:top w:val="single" w:sz="4" w:space="0" w:color="B8C0FF"/>
              <w:left w:val="nil"/>
              <w:bottom w:val="single" w:sz="4" w:space="0" w:color="B8C0FF"/>
              <w:right w:val="single" w:sz="4" w:space="0" w:color="B8C0FF"/>
            </w:tcBorders>
            <w:shd w:val="clear" w:color="000000" w:fill="F2F2F2"/>
            <w:noWrap/>
            <w:vAlign w:val="center"/>
            <w:hideMark/>
          </w:tcPr>
          <w:p w14:paraId="103C728E" w14:textId="395A7941" w:rsidR="00011778" w:rsidRPr="00DD4FE3" w:rsidRDefault="00011778" w:rsidP="00011778">
            <w:pPr>
              <w:spacing w:after="0" w:line="240" w:lineRule="auto"/>
              <w:jc w:val="center"/>
              <w:rPr>
                <w:rFonts w:eastAsia="Times New Roman" w:cs="Times New Roman"/>
                <w:b/>
                <w:bCs/>
                <w:color w:val="000000"/>
                <w:kern w:val="0"/>
                <w:sz w:val="20"/>
                <w:szCs w:val="20"/>
                <w14:ligatures w14:val="none"/>
              </w:rPr>
            </w:pPr>
            <w:r w:rsidRPr="00DD4FE3">
              <w:rPr>
                <w:rFonts w:eastAsia="Times New Roman" w:cs="Times New Roman"/>
                <w:b/>
                <w:bCs/>
                <w:color w:val="000000"/>
                <w:kern w:val="0"/>
                <w:sz w:val="20"/>
                <w:szCs w:val="20"/>
                <w14:ligatures w14:val="none"/>
              </w:rPr>
              <w:t xml:space="preserve">95% CI for </w:t>
            </w:r>
            <m:oMath>
              <m:sSub>
                <m:sSubPr>
                  <m:ctrlPr>
                    <w:rPr>
                      <w:rFonts w:ascii="Cambria Math" w:hAnsi="Cambria Math"/>
                      <w:b/>
                      <w:bCs/>
                      <w:i/>
                      <w:sz w:val="20"/>
                      <w:szCs w:val="20"/>
                    </w:rPr>
                  </m:ctrlPr>
                </m:sSubPr>
                <m:e>
                  <m:r>
                    <m:rPr>
                      <m:sty m:val="bi"/>
                    </m:rPr>
                    <w:rPr>
                      <w:rFonts w:ascii="Cambria Math" w:hAnsi="Cambria Math"/>
                      <w:sz w:val="20"/>
                      <w:szCs w:val="20"/>
                    </w:rPr>
                    <m:t>β</m:t>
                  </m:r>
                </m:e>
                <m:sub>
                  <m:r>
                    <m:rPr>
                      <m:sty m:val="bi"/>
                    </m:rPr>
                    <w:rPr>
                      <w:rFonts w:ascii="Cambria Math" w:hAnsi="Cambria Math"/>
                      <w:sz w:val="20"/>
                      <w:szCs w:val="20"/>
                    </w:rPr>
                    <m:t>1</m:t>
                  </m:r>
                </m:sub>
              </m:sSub>
            </m:oMath>
          </w:p>
        </w:tc>
        <w:tc>
          <w:tcPr>
            <w:tcW w:w="1008" w:type="dxa"/>
            <w:tcBorders>
              <w:top w:val="single" w:sz="4" w:space="0" w:color="B8C0FF"/>
              <w:left w:val="nil"/>
              <w:bottom w:val="single" w:sz="4" w:space="0" w:color="B8C0FF"/>
              <w:right w:val="single" w:sz="4" w:space="0" w:color="B8C0FF"/>
            </w:tcBorders>
            <w:shd w:val="clear" w:color="000000" w:fill="F2F2F2"/>
            <w:noWrap/>
            <w:vAlign w:val="center"/>
            <w:hideMark/>
          </w:tcPr>
          <w:p w14:paraId="7A037E3C" w14:textId="77777777" w:rsidR="00011778" w:rsidRPr="00DD4FE3" w:rsidRDefault="00011778" w:rsidP="00011778">
            <w:pPr>
              <w:spacing w:after="0" w:line="240" w:lineRule="auto"/>
              <w:jc w:val="center"/>
              <w:rPr>
                <w:rFonts w:eastAsia="Times New Roman" w:cs="Times New Roman"/>
                <w:b/>
                <w:bCs/>
                <w:color w:val="000000"/>
                <w:kern w:val="0"/>
                <w:sz w:val="20"/>
                <w:szCs w:val="20"/>
                <w14:ligatures w14:val="none"/>
              </w:rPr>
            </w:pPr>
            <w:r w:rsidRPr="00DD4FE3">
              <w:rPr>
                <w:rFonts w:eastAsia="Times New Roman" w:cs="Times New Roman"/>
                <w:b/>
                <w:bCs/>
                <w:color w:val="000000"/>
                <w:kern w:val="0"/>
                <w:sz w:val="20"/>
                <w:szCs w:val="20"/>
                <w14:ligatures w14:val="none"/>
              </w:rPr>
              <w:t>R²</w:t>
            </w:r>
          </w:p>
        </w:tc>
      </w:tr>
      <w:tr w:rsidR="0046661B" w:rsidRPr="00DD4FE3" w14:paraId="1B28A73B"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1776B1DA"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JPM</w:t>
            </w:r>
          </w:p>
        </w:tc>
        <w:tc>
          <w:tcPr>
            <w:tcW w:w="1296" w:type="dxa"/>
            <w:tcBorders>
              <w:top w:val="nil"/>
              <w:left w:val="nil"/>
              <w:bottom w:val="single" w:sz="4" w:space="0" w:color="B8C0FF"/>
              <w:right w:val="single" w:sz="4" w:space="0" w:color="B8C0FF"/>
            </w:tcBorders>
            <w:noWrap/>
            <w:vAlign w:val="center"/>
            <w:hideMark/>
          </w:tcPr>
          <w:p w14:paraId="3F91B8D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0.000437</w:t>
            </w:r>
          </w:p>
        </w:tc>
        <w:tc>
          <w:tcPr>
            <w:tcW w:w="1152" w:type="dxa"/>
            <w:tcBorders>
              <w:top w:val="nil"/>
              <w:left w:val="nil"/>
              <w:bottom w:val="single" w:sz="4" w:space="0" w:color="B8C0FF"/>
              <w:right w:val="single" w:sz="4" w:space="0" w:color="B8C0FF"/>
            </w:tcBorders>
            <w:noWrap/>
            <w:vAlign w:val="center"/>
            <w:hideMark/>
          </w:tcPr>
          <w:p w14:paraId="546DA065"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0.9069</w:t>
            </w:r>
          </w:p>
        </w:tc>
        <w:tc>
          <w:tcPr>
            <w:tcW w:w="1296" w:type="dxa"/>
            <w:tcBorders>
              <w:top w:val="nil"/>
              <w:left w:val="nil"/>
              <w:bottom w:val="single" w:sz="4" w:space="0" w:color="B8C0FF"/>
              <w:right w:val="single" w:sz="4" w:space="0" w:color="B8C0FF"/>
            </w:tcBorders>
            <w:noWrap/>
            <w:vAlign w:val="center"/>
            <w:hideMark/>
          </w:tcPr>
          <w:p w14:paraId="0CAF1FAE"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27.39</w:t>
            </w:r>
          </w:p>
        </w:tc>
        <w:tc>
          <w:tcPr>
            <w:tcW w:w="1440" w:type="dxa"/>
            <w:tcBorders>
              <w:top w:val="nil"/>
              <w:left w:val="nil"/>
              <w:bottom w:val="single" w:sz="4" w:space="0" w:color="B8C0FF"/>
              <w:right w:val="single" w:sz="4" w:space="0" w:color="B8C0FF"/>
            </w:tcBorders>
            <w:noWrap/>
            <w:vAlign w:val="center"/>
            <w:hideMark/>
          </w:tcPr>
          <w:p w14:paraId="355F19A6"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1.08E-129</w:t>
            </w:r>
          </w:p>
        </w:tc>
        <w:tc>
          <w:tcPr>
            <w:tcW w:w="1872" w:type="dxa"/>
            <w:tcBorders>
              <w:top w:val="nil"/>
              <w:left w:val="nil"/>
              <w:bottom w:val="single" w:sz="4" w:space="0" w:color="B8C0FF"/>
              <w:right w:val="single" w:sz="4" w:space="0" w:color="B8C0FF"/>
            </w:tcBorders>
            <w:noWrap/>
            <w:vAlign w:val="center"/>
            <w:hideMark/>
          </w:tcPr>
          <w:p w14:paraId="1C67BB11"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[0.8419, 0.9718]</w:t>
            </w:r>
          </w:p>
        </w:tc>
        <w:tc>
          <w:tcPr>
            <w:tcW w:w="1008" w:type="dxa"/>
            <w:tcBorders>
              <w:top w:val="nil"/>
              <w:left w:val="nil"/>
              <w:bottom w:val="single" w:sz="4" w:space="0" w:color="B8C0FF"/>
              <w:right w:val="single" w:sz="4" w:space="0" w:color="B8C0FF"/>
            </w:tcBorders>
            <w:noWrap/>
            <w:vAlign w:val="center"/>
            <w:hideMark/>
          </w:tcPr>
          <w:p w14:paraId="528032C6"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0.375</w:t>
            </w:r>
          </w:p>
        </w:tc>
      </w:tr>
      <w:tr w:rsidR="0046661B" w:rsidRPr="00DD4FE3" w14:paraId="2F257DC3"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01A438F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BAC</w:t>
            </w:r>
          </w:p>
        </w:tc>
        <w:tc>
          <w:tcPr>
            <w:tcW w:w="1296" w:type="dxa"/>
            <w:tcBorders>
              <w:top w:val="nil"/>
              <w:left w:val="nil"/>
              <w:bottom w:val="single" w:sz="4" w:space="0" w:color="B8C0FF"/>
              <w:right w:val="single" w:sz="4" w:space="0" w:color="B8C0FF"/>
            </w:tcBorders>
            <w:noWrap/>
            <w:vAlign w:val="center"/>
            <w:hideMark/>
          </w:tcPr>
          <w:p w14:paraId="142AD804"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0.000157</w:t>
            </w:r>
          </w:p>
        </w:tc>
        <w:tc>
          <w:tcPr>
            <w:tcW w:w="1152" w:type="dxa"/>
            <w:tcBorders>
              <w:top w:val="nil"/>
              <w:left w:val="nil"/>
              <w:bottom w:val="single" w:sz="4" w:space="0" w:color="B8C0FF"/>
              <w:right w:val="single" w:sz="4" w:space="0" w:color="B8C0FF"/>
            </w:tcBorders>
            <w:noWrap/>
            <w:vAlign w:val="center"/>
            <w:hideMark/>
          </w:tcPr>
          <w:p w14:paraId="4AADDB55"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0.9882</w:t>
            </w:r>
          </w:p>
        </w:tc>
        <w:tc>
          <w:tcPr>
            <w:tcW w:w="1296" w:type="dxa"/>
            <w:tcBorders>
              <w:top w:val="nil"/>
              <w:left w:val="nil"/>
              <w:bottom w:val="single" w:sz="4" w:space="0" w:color="B8C0FF"/>
              <w:right w:val="single" w:sz="4" w:space="0" w:color="B8C0FF"/>
            </w:tcBorders>
            <w:noWrap/>
            <w:vAlign w:val="center"/>
            <w:hideMark/>
          </w:tcPr>
          <w:p w14:paraId="0AC434F8"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26.39</w:t>
            </w:r>
          </w:p>
        </w:tc>
        <w:tc>
          <w:tcPr>
            <w:tcW w:w="1440" w:type="dxa"/>
            <w:tcBorders>
              <w:top w:val="nil"/>
              <w:left w:val="nil"/>
              <w:bottom w:val="single" w:sz="4" w:space="0" w:color="B8C0FF"/>
              <w:right w:val="single" w:sz="4" w:space="0" w:color="B8C0FF"/>
            </w:tcBorders>
            <w:noWrap/>
            <w:vAlign w:val="center"/>
            <w:hideMark/>
          </w:tcPr>
          <w:p w14:paraId="2430CB3D"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2.66E-122</w:t>
            </w:r>
          </w:p>
        </w:tc>
        <w:tc>
          <w:tcPr>
            <w:tcW w:w="1872" w:type="dxa"/>
            <w:tcBorders>
              <w:top w:val="nil"/>
              <w:left w:val="nil"/>
              <w:bottom w:val="single" w:sz="4" w:space="0" w:color="B8C0FF"/>
              <w:right w:val="single" w:sz="4" w:space="0" w:color="B8C0FF"/>
            </w:tcBorders>
            <w:noWrap/>
            <w:vAlign w:val="center"/>
            <w:hideMark/>
          </w:tcPr>
          <w:p w14:paraId="7EF19F06"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[0.9147, 1.0617]</w:t>
            </w:r>
          </w:p>
        </w:tc>
        <w:tc>
          <w:tcPr>
            <w:tcW w:w="1008" w:type="dxa"/>
            <w:tcBorders>
              <w:top w:val="nil"/>
              <w:left w:val="nil"/>
              <w:bottom w:val="single" w:sz="4" w:space="0" w:color="B8C0FF"/>
              <w:right w:val="single" w:sz="4" w:space="0" w:color="B8C0FF"/>
            </w:tcBorders>
            <w:noWrap/>
            <w:vAlign w:val="center"/>
            <w:hideMark/>
          </w:tcPr>
          <w:p w14:paraId="166EAE68"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0.358</w:t>
            </w:r>
          </w:p>
        </w:tc>
      </w:tr>
      <w:tr w:rsidR="0046661B" w:rsidRPr="00DD4FE3" w14:paraId="0CAF88FB"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4C565B3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lastRenderedPageBreak/>
              <w:t>WFC</w:t>
            </w:r>
          </w:p>
        </w:tc>
        <w:tc>
          <w:tcPr>
            <w:tcW w:w="1296" w:type="dxa"/>
            <w:tcBorders>
              <w:top w:val="nil"/>
              <w:left w:val="nil"/>
              <w:bottom w:val="single" w:sz="4" w:space="0" w:color="B8C0FF"/>
              <w:right w:val="single" w:sz="4" w:space="0" w:color="B8C0FF"/>
            </w:tcBorders>
            <w:noWrap/>
            <w:vAlign w:val="center"/>
            <w:hideMark/>
          </w:tcPr>
          <w:p w14:paraId="27F6EBE2"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0.00063</w:t>
            </w:r>
          </w:p>
        </w:tc>
        <w:tc>
          <w:tcPr>
            <w:tcW w:w="1152" w:type="dxa"/>
            <w:tcBorders>
              <w:top w:val="nil"/>
              <w:left w:val="nil"/>
              <w:bottom w:val="single" w:sz="4" w:space="0" w:color="B8C0FF"/>
              <w:right w:val="single" w:sz="4" w:space="0" w:color="B8C0FF"/>
            </w:tcBorders>
            <w:noWrap/>
            <w:vAlign w:val="center"/>
            <w:hideMark/>
          </w:tcPr>
          <w:p w14:paraId="46C403D5"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1.0294</w:t>
            </w:r>
          </w:p>
        </w:tc>
        <w:tc>
          <w:tcPr>
            <w:tcW w:w="1296" w:type="dxa"/>
            <w:tcBorders>
              <w:top w:val="nil"/>
              <w:left w:val="nil"/>
              <w:bottom w:val="single" w:sz="4" w:space="0" w:color="B8C0FF"/>
              <w:right w:val="single" w:sz="4" w:space="0" w:color="B8C0FF"/>
            </w:tcBorders>
            <w:noWrap/>
            <w:vAlign w:val="center"/>
            <w:hideMark/>
          </w:tcPr>
          <w:p w14:paraId="68D3EE33"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23.49</w:t>
            </w:r>
          </w:p>
        </w:tc>
        <w:tc>
          <w:tcPr>
            <w:tcW w:w="1440" w:type="dxa"/>
            <w:tcBorders>
              <w:top w:val="nil"/>
              <w:left w:val="nil"/>
              <w:bottom w:val="single" w:sz="4" w:space="0" w:color="B8C0FF"/>
              <w:right w:val="single" w:sz="4" w:space="0" w:color="B8C0FF"/>
            </w:tcBorders>
            <w:noWrap/>
            <w:vAlign w:val="center"/>
            <w:hideMark/>
          </w:tcPr>
          <w:p w14:paraId="256602FB"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2.34E-101</w:t>
            </w:r>
          </w:p>
        </w:tc>
        <w:tc>
          <w:tcPr>
            <w:tcW w:w="1872" w:type="dxa"/>
            <w:tcBorders>
              <w:top w:val="nil"/>
              <w:left w:val="nil"/>
              <w:bottom w:val="single" w:sz="4" w:space="0" w:color="B8C0FF"/>
              <w:right w:val="single" w:sz="4" w:space="0" w:color="B8C0FF"/>
            </w:tcBorders>
            <w:noWrap/>
            <w:vAlign w:val="center"/>
            <w:hideMark/>
          </w:tcPr>
          <w:p w14:paraId="558D129A"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[0.9434, 1.1153]</w:t>
            </w:r>
          </w:p>
        </w:tc>
        <w:tc>
          <w:tcPr>
            <w:tcW w:w="1008" w:type="dxa"/>
            <w:tcBorders>
              <w:top w:val="nil"/>
              <w:left w:val="nil"/>
              <w:bottom w:val="single" w:sz="4" w:space="0" w:color="B8C0FF"/>
              <w:right w:val="single" w:sz="4" w:space="0" w:color="B8C0FF"/>
            </w:tcBorders>
            <w:noWrap/>
            <w:vAlign w:val="center"/>
            <w:hideMark/>
          </w:tcPr>
          <w:p w14:paraId="200F795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0.307</w:t>
            </w:r>
          </w:p>
        </w:tc>
      </w:tr>
      <w:tr w:rsidR="0046661B" w:rsidRPr="00DD4FE3" w14:paraId="3335EFCE"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4526AE65"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GS</w:t>
            </w:r>
          </w:p>
        </w:tc>
        <w:tc>
          <w:tcPr>
            <w:tcW w:w="1296" w:type="dxa"/>
            <w:tcBorders>
              <w:top w:val="nil"/>
              <w:left w:val="nil"/>
              <w:bottom w:val="single" w:sz="4" w:space="0" w:color="B8C0FF"/>
              <w:right w:val="single" w:sz="4" w:space="0" w:color="B8C0FF"/>
            </w:tcBorders>
            <w:noWrap/>
            <w:vAlign w:val="center"/>
            <w:hideMark/>
          </w:tcPr>
          <w:p w14:paraId="77FD2EC8"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0.000565</w:t>
            </w:r>
          </w:p>
        </w:tc>
        <w:tc>
          <w:tcPr>
            <w:tcW w:w="1152" w:type="dxa"/>
            <w:tcBorders>
              <w:top w:val="nil"/>
              <w:left w:val="nil"/>
              <w:bottom w:val="single" w:sz="4" w:space="0" w:color="B8C0FF"/>
              <w:right w:val="single" w:sz="4" w:space="0" w:color="B8C0FF"/>
            </w:tcBorders>
            <w:noWrap/>
            <w:vAlign w:val="center"/>
            <w:hideMark/>
          </w:tcPr>
          <w:p w14:paraId="46F8A38B"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1.0918</w:t>
            </w:r>
          </w:p>
        </w:tc>
        <w:tc>
          <w:tcPr>
            <w:tcW w:w="1296" w:type="dxa"/>
            <w:tcBorders>
              <w:top w:val="nil"/>
              <w:left w:val="nil"/>
              <w:bottom w:val="single" w:sz="4" w:space="0" w:color="B8C0FF"/>
              <w:right w:val="single" w:sz="4" w:space="0" w:color="B8C0FF"/>
            </w:tcBorders>
            <w:noWrap/>
            <w:vAlign w:val="center"/>
            <w:hideMark/>
          </w:tcPr>
          <w:p w14:paraId="4BA6F31F"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32.41</w:t>
            </w:r>
          </w:p>
        </w:tc>
        <w:tc>
          <w:tcPr>
            <w:tcW w:w="1440" w:type="dxa"/>
            <w:tcBorders>
              <w:top w:val="nil"/>
              <w:left w:val="nil"/>
              <w:bottom w:val="single" w:sz="4" w:space="0" w:color="B8C0FF"/>
              <w:right w:val="single" w:sz="4" w:space="0" w:color="B8C0FF"/>
            </w:tcBorders>
            <w:noWrap/>
            <w:vAlign w:val="center"/>
            <w:hideMark/>
          </w:tcPr>
          <w:p w14:paraId="5EC9CE1E"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1.05E-167</w:t>
            </w:r>
          </w:p>
        </w:tc>
        <w:tc>
          <w:tcPr>
            <w:tcW w:w="1872" w:type="dxa"/>
            <w:tcBorders>
              <w:top w:val="nil"/>
              <w:left w:val="nil"/>
              <w:bottom w:val="single" w:sz="4" w:space="0" w:color="B8C0FF"/>
              <w:right w:val="single" w:sz="4" w:space="0" w:color="B8C0FF"/>
            </w:tcBorders>
            <w:noWrap/>
            <w:vAlign w:val="center"/>
            <w:hideMark/>
          </w:tcPr>
          <w:p w14:paraId="7EF53747"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[1.0257, 1.1578]</w:t>
            </w:r>
          </w:p>
        </w:tc>
        <w:tc>
          <w:tcPr>
            <w:tcW w:w="1008" w:type="dxa"/>
            <w:tcBorders>
              <w:top w:val="nil"/>
              <w:left w:val="nil"/>
              <w:bottom w:val="single" w:sz="4" w:space="0" w:color="B8C0FF"/>
              <w:right w:val="single" w:sz="4" w:space="0" w:color="B8C0FF"/>
            </w:tcBorders>
            <w:noWrap/>
            <w:vAlign w:val="center"/>
            <w:hideMark/>
          </w:tcPr>
          <w:p w14:paraId="20568B97"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0.457</w:t>
            </w:r>
          </w:p>
        </w:tc>
      </w:tr>
      <w:tr w:rsidR="0046661B" w:rsidRPr="00DD4FE3" w14:paraId="6C3C1A05"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373D8468"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BLK</w:t>
            </w:r>
          </w:p>
        </w:tc>
        <w:tc>
          <w:tcPr>
            <w:tcW w:w="1296" w:type="dxa"/>
            <w:tcBorders>
              <w:top w:val="nil"/>
              <w:left w:val="nil"/>
              <w:bottom w:val="single" w:sz="4" w:space="0" w:color="B8C0FF"/>
              <w:right w:val="single" w:sz="4" w:space="0" w:color="B8C0FF"/>
            </w:tcBorders>
            <w:noWrap/>
            <w:vAlign w:val="center"/>
            <w:hideMark/>
          </w:tcPr>
          <w:p w14:paraId="4E0D6A10"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–0.000058</w:t>
            </w:r>
          </w:p>
        </w:tc>
        <w:tc>
          <w:tcPr>
            <w:tcW w:w="1152" w:type="dxa"/>
            <w:tcBorders>
              <w:top w:val="nil"/>
              <w:left w:val="nil"/>
              <w:bottom w:val="single" w:sz="4" w:space="0" w:color="B8C0FF"/>
              <w:right w:val="single" w:sz="4" w:space="0" w:color="B8C0FF"/>
            </w:tcBorders>
            <w:noWrap/>
            <w:vAlign w:val="center"/>
            <w:hideMark/>
          </w:tcPr>
          <w:p w14:paraId="73AAD14F"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1.206</w:t>
            </w:r>
          </w:p>
        </w:tc>
        <w:tc>
          <w:tcPr>
            <w:tcW w:w="1296" w:type="dxa"/>
            <w:tcBorders>
              <w:top w:val="nil"/>
              <w:left w:val="nil"/>
              <w:bottom w:val="single" w:sz="4" w:space="0" w:color="B8C0FF"/>
              <w:right w:val="single" w:sz="4" w:space="0" w:color="B8C0FF"/>
            </w:tcBorders>
            <w:noWrap/>
            <w:vAlign w:val="center"/>
            <w:hideMark/>
          </w:tcPr>
          <w:p w14:paraId="7B2CBA4F"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44.39</w:t>
            </w:r>
          </w:p>
        </w:tc>
        <w:tc>
          <w:tcPr>
            <w:tcW w:w="1440" w:type="dxa"/>
            <w:tcBorders>
              <w:top w:val="nil"/>
              <w:left w:val="nil"/>
              <w:bottom w:val="single" w:sz="4" w:space="0" w:color="B8C0FF"/>
              <w:right w:val="single" w:sz="4" w:space="0" w:color="B8C0FF"/>
            </w:tcBorders>
            <w:noWrap/>
            <w:vAlign w:val="center"/>
            <w:hideMark/>
          </w:tcPr>
          <w:p w14:paraId="7DF45737"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5.03E-259</w:t>
            </w:r>
          </w:p>
        </w:tc>
        <w:tc>
          <w:tcPr>
            <w:tcW w:w="1872" w:type="dxa"/>
            <w:tcBorders>
              <w:top w:val="nil"/>
              <w:left w:val="nil"/>
              <w:bottom w:val="single" w:sz="4" w:space="0" w:color="B8C0FF"/>
              <w:right w:val="single" w:sz="4" w:space="0" w:color="B8C0FF"/>
            </w:tcBorders>
            <w:noWrap/>
            <w:vAlign w:val="center"/>
            <w:hideMark/>
          </w:tcPr>
          <w:p w14:paraId="21C2D630"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[1.1527, 1.2593]</w:t>
            </w:r>
          </w:p>
        </w:tc>
        <w:tc>
          <w:tcPr>
            <w:tcW w:w="1008" w:type="dxa"/>
            <w:tcBorders>
              <w:top w:val="nil"/>
              <w:left w:val="nil"/>
              <w:bottom w:val="single" w:sz="4" w:space="0" w:color="B8C0FF"/>
              <w:right w:val="single" w:sz="4" w:space="0" w:color="B8C0FF"/>
            </w:tcBorders>
            <w:noWrap/>
            <w:vAlign w:val="center"/>
            <w:hideMark/>
          </w:tcPr>
          <w:p w14:paraId="4A9FB6FE"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0.612</w:t>
            </w:r>
          </w:p>
        </w:tc>
      </w:tr>
      <w:tr w:rsidR="0046661B" w:rsidRPr="00DD4FE3" w14:paraId="38D4F0B4"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58BF134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PLD</w:t>
            </w:r>
          </w:p>
        </w:tc>
        <w:tc>
          <w:tcPr>
            <w:tcW w:w="1296" w:type="dxa"/>
            <w:tcBorders>
              <w:top w:val="nil"/>
              <w:left w:val="nil"/>
              <w:bottom w:val="single" w:sz="4" w:space="0" w:color="B8C0FF"/>
              <w:right w:val="single" w:sz="4" w:space="0" w:color="B8C0FF"/>
            </w:tcBorders>
            <w:noWrap/>
            <w:vAlign w:val="center"/>
            <w:hideMark/>
          </w:tcPr>
          <w:p w14:paraId="35543096"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–0.000257</w:t>
            </w:r>
          </w:p>
        </w:tc>
        <w:tc>
          <w:tcPr>
            <w:tcW w:w="1152" w:type="dxa"/>
            <w:tcBorders>
              <w:top w:val="nil"/>
              <w:left w:val="nil"/>
              <w:bottom w:val="single" w:sz="4" w:space="0" w:color="B8C0FF"/>
              <w:right w:val="single" w:sz="4" w:space="0" w:color="B8C0FF"/>
            </w:tcBorders>
            <w:noWrap/>
            <w:vAlign w:val="center"/>
            <w:hideMark/>
          </w:tcPr>
          <w:p w14:paraId="79D8CC7F"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0.9536</w:t>
            </w:r>
          </w:p>
        </w:tc>
        <w:tc>
          <w:tcPr>
            <w:tcW w:w="1296" w:type="dxa"/>
            <w:tcBorders>
              <w:top w:val="nil"/>
              <w:left w:val="nil"/>
              <w:bottom w:val="single" w:sz="4" w:space="0" w:color="B8C0FF"/>
              <w:right w:val="single" w:sz="4" w:space="0" w:color="B8C0FF"/>
            </w:tcBorders>
            <w:noWrap/>
            <w:vAlign w:val="center"/>
            <w:hideMark/>
          </w:tcPr>
          <w:p w14:paraId="0D2A1475"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26.27</w:t>
            </w:r>
          </w:p>
        </w:tc>
        <w:tc>
          <w:tcPr>
            <w:tcW w:w="1440" w:type="dxa"/>
            <w:tcBorders>
              <w:top w:val="nil"/>
              <w:left w:val="nil"/>
              <w:bottom w:val="single" w:sz="4" w:space="0" w:color="B8C0FF"/>
              <w:right w:val="single" w:sz="4" w:space="0" w:color="B8C0FF"/>
            </w:tcBorders>
            <w:noWrap/>
            <w:vAlign w:val="center"/>
            <w:hideMark/>
          </w:tcPr>
          <w:p w14:paraId="225F8AC5"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1.92E-121</w:t>
            </w:r>
          </w:p>
        </w:tc>
        <w:tc>
          <w:tcPr>
            <w:tcW w:w="1872" w:type="dxa"/>
            <w:tcBorders>
              <w:top w:val="nil"/>
              <w:left w:val="nil"/>
              <w:bottom w:val="single" w:sz="4" w:space="0" w:color="B8C0FF"/>
              <w:right w:val="single" w:sz="4" w:space="0" w:color="B8C0FF"/>
            </w:tcBorders>
            <w:noWrap/>
            <w:vAlign w:val="center"/>
            <w:hideMark/>
          </w:tcPr>
          <w:p w14:paraId="465B7F3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[0.8824, 1.0248]</w:t>
            </w:r>
          </w:p>
        </w:tc>
        <w:tc>
          <w:tcPr>
            <w:tcW w:w="1008" w:type="dxa"/>
            <w:tcBorders>
              <w:top w:val="nil"/>
              <w:left w:val="nil"/>
              <w:bottom w:val="single" w:sz="4" w:space="0" w:color="B8C0FF"/>
              <w:right w:val="single" w:sz="4" w:space="0" w:color="B8C0FF"/>
            </w:tcBorders>
            <w:noWrap/>
            <w:vAlign w:val="center"/>
            <w:hideMark/>
          </w:tcPr>
          <w:p w14:paraId="3F2CE834"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0.356</w:t>
            </w:r>
          </w:p>
        </w:tc>
      </w:tr>
      <w:tr w:rsidR="0046661B" w:rsidRPr="00DD4FE3" w14:paraId="50F00150"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5C22ECC0"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AMT</w:t>
            </w:r>
          </w:p>
        </w:tc>
        <w:tc>
          <w:tcPr>
            <w:tcW w:w="1296" w:type="dxa"/>
            <w:tcBorders>
              <w:top w:val="nil"/>
              <w:left w:val="nil"/>
              <w:bottom w:val="single" w:sz="4" w:space="0" w:color="B8C0FF"/>
              <w:right w:val="single" w:sz="4" w:space="0" w:color="B8C0FF"/>
            </w:tcBorders>
            <w:noWrap/>
            <w:vAlign w:val="center"/>
            <w:hideMark/>
          </w:tcPr>
          <w:p w14:paraId="42E166E7"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–0.000413</w:t>
            </w:r>
          </w:p>
        </w:tc>
        <w:tc>
          <w:tcPr>
            <w:tcW w:w="1152" w:type="dxa"/>
            <w:tcBorders>
              <w:top w:val="nil"/>
              <w:left w:val="nil"/>
              <w:bottom w:val="single" w:sz="4" w:space="0" w:color="B8C0FF"/>
              <w:right w:val="single" w:sz="4" w:space="0" w:color="B8C0FF"/>
            </w:tcBorders>
            <w:noWrap/>
            <w:vAlign w:val="center"/>
            <w:hideMark/>
          </w:tcPr>
          <w:p w14:paraId="5C358DFF"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0.5385</w:t>
            </w:r>
          </w:p>
        </w:tc>
        <w:tc>
          <w:tcPr>
            <w:tcW w:w="1296" w:type="dxa"/>
            <w:tcBorders>
              <w:top w:val="nil"/>
              <w:left w:val="nil"/>
              <w:bottom w:val="single" w:sz="4" w:space="0" w:color="B8C0FF"/>
              <w:right w:val="single" w:sz="4" w:space="0" w:color="B8C0FF"/>
            </w:tcBorders>
            <w:noWrap/>
            <w:vAlign w:val="center"/>
            <w:hideMark/>
          </w:tcPr>
          <w:p w14:paraId="0D9566ED"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13.34</w:t>
            </w:r>
          </w:p>
        </w:tc>
        <w:tc>
          <w:tcPr>
            <w:tcW w:w="1440" w:type="dxa"/>
            <w:tcBorders>
              <w:top w:val="nil"/>
              <w:left w:val="nil"/>
              <w:bottom w:val="single" w:sz="4" w:space="0" w:color="B8C0FF"/>
              <w:right w:val="single" w:sz="4" w:space="0" w:color="B8C0FF"/>
            </w:tcBorders>
            <w:noWrap/>
            <w:vAlign w:val="center"/>
            <w:hideMark/>
          </w:tcPr>
          <w:p w14:paraId="379A4C2B"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4.56E-38</w:t>
            </w:r>
          </w:p>
        </w:tc>
        <w:tc>
          <w:tcPr>
            <w:tcW w:w="1872" w:type="dxa"/>
            <w:tcBorders>
              <w:top w:val="nil"/>
              <w:left w:val="nil"/>
              <w:bottom w:val="single" w:sz="4" w:space="0" w:color="B8C0FF"/>
              <w:right w:val="single" w:sz="4" w:space="0" w:color="B8C0FF"/>
            </w:tcBorders>
            <w:noWrap/>
            <w:vAlign w:val="center"/>
            <w:hideMark/>
          </w:tcPr>
          <w:p w14:paraId="3568DEB2"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[0.4593, 0.6176]</w:t>
            </w:r>
          </w:p>
        </w:tc>
        <w:tc>
          <w:tcPr>
            <w:tcW w:w="1008" w:type="dxa"/>
            <w:tcBorders>
              <w:top w:val="nil"/>
              <w:left w:val="nil"/>
              <w:bottom w:val="single" w:sz="4" w:space="0" w:color="B8C0FF"/>
              <w:right w:val="single" w:sz="4" w:space="0" w:color="B8C0FF"/>
            </w:tcBorders>
            <w:noWrap/>
            <w:vAlign w:val="center"/>
            <w:hideMark/>
          </w:tcPr>
          <w:p w14:paraId="13341AA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0.125</w:t>
            </w:r>
          </w:p>
        </w:tc>
      </w:tr>
      <w:tr w:rsidR="0046661B" w:rsidRPr="00DD4FE3" w14:paraId="35FD4E42"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226F492F"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SPG</w:t>
            </w:r>
          </w:p>
        </w:tc>
        <w:tc>
          <w:tcPr>
            <w:tcW w:w="1296" w:type="dxa"/>
            <w:tcBorders>
              <w:top w:val="nil"/>
              <w:left w:val="nil"/>
              <w:bottom w:val="single" w:sz="4" w:space="0" w:color="B8C0FF"/>
              <w:right w:val="single" w:sz="4" w:space="0" w:color="B8C0FF"/>
            </w:tcBorders>
            <w:noWrap/>
            <w:vAlign w:val="center"/>
            <w:hideMark/>
          </w:tcPr>
          <w:p w14:paraId="225751DD"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0.000385</w:t>
            </w:r>
          </w:p>
        </w:tc>
        <w:tc>
          <w:tcPr>
            <w:tcW w:w="1152" w:type="dxa"/>
            <w:tcBorders>
              <w:top w:val="nil"/>
              <w:left w:val="nil"/>
              <w:bottom w:val="single" w:sz="4" w:space="0" w:color="B8C0FF"/>
              <w:right w:val="single" w:sz="4" w:space="0" w:color="B8C0FF"/>
            </w:tcBorders>
            <w:noWrap/>
            <w:vAlign w:val="center"/>
            <w:hideMark/>
          </w:tcPr>
          <w:p w14:paraId="0AEC5132"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1.0554</w:t>
            </w:r>
          </w:p>
        </w:tc>
        <w:tc>
          <w:tcPr>
            <w:tcW w:w="1296" w:type="dxa"/>
            <w:tcBorders>
              <w:top w:val="nil"/>
              <w:left w:val="nil"/>
              <w:bottom w:val="single" w:sz="4" w:space="0" w:color="B8C0FF"/>
              <w:right w:val="single" w:sz="4" w:space="0" w:color="B8C0FF"/>
            </w:tcBorders>
            <w:noWrap/>
            <w:vAlign w:val="center"/>
            <w:hideMark/>
          </w:tcPr>
          <w:p w14:paraId="26F3B0B3"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24.23</w:t>
            </w:r>
          </w:p>
        </w:tc>
        <w:tc>
          <w:tcPr>
            <w:tcW w:w="1440" w:type="dxa"/>
            <w:tcBorders>
              <w:top w:val="nil"/>
              <w:left w:val="nil"/>
              <w:bottom w:val="single" w:sz="4" w:space="0" w:color="B8C0FF"/>
              <w:right w:val="single" w:sz="4" w:space="0" w:color="B8C0FF"/>
            </w:tcBorders>
            <w:noWrap/>
            <w:vAlign w:val="center"/>
            <w:hideMark/>
          </w:tcPr>
          <w:p w14:paraId="6DCE8C14"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1.39E-106</w:t>
            </w:r>
          </w:p>
        </w:tc>
        <w:tc>
          <w:tcPr>
            <w:tcW w:w="1872" w:type="dxa"/>
            <w:tcBorders>
              <w:top w:val="nil"/>
              <w:left w:val="nil"/>
              <w:bottom w:val="single" w:sz="4" w:space="0" w:color="B8C0FF"/>
              <w:right w:val="single" w:sz="4" w:space="0" w:color="B8C0FF"/>
            </w:tcBorders>
            <w:noWrap/>
            <w:vAlign w:val="center"/>
            <w:hideMark/>
          </w:tcPr>
          <w:p w14:paraId="27E0DF4B"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[0.9699, 1.1408]</w:t>
            </w:r>
          </w:p>
        </w:tc>
        <w:tc>
          <w:tcPr>
            <w:tcW w:w="1008" w:type="dxa"/>
            <w:tcBorders>
              <w:top w:val="nil"/>
              <w:left w:val="nil"/>
              <w:bottom w:val="single" w:sz="4" w:space="0" w:color="B8C0FF"/>
              <w:right w:val="single" w:sz="4" w:space="0" w:color="B8C0FF"/>
            </w:tcBorders>
            <w:noWrap/>
            <w:vAlign w:val="center"/>
            <w:hideMark/>
          </w:tcPr>
          <w:p w14:paraId="78E2F5D1"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0.32</w:t>
            </w:r>
          </w:p>
        </w:tc>
      </w:tr>
      <w:tr w:rsidR="0046661B" w:rsidRPr="00DD4FE3" w14:paraId="73259C67"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51B01337"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AVB</w:t>
            </w:r>
          </w:p>
        </w:tc>
        <w:tc>
          <w:tcPr>
            <w:tcW w:w="1296" w:type="dxa"/>
            <w:tcBorders>
              <w:top w:val="nil"/>
              <w:left w:val="nil"/>
              <w:bottom w:val="single" w:sz="4" w:space="0" w:color="B8C0FF"/>
              <w:right w:val="single" w:sz="4" w:space="0" w:color="B8C0FF"/>
            </w:tcBorders>
            <w:noWrap/>
            <w:vAlign w:val="center"/>
            <w:hideMark/>
          </w:tcPr>
          <w:p w14:paraId="6ADE0BA1"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–0.000145</w:t>
            </w:r>
          </w:p>
        </w:tc>
        <w:tc>
          <w:tcPr>
            <w:tcW w:w="1152" w:type="dxa"/>
            <w:tcBorders>
              <w:top w:val="nil"/>
              <w:left w:val="nil"/>
              <w:bottom w:val="single" w:sz="4" w:space="0" w:color="B8C0FF"/>
              <w:right w:val="single" w:sz="4" w:space="0" w:color="B8C0FF"/>
            </w:tcBorders>
            <w:noWrap/>
            <w:vAlign w:val="center"/>
            <w:hideMark/>
          </w:tcPr>
          <w:p w14:paraId="637119D8"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0.7202</w:t>
            </w:r>
          </w:p>
        </w:tc>
        <w:tc>
          <w:tcPr>
            <w:tcW w:w="1296" w:type="dxa"/>
            <w:tcBorders>
              <w:top w:val="nil"/>
              <w:left w:val="nil"/>
              <w:bottom w:val="single" w:sz="4" w:space="0" w:color="B8C0FF"/>
              <w:right w:val="single" w:sz="4" w:space="0" w:color="B8C0FF"/>
            </w:tcBorders>
            <w:noWrap/>
            <w:vAlign w:val="center"/>
            <w:hideMark/>
          </w:tcPr>
          <w:p w14:paraId="04F96524"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22.22</w:t>
            </w:r>
          </w:p>
        </w:tc>
        <w:tc>
          <w:tcPr>
            <w:tcW w:w="1440" w:type="dxa"/>
            <w:tcBorders>
              <w:top w:val="nil"/>
              <w:left w:val="nil"/>
              <w:bottom w:val="single" w:sz="4" w:space="0" w:color="B8C0FF"/>
              <w:right w:val="single" w:sz="4" w:space="0" w:color="B8C0FF"/>
            </w:tcBorders>
            <w:noWrap/>
            <w:vAlign w:val="center"/>
            <w:hideMark/>
          </w:tcPr>
          <w:p w14:paraId="6EA9B83E"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2.12E-92</w:t>
            </w:r>
          </w:p>
        </w:tc>
        <w:tc>
          <w:tcPr>
            <w:tcW w:w="1872" w:type="dxa"/>
            <w:tcBorders>
              <w:top w:val="nil"/>
              <w:left w:val="nil"/>
              <w:bottom w:val="single" w:sz="4" w:space="0" w:color="B8C0FF"/>
              <w:right w:val="single" w:sz="4" w:space="0" w:color="B8C0FF"/>
            </w:tcBorders>
            <w:noWrap/>
            <w:vAlign w:val="center"/>
            <w:hideMark/>
          </w:tcPr>
          <w:p w14:paraId="000E1C23"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[0.6566, 0.7838]</w:t>
            </w:r>
          </w:p>
        </w:tc>
        <w:tc>
          <w:tcPr>
            <w:tcW w:w="1008" w:type="dxa"/>
            <w:tcBorders>
              <w:top w:val="nil"/>
              <w:left w:val="nil"/>
              <w:bottom w:val="single" w:sz="4" w:space="0" w:color="B8C0FF"/>
              <w:right w:val="single" w:sz="4" w:space="0" w:color="B8C0FF"/>
            </w:tcBorders>
            <w:noWrap/>
            <w:vAlign w:val="center"/>
            <w:hideMark/>
          </w:tcPr>
          <w:p w14:paraId="385A16B3"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0.283</w:t>
            </w:r>
          </w:p>
        </w:tc>
      </w:tr>
      <w:tr w:rsidR="0046661B" w:rsidRPr="00DD4FE3" w14:paraId="6444FB38" w14:textId="77777777" w:rsidTr="00771E16">
        <w:trPr>
          <w:trHeight w:val="500"/>
        </w:trPr>
        <w:tc>
          <w:tcPr>
            <w:tcW w:w="1296" w:type="dxa"/>
            <w:tcBorders>
              <w:top w:val="nil"/>
              <w:left w:val="single" w:sz="4" w:space="0" w:color="B8C0FF"/>
              <w:bottom w:val="single" w:sz="4" w:space="0" w:color="B8C0FF"/>
              <w:right w:val="single" w:sz="4" w:space="0" w:color="B8C0FF"/>
            </w:tcBorders>
            <w:shd w:val="clear" w:color="000000" w:fill="F2F2F2"/>
            <w:noWrap/>
            <w:vAlign w:val="center"/>
            <w:hideMark/>
          </w:tcPr>
          <w:p w14:paraId="04EE1EEC"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O</w:t>
            </w:r>
          </w:p>
        </w:tc>
        <w:tc>
          <w:tcPr>
            <w:tcW w:w="1296" w:type="dxa"/>
            <w:tcBorders>
              <w:top w:val="nil"/>
              <w:left w:val="nil"/>
              <w:bottom w:val="single" w:sz="4" w:space="0" w:color="B8C0FF"/>
              <w:right w:val="single" w:sz="4" w:space="0" w:color="B8C0FF"/>
            </w:tcBorders>
            <w:noWrap/>
            <w:vAlign w:val="center"/>
            <w:hideMark/>
          </w:tcPr>
          <w:p w14:paraId="3E24EED2"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–0.000251</w:t>
            </w:r>
          </w:p>
        </w:tc>
        <w:tc>
          <w:tcPr>
            <w:tcW w:w="1152" w:type="dxa"/>
            <w:tcBorders>
              <w:top w:val="nil"/>
              <w:left w:val="nil"/>
              <w:bottom w:val="single" w:sz="4" w:space="0" w:color="B8C0FF"/>
              <w:right w:val="single" w:sz="4" w:space="0" w:color="B8C0FF"/>
            </w:tcBorders>
            <w:noWrap/>
            <w:vAlign w:val="center"/>
            <w:hideMark/>
          </w:tcPr>
          <w:p w14:paraId="29EAB2C6"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0.4722</w:t>
            </w:r>
          </w:p>
        </w:tc>
        <w:tc>
          <w:tcPr>
            <w:tcW w:w="1296" w:type="dxa"/>
            <w:tcBorders>
              <w:top w:val="nil"/>
              <w:left w:val="nil"/>
              <w:bottom w:val="single" w:sz="4" w:space="0" w:color="B8C0FF"/>
              <w:right w:val="single" w:sz="4" w:space="0" w:color="B8C0FF"/>
            </w:tcBorders>
            <w:noWrap/>
            <w:vAlign w:val="center"/>
            <w:hideMark/>
          </w:tcPr>
          <w:p w14:paraId="2BD93085"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15.86</w:t>
            </w:r>
          </w:p>
        </w:tc>
        <w:tc>
          <w:tcPr>
            <w:tcW w:w="1440" w:type="dxa"/>
            <w:tcBorders>
              <w:top w:val="nil"/>
              <w:left w:val="nil"/>
              <w:bottom w:val="single" w:sz="4" w:space="0" w:color="B8C0FF"/>
              <w:right w:val="single" w:sz="4" w:space="0" w:color="B8C0FF"/>
            </w:tcBorders>
            <w:noWrap/>
            <w:vAlign w:val="center"/>
            <w:hideMark/>
          </w:tcPr>
          <w:p w14:paraId="462728F2"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9.57E-52</w:t>
            </w:r>
          </w:p>
        </w:tc>
        <w:tc>
          <w:tcPr>
            <w:tcW w:w="1872" w:type="dxa"/>
            <w:tcBorders>
              <w:top w:val="nil"/>
              <w:left w:val="nil"/>
              <w:bottom w:val="single" w:sz="4" w:space="0" w:color="B8C0FF"/>
              <w:right w:val="single" w:sz="4" w:space="0" w:color="B8C0FF"/>
            </w:tcBorders>
            <w:noWrap/>
            <w:vAlign w:val="center"/>
            <w:hideMark/>
          </w:tcPr>
          <w:p w14:paraId="675AA274"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[0.4138, 0.5306]</w:t>
            </w:r>
          </w:p>
        </w:tc>
        <w:tc>
          <w:tcPr>
            <w:tcW w:w="1008" w:type="dxa"/>
            <w:tcBorders>
              <w:top w:val="nil"/>
              <w:left w:val="nil"/>
              <w:bottom w:val="single" w:sz="4" w:space="0" w:color="B8C0FF"/>
              <w:right w:val="single" w:sz="4" w:space="0" w:color="B8C0FF"/>
            </w:tcBorders>
            <w:noWrap/>
            <w:vAlign w:val="center"/>
            <w:hideMark/>
          </w:tcPr>
          <w:p w14:paraId="1B17347A" w14:textId="77777777" w:rsidR="00011778" w:rsidRPr="00DD4FE3" w:rsidRDefault="00011778" w:rsidP="00011778">
            <w:pPr>
              <w:spacing w:after="0" w:line="240" w:lineRule="auto"/>
              <w:jc w:val="center"/>
              <w:rPr>
                <w:rFonts w:eastAsia="Times New Roman" w:cs="Times New Roman"/>
                <w:color w:val="000000"/>
                <w:kern w:val="0"/>
                <w:sz w:val="20"/>
                <w:szCs w:val="20"/>
                <w14:ligatures w14:val="none"/>
              </w:rPr>
            </w:pPr>
            <w:r w:rsidRPr="00DD4FE3">
              <w:rPr>
                <w:rFonts w:eastAsia="Times New Roman" w:cs="Times New Roman"/>
                <w:color w:val="000000"/>
                <w:kern w:val="0"/>
                <w:sz w:val="20"/>
                <w:szCs w:val="20"/>
                <w14:ligatures w14:val="none"/>
              </w:rPr>
              <w:t>0.168</w:t>
            </w:r>
          </w:p>
        </w:tc>
      </w:tr>
    </w:tbl>
    <w:p w14:paraId="58C74EDE" w14:textId="77777777" w:rsidR="00011778" w:rsidRPr="00011778" w:rsidRDefault="00011778" w:rsidP="00A671DA"/>
    <w:p w14:paraId="3AA1FFC0" w14:textId="45EB2C32" w:rsidR="002C2910" w:rsidRDefault="002C2910" w:rsidP="00A671DA">
      <w:pPr>
        <w:rPr>
          <w:b/>
          <w:bCs/>
        </w:rPr>
      </w:pPr>
      <w:r>
        <w:rPr>
          <w:b/>
          <w:bCs/>
        </w:rPr>
        <w:t xml:space="preserve">Estimated </w:t>
      </w:r>
      <w:r w:rsidR="00CF5376">
        <w:rPr>
          <w:b/>
          <w:bCs/>
        </w:rPr>
        <w:t>Regression Models</w:t>
      </w:r>
      <w:r>
        <w:rPr>
          <w:b/>
          <w:bCs/>
        </w:rPr>
        <w:t>:</w:t>
      </w:r>
    </w:p>
    <w:p w14:paraId="08D7DD79" w14:textId="5EFEC92B" w:rsidR="002C2910" w:rsidRPr="002C2910" w:rsidRDefault="002C2910" w:rsidP="00A671DA">
      <w:pPr>
        <w:rPr>
          <w:rFonts w:eastAsiaTheme="minorEastAsia"/>
        </w:rPr>
      </w:pPr>
      <m:oMathPara>
        <m:oMath>
          <m:r>
            <m:rPr>
              <m:sty m:val="p"/>
            </m:rPr>
            <w:rPr>
              <w:rFonts w:ascii="Cambria Math" w:hAnsi="Cambria Math"/>
            </w:rPr>
            <m:t>JPM:</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0.000437</m:t>
          </m:r>
          <m:r>
            <w:rPr>
              <w:rFonts w:ascii="Cambria Math"/>
            </w:rPr>
            <m:t>+</m:t>
          </m:r>
          <m:r>
            <m:rPr>
              <m:sty m:val="p"/>
            </m:rPr>
            <w:rPr>
              <w:rFonts w:ascii="Cambria Math" w:eastAsia="Times New Roman" w:hAnsi="Cambria Math" w:cs="Times New Roman"/>
              <w:color w:val="000000"/>
              <w:kern w:val="0"/>
              <w:szCs w:val="22"/>
              <w14:ligatures w14:val="none"/>
            </w:rPr>
            <m:t>0.9069</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039071AB" w14:textId="721A6C1E" w:rsidR="002C2910" w:rsidRPr="002C2910" w:rsidRDefault="002C2910" w:rsidP="00A671DA">
      <w:pPr>
        <w:rPr>
          <w:rFonts w:eastAsiaTheme="minorEastAsia"/>
        </w:rPr>
      </w:pPr>
      <m:oMathPara>
        <m:oMath>
          <m:r>
            <m:rPr>
              <m:sty m:val="p"/>
            </m:rPr>
            <w:rPr>
              <w:rFonts w:ascii="Cambria Math" w:hAnsi="Cambria Math"/>
            </w:rPr>
            <m:t>BAC:</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0.000157</m:t>
          </m:r>
          <m:r>
            <w:rPr>
              <w:rFonts w:ascii="Cambria Math"/>
            </w:rPr>
            <m:t>+</m:t>
          </m:r>
          <m:r>
            <m:rPr>
              <m:sty m:val="p"/>
            </m:rPr>
            <w:rPr>
              <w:rFonts w:ascii="Cambria Math" w:eastAsia="Times New Roman" w:hAnsi="Cambria Math" w:cs="Times New Roman"/>
              <w:color w:val="000000"/>
              <w:kern w:val="0"/>
              <w:szCs w:val="22"/>
              <w14:ligatures w14:val="none"/>
            </w:rPr>
            <m:t>0.9882</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40F0CD5A" w14:textId="40E70AB6" w:rsidR="002C2910" w:rsidRPr="002C2910" w:rsidRDefault="00F12B49" w:rsidP="002C2910">
      <w:pPr>
        <w:rPr>
          <w:rFonts w:eastAsiaTheme="minorEastAsia"/>
        </w:rPr>
      </w:pPr>
      <m:oMathPara>
        <m:oMath>
          <m:r>
            <m:rPr>
              <m:sty m:val="p"/>
            </m:rPr>
            <w:rPr>
              <w:rFonts w:ascii="Cambria Math" w:eastAsia="Times New Roman" w:hAnsi="Cambria Math" w:cs="Times New Roman"/>
              <w:color w:val="000000"/>
              <w:kern w:val="0"/>
              <w:szCs w:val="22"/>
              <w14:ligatures w14:val="none"/>
            </w:rPr>
            <m:t>WFC</m:t>
          </m:r>
          <m:r>
            <m:rPr>
              <m:sty m:val="p"/>
            </m:rPr>
            <w:rPr>
              <w:rFonts w:ascii="Cambria Math" w:hAnsi="Cambria Math"/>
            </w:rPr>
            <m:t>:</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0.00063</m:t>
          </m:r>
          <m:r>
            <w:rPr>
              <w:rFonts w:ascii="Cambria Math"/>
            </w:rPr>
            <m:t>+</m:t>
          </m:r>
          <m:r>
            <m:rPr>
              <m:sty m:val="p"/>
            </m:rPr>
            <w:rPr>
              <w:rFonts w:ascii="Cambria Math" w:eastAsia="Times New Roman" w:hAnsi="Cambria Math" w:cs="Times New Roman"/>
              <w:color w:val="000000"/>
              <w:kern w:val="0"/>
              <w:szCs w:val="22"/>
              <w14:ligatures w14:val="none"/>
            </w:rPr>
            <m:t>1.0294</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7102BD06" w14:textId="3EA8E60D" w:rsidR="002C2910" w:rsidRPr="002C2910" w:rsidRDefault="00F12B49" w:rsidP="002C2910">
      <w:pPr>
        <w:rPr>
          <w:rFonts w:eastAsiaTheme="minorEastAsia"/>
        </w:rPr>
      </w:pPr>
      <m:oMathPara>
        <m:oMath>
          <m:r>
            <m:rPr>
              <m:sty m:val="p"/>
            </m:rPr>
            <w:rPr>
              <w:rFonts w:ascii="Cambria Math" w:hAnsi="Cambria Math"/>
            </w:rPr>
            <m:t>GS:</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0.000565</m:t>
          </m:r>
          <m:r>
            <w:rPr>
              <w:rFonts w:ascii="Cambria Math"/>
            </w:rPr>
            <m:t>+</m:t>
          </m:r>
          <m:r>
            <m:rPr>
              <m:sty m:val="p"/>
            </m:rPr>
            <w:rPr>
              <w:rFonts w:ascii="Cambria Math" w:eastAsia="Times New Roman" w:hAnsi="Cambria Math" w:cs="Times New Roman"/>
              <w:color w:val="000000"/>
              <w:kern w:val="0"/>
              <w:szCs w:val="22"/>
              <w14:ligatures w14:val="none"/>
            </w:rPr>
            <m:t>1.0918</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111A8C63" w14:textId="39F4D3E5" w:rsidR="002C2910" w:rsidRPr="002C2910" w:rsidRDefault="002C2910" w:rsidP="002C2910">
      <w:pPr>
        <w:rPr>
          <w:rFonts w:eastAsiaTheme="minorEastAsia"/>
        </w:rPr>
      </w:pPr>
      <m:oMathPara>
        <m:oMath>
          <m:r>
            <m:rPr>
              <m:sty m:val="p"/>
            </m:rPr>
            <w:rPr>
              <w:rFonts w:ascii="Cambria Math" w:hAnsi="Cambria Math"/>
            </w:rPr>
            <m:t>BLK:</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-0.000058</m:t>
          </m:r>
          <m:r>
            <w:rPr>
              <w:rFonts w:ascii="Cambria Math"/>
            </w:rPr>
            <m:t>+</m:t>
          </m:r>
          <m:r>
            <m:rPr>
              <m:sty m:val="p"/>
            </m:rPr>
            <w:rPr>
              <w:rFonts w:ascii="Cambria Math" w:eastAsia="Times New Roman" w:hAnsi="Cambria Math" w:cs="Times New Roman"/>
              <w:color w:val="000000"/>
              <w:kern w:val="0"/>
              <w:szCs w:val="22"/>
              <w14:ligatures w14:val="none"/>
            </w:rPr>
            <m:t>1.206</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42887986" w14:textId="011AEEF0" w:rsidR="002C2910" w:rsidRPr="002C2910" w:rsidRDefault="00F12B49" w:rsidP="002C2910">
      <w:pPr>
        <w:rPr>
          <w:rFonts w:eastAsiaTheme="minorEastAsia"/>
        </w:rPr>
      </w:pPr>
      <m:oMathPara>
        <m:oMath>
          <m:r>
            <m:rPr>
              <m:sty m:val="p"/>
            </m:rPr>
            <w:rPr>
              <w:rFonts w:ascii="Cambria Math" w:hAnsi="Cambria Math"/>
            </w:rPr>
            <m:t>PLD:</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-0.000257</m:t>
          </m:r>
          <m:r>
            <w:rPr>
              <w:rFonts w:ascii="Cambria Math"/>
            </w:rPr>
            <m:t>+</m:t>
          </m:r>
          <m:r>
            <m:rPr>
              <m:sty m:val="p"/>
            </m:rPr>
            <w:rPr>
              <w:rFonts w:ascii="Cambria Math" w:eastAsia="Times New Roman" w:hAnsi="Cambria Math" w:cs="Times New Roman"/>
              <w:color w:val="000000"/>
              <w:kern w:val="0"/>
              <w:szCs w:val="22"/>
              <w14:ligatures w14:val="none"/>
            </w:rPr>
            <m:t>0.9536</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08AACF11" w14:textId="25C26669" w:rsidR="002C2910" w:rsidRPr="002C2910" w:rsidRDefault="00F12B49" w:rsidP="002C2910">
      <w:pPr>
        <w:rPr>
          <w:rFonts w:eastAsiaTheme="minorEastAsia"/>
        </w:rPr>
      </w:pPr>
      <m:oMathPara>
        <m:oMath>
          <m:r>
            <m:rPr>
              <m:sty m:val="p"/>
            </m:rPr>
            <w:rPr>
              <w:rFonts w:ascii="Cambria Math" w:hAnsi="Cambria Math"/>
            </w:rPr>
            <m:t>AMT:</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-0.000413</m:t>
          </m:r>
          <m:r>
            <w:rPr>
              <w:rFonts w:ascii="Cambria Math"/>
            </w:rPr>
            <m:t>+</m:t>
          </m:r>
          <m:r>
            <m:rPr>
              <m:sty m:val="p"/>
            </m:rPr>
            <w:rPr>
              <w:rFonts w:ascii="Cambria Math" w:eastAsia="Times New Roman" w:hAnsi="Cambria Math" w:cs="Times New Roman"/>
              <w:color w:val="000000"/>
              <w:kern w:val="0"/>
              <w:szCs w:val="22"/>
              <w14:ligatures w14:val="none"/>
            </w:rPr>
            <m:t>0.5385</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1BD67A4C" w14:textId="1BE211FB" w:rsidR="002C2910" w:rsidRPr="002C2910" w:rsidRDefault="00F12B49" w:rsidP="002C2910">
      <w:pPr>
        <w:rPr>
          <w:rFonts w:eastAsiaTheme="minorEastAsia"/>
        </w:rPr>
      </w:pPr>
      <m:oMathPara>
        <m:oMath>
          <m:r>
            <m:rPr>
              <m:sty m:val="p"/>
            </m:rPr>
            <w:rPr>
              <w:rFonts w:ascii="Cambria Math" w:hAnsi="Cambria Math"/>
            </w:rPr>
            <m:t>SPG:</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0.000385</m:t>
          </m:r>
          <m:r>
            <w:rPr>
              <w:rFonts w:ascii="Cambria Math"/>
            </w:rPr>
            <m:t>+</m:t>
          </m:r>
          <m:r>
            <m:rPr>
              <m:sty m:val="p"/>
            </m:rPr>
            <w:rPr>
              <w:rFonts w:ascii="Cambria Math" w:eastAsia="Times New Roman" w:hAnsi="Cambria Math" w:cs="Times New Roman"/>
              <w:color w:val="000000"/>
              <w:kern w:val="0"/>
              <w:szCs w:val="22"/>
              <w14:ligatures w14:val="none"/>
            </w:rPr>
            <m:t>1.0554</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0E1E7527" w14:textId="18C42680" w:rsidR="002C2910" w:rsidRPr="002C2910" w:rsidRDefault="00F12B49" w:rsidP="002C2910">
      <w:pPr>
        <w:rPr>
          <w:rFonts w:eastAsiaTheme="minorEastAsia"/>
        </w:rPr>
      </w:pPr>
      <m:oMathPara>
        <m:oMath>
          <m:r>
            <m:rPr>
              <m:sty m:val="p"/>
            </m:rPr>
            <w:rPr>
              <w:rFonts w:ascii="Cambria Math" w:hAnsi="Cambria Math"/>
            </w:rPr>
            <m:t>AVB:</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-0.000145</m:t>
          </m:r>
          <m:r>
            <w:rPr>
              <w:rFonts w:ascii="Cambria Math"/>
            </w:rPr>
            <m:t>+</m:t>
          </m:r>
          <m:r>
            <m:rPr>
              <m:sty m:val="p"/>
            </m:rPr>
            <w:rPr>
              <w:rFonts w:ascii="Cambria Math" w:eastAsia="Times New Roman" w:hAnsi="Cambria Math" w:cs="Times New Roman"/>
              <w:color w:val="000000"/>
              <w:kern w:val="0"/>
              <w:szCs w:val="22"/>
              <w14:ligatures w14:val="none"/>
            </w:rPr>
            <m:t>0.7202</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6112292" w14:textId="32EBFF13" w:rsidR="002C2910" w:rsidRPr="002C2910" w:rsidRDefault="00F12B49" w:rsidP="00A671DA">
      <w:pPr>
        <w:rPr>
          <w:rFonts w:eastAsiaTheme="minorEastAsia"/>
        </w:rPr>
      </w:pPr>
      <m:oMathPara>
        <m:oMath>
          <m:r>
            <m:rPr>
              <m:sty m:val="p"/>
            </m:rPr>
            <w:rPr>
              <w:rFonts w:ascii="Cambria Math" w:hAnsi="Cambria Math"/>
            </w:rPr>
            <m:t>O:</m:t>
          </m:r>
          <m:r>
            <w:rPr>
              <w:rFonts w:ascii="Cambria Math" w:hAnsi="Cambria Math"/>
            </w:rPr>
            <m:t xml:space="preserve"> </m:t>
          </m:r>
          <m:acc>
            <m:accPr>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f</m:t>
                  </m:r>
                </m:sub>
              </m:sSub>
            </m:e>
          </m:acc>
          <m:r>
            <w:rPr>
              <w:rFonts w:ascii="Cambria Math" w:hAnsi="Cambria Math"/>
            </w:rPr>
            <m:t>=</m:t>
          </m:r>
          <m:r>
            <m:rPr>
              <m:sty m:val="p"/>
            </m:rPr>
            <w:rPr>
              <w:rFonts w:ascii="Cambria Math" w:eastAsia="Times New Roman" w:hAnsi="Cambria Math" w:cs="Times New Roman"/>
              <w:color w:val="000000"/>
              <w:kern w:val="0"/>
              <w:szCs w:val="22"/>
              <w14:ligatures w14:val="none"/>
            </w:rPr>
            <m:t>-0.000251</m:t>
          </m:r>
          <m:r>
            <w:rPr>
              <w:rFonts w:ascii="Cambria Math"/>
            </w:rPr>
            <m:t>+</m:t>
          </m:r>
          <m:r>
            <m:rPr>
              <m:sty m:val="p"/>
            </m:rPr>
            <w:rPr>
              <w:rFonts w:ascii="Cambria Math" w:eastAsia="Times New Roman" w:hAnsi="Cambria Math" w:cs="Times New Roman"/>
              <w:color w:val="000000"/>
              <w:kern w:val="0"/>
              <w:szCs w:val="22"/>
              <w14:ligatures w14:val="none"/>
            </w:rPr>
            <m:t>0.4722</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m</m:t>
                  </m:r>
                </m:sub>
              </m:sSub>
              <m:r>
                <w:rPr>
                  <w:rFonts w:asci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07B2B355" w14:textId="73DD38C5" w:rsidR="00A671DA" w:rsidRDefault="00A671DA" w:rsidP="00A671DA">
      <w:r w:rsidRPr="00A671DA">
        <w:rPr>
          <w:b/>
          <w:bCs/>
        </w:rPr>
        <w:t>Interpretation</w:t>
      </w:r>
      <w:r w:rsidR="00524E97">
        <w:rPr>
          <w:b/>
          <w:bCs/>
        </w:rPr>
        <w:t xml:space="preserve"> of </w:t>
      </w: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1</m:t>
            </m:r>
          </m:sub>
        </m:sSub>
      </m:oMath>
      <w:r w:rsidRPr="00524E97">
        <w:rPr>
          <w:b/>
          <w:bCs/>
        </w:rPr>
        <w:t>:</w:t>
      </w:r>
    </w:p>
    <w:p w14:paraId="56D4459D" w14:textId="666AE357" w:rsidR="009D1CA4" w:rsidRPr="00A671DA" w:rsidRDefault="00A671DA" w:rsidP="009D1CA4">
      <w:r w:rsidRPr="00A671DA">
        <w:t xml:space="preserve">The slope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Theme="minorEastAsia"/>
        </w:rPr>
        <w:t xml:space="preserve"> </w:t>
      </w:r>
      <w:r w:rsidR="009D1CA4">
        <w:rPr>
          <w:rFonts w:eastAsiaTheme="minorEastAsia"/>
        </w:rPr>
        <w:t xml:space="preserve">for each stock </w:t>
      </w:r>
      <w:r w:rsidRPr="00A671DA">
        <w:t xml:space="preserve">tells us how sensitive </w:t>
      </w:r>
      <w:r w:rsidR="003B46F9">
        <w:t xml:space="preserve">the </w:t>
      </w:r>
      <w:r w:rsidRPr="00A671DA">
        <w:t>stock is to market movements</w:t>
      </w:r>
      <w:r w:rsidR="009D1CA4">
        <w:t xml:space="preserve">. </w:t>
      </w:r>
      <w:r w:rsidR="00BC50EB">
        <w:t>The following key findings were noted based on the estimates from the regression model:</w:t>
      </w:r>
    </w:p>
    <w:p w14:paraId="19C1F315" w14:textId="381F5159" w:rsidR="00BC50EB" w:rsidRPr="00BC50EB" w:rsidRDefault="00BC50EB" w:rsidP="004130B8">
      <w:pPr>
        <w:numPr>
          <w:ilvl w:val="0"/>
          <w:numId w:val="18"/>
        </w:numPr>
      </w:pPr>
      <w:r w:rsidRPr="00BC50EB">
        <w:t>Financial stocks (JPM, BAC, WFC, GS, BLK):</w:t>
      </w:r>
    </w:p>
    <w:p w14:paraId="40972174" w14:textId="63EFB110" w:rsidR="00BC50EB" w:rsidRPr="00BC50EB" w:rsidRDefault="00000000" w:rsidP="006B4BB6">
      <w:pPr>
        <w:numPr>
          <w:ilvl w:val="1"/>
          <w:numId w:val="18"/>
        </w:numPr>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BC50EB">
        <w:rPr>
          <w:rFonts w:eastAsiaTheme="minorEastAsia"/>
        </w:rPr>
        <w:t xml:space="preserve"> for all the stocks </w:t>
      </w:r>
      <w:r w:rsidR="00BC50EB" w:rsidRPr="00BC50EB">
        <w:t xml:space="preserve">are close to or above 1, and highly </w:t>
      </w:r>
      <w:r w:rsidR="00BC50EB">
        <w:t xml:space="preserve">statistically </w:t>
      </w:r>
      <w:r w:rsidR="00BC50EB" w:rsidRPr="00BC50EB">
        <w:t>significant</w:t>
      </w:r>
      <w:r w:rsidR="00BC50EB">
        <w:t>, meaning they broadly move with the market.</w:t>
      </w:r>
    </w:p>
    <w:p w14:paraId="00EB46A9" w14:textId="00FB58F2" w:rsidR="00BC50EB" w:rsidRPr="00BC50EB" w:rsidRDefault="00BC50EB" w:rsidP="006B4BB6">
      <w:pPr>
        <w:numPr>
          <w:ilvl w:val="1"/>
          <w:numId w:val="18"/>
        </w:numPr>
      </w:pPr>
      <w:r w:rsidRPr="00BC50EB">
        <w:t xml:space="preserve">BLK has the highest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Theme="minorEastAsia"/>
        </w:rPr>
        <w:t xml:space="preserve"> </w:t>
      </w:r>
      <w:r w:rsidRPr="00BC50EB">
        <w:t>(1.206)</w:t>
      </w:r>
      <w:r>
        <w:t xml:space="preserve"> and shows above-market sensitivity</w:t>
      </w:r>
      <w:r w:rsidRPr="00BC50EB">
        <w:t>.</w:t>
      </w:r>
    </w:p>
    <w:p w14:paraId="5D025F37" w14:textId="77777777" w:rsidR="00BC50EB" w:rsidRPr="00BC50EB" w:rsidRDefault="00BC50EB" w:rsidP="006B4BB6">
      <w:pPr>
        <w:numPr>
          <w:ilvl w:val="1"/>
          <w:numId w:val="18"/>
        </w:numPr>
      </w:pPr>
      <w:r w:rsidRPr="00BC50EB">
        <w:t>GS also shows a high and significant beta (1.092).</w:t>
      </w:r>
    </w:p>
    <w:p w14:paraId="3F0BA60F" w14:textId="2A81B291" w:rsidR="00BC50EB" w:rsidRPr="00BC50EB" w:rsidRDefault="00BC50EB" w:rsidP="004130B8">
      <w:pPr>
        <w:numPr>
          <w:ilvl w:val="0"/>
          <w:numId w:val="18"/>
        </w:numPr>
      </w:pPr>
      <w:r w:rsidRPr="00BC50EB">
        <w:t>Real estate stocks (PLD, AMT, SPG, AVB, O):</w:t>
      </w:r>
    </w:p>
    <w:p w14:paraId="0B78F4CC" w14:textId="77777777" w:rsidR="00BC50EB" w:rsidRDefault="00000000" w:rsidP="006B4BB6">
      <w:pPr>
        <w:numPr>
          <w:ilvl w:val="1"/>
          <w:numId w:val="18"/>
        </w:numPr>
      </w:pP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oMath>
      <w:r w:rsidR="00BC50EB" w:rsidRPr="00BC50EB">
        <w:t>range from 0.47 to 1.06, all statistically significant.</w:t>
      </w:r>
    </w:p>
    <w:p w14:paraId="531BC761" w14:textId="77777777" w:rsidR="00BC50EB" w:rsidRDefault="00BC50EB" w:rsidP="006B4BB6">
      <w:pPr>
        <w:numPr>
          <w:ilvl w:val="1"/>
          <w:numId w:val="18"/>
        </w:numPr>
      </w:pPr>
      <w:r w:rsidRPr="00BC50EB">
        <w:rPr>
          <w:rFonts w:eastAsiaTheme="majorEastAsia"/>
        </w:rPr>
        <w:t>AMT</w:t>
      </w:r>
      <w:r w:rsidRPr="00BC50EB">
        <w:t xml:space="preserve"> and </w:t>
      </w:r>
      <w:r w:rsidRPr="00BC50EB">
        <w:rPr>
          <w:rFonts w:eastAsiaTheme="majorEastAsia"/>
        </w:rPr>
        <w:t>O</w:t>
      </w:r>
      <w:r w:rsidRPr="00BC50EB">
        <w:t xml:space="preserve"> have significantly lower betas, meaning weaker sensitivity to the market.</w:t>
      </w:r>
    </w:p>
    <w:p w14:paraId="6C3D9963" w14:textId="0240410A" w:rsidR="00BC50EB" w:rsidRDefault="00BC50EB" w:rsidP="006B4BB6">
      <w:pPr>
        <w:numPr>
          <w:ilvl w:val="1"/>
          <w:numId w:val="18"/>
        </w:numPr>
      </w:pPr>
      <w:r w:rsidRPr="00BC50EB">
        <w:t xml:space="preserve">SPG </w:t>
      </w:r>
      <w:r>
        <w:t xml:space="preserve">and PLD have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oMath>
      <w:r>
        <w:rPr>
          <w:rFonts w:eastAsiaTheme="minorEastAsia"/>
        </w:rPr>
        <w:t>close to</w:t>
      </w:r>
      <w:r w:rsidRPr="00BC50EB">
        <w:t xml:space="preserve"> 1</w:t>
      </w:r>
      <w:r>
        <w:t>, indicating market-like behavior</w:t>
      </w:r>
      <w:r w:rsidRPr="00BC50EB">
        <w:t>.</w:t>
      </w:r>
    </w:p>
    <w:p w14:paraId="3EFF0B0D" w14:textId="77777777" w:rsidR="00BC50EB" w:rsidRDefault="00BC50EB" w:rsidP="00AE633B">
      <w:pPr>
        <w:spacing w:line="240" w:lineRule="auto"/>
      </w:pPr>
    </w:p>
    <w:p w14:paraId="1E37A5A4" w14:textId="6A041E7D" w:rsidR="00AE633B" w:rsidRDefault="00AE633B" w:rsidP="00AE633B">
      <w:r w:rsidRPr="00A671DA">
        <w:rPr>
          <w:b/>
          <w:bCs/>
        </w:rPr>
        <w:t>Interpretation</w:t>
      </w:r>
      <w:r>
        <w:rPr>
          <w:b/>
          <w:bCs/>
        </w:rPr>
        <w:t xml:space="preserve"> of </w:t>
      </w: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0</m:t>
            </m:r>
          </m:sub>
        </m:sSub>
      </m:oMath>
      <w:r w:rsidRPr="00524E97">
        <w:rPr>
          <w:b/>
          <w:bCs/>
        </w:rPr>
        <w:t>:</w:t>
      </w:r>
    </w:p>
    <w:p w14:paraId="5899410A" w14:textId="274AAE8D" w:rsidR="00AE633B" w:rsidRDefault="00AE633B" w:rsidP="00AE633B">
      <w:r>
        <w:t>For all 10 stocks,</w:t>
      </w:r>
      <w:r w:rsidR="003C35E1">
        <w:t xml:space="preserve"> estimated</w:t>
      </w:r>
      <w: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rPr>
              <m:t>0</m:t>
            </m:r>
          </m:sub>
        </m:sSub>
      </m:oMath>
      <w:r>
        <w:t xml:space="preserve"> values are </w:t>
      </w:r>
      <w:r w:rsidRPr="00AE633B">
        <w:t>very close to zero</w:t>
      </w:r>
      <w:r>
        <w:t xml:space="preserve"> and </w:t>
      </w:r>
      <w:r w:rsidRPr="00AE633B">
        <w:t>not statistically significant</w:t>
      </w:r>
      <w:r>
        <w:t>.</w:t>
      </w:r>
      <w:r>
        <w:br/>
        <w:t xml:space="preserve">This means the stocks, on average, do </w:t>
      </w:r>
      <w:r w:rsidRPr="00AE633B">
        <w:t>not</w:t>
      </w:r>
      <w:r>
        <w:t xml:space="preserve"> earn excess returns beyond what is explained by their market exposure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oMath>
      <w:r>
        <w:t>). This is consistent with CAPM, which predicts no persistent abnormal excess return after controlling for market risk.</w:t>
      </w:r>
    </w:p>
    <w:p w14:paraId="4C2A2DDE" w14:textId="406CFAE2" w:rsidR="003C35E1" w:rsidRPr="003C35E1" w:rsidRDefault="00FC4B35" w:rsidP="00FC4B35">
      <w:pPr>
        <w:pStyle w:val="Heading2"/>
      </w:pPr>
      <w:bookmarkStart w:id="12" w:name="_Toc214932639"/>
      <w:r>
        <w:t xml:space="preserve">Overall </w:t>
      </w:r>
      <w:r w:rsidR="003C35E1" w:rsidRPr="003C35E1">
        <w:t>Model Goodness of Fit</w:t>
      </w:r>
      <w:bookmarkEnd w:id="12"/>
    </w:p>
    <w:p w14:paraId="7D37D404" w14:textId="1393C035" w:rsidR="00FC4B35" w:rsidRPr="00FC4B35" w:rsidRDefault="00FC4B35" w:rsidP="00FC4B35">
      <w:r w:rsidRPr="00FC4B35">
        <w:rPr>
          <w:b/>
          <w:bCs/>
        </w:rPr>
        <w:t>R² (Coefficient of Determination):</w:t>
      </w:r>
      <w:r w:rsidRPr="00FC4B35">
        <w:br/>
      </w:r>
      <w:r>
        <w:t>The R</w:t>
      </w:r>
      <w:r w:rsidRPr="00FC4B35">
        <w:rPr>
          <w:vertAlign w:val="superscript"/>
        </w:rPr>
        <w:t>2</w:t>
      </w:r>
      <w:r>
        <w:t xml:space="preserve"> m</w:t>
      </w:r>
      <w:r w:rsidRPr="00FC4B35">
        <w:t>easures how much of the stock’s excess return is explained by market excess return.</w:t>
      </w:r>
      <w:r>
        <w:t xml:space="preserve"> </w:t>
      </w:r>
      <w:r w:rsidRPr="00FC4B35">
        <w:t>Higher R²</w:t>
      </w:r>
      <w:r>
        <w:t xml:space="preserve"> indicates </w:t>
      </w:r>
      <w:r w:rsidRPr="00FC4B35">
        <w:t>the market model explains a larger share of movements</w:t>
      </w:r>
      <w:r>
        <w:t>, while l</w:t>
      </w:r>
      <w:r w:rsidRPr="00FC4B35">
        <w:t>ower R²</w:t>
      </w:r>
      <w:r>
        <w:t xml:space="preserve"> indicates </w:t>
      </w:r>
      <w:r w:rsidRPr="00FC4B35">
        <w:t>stock returns are driven more by firm-specific or sector-specific factors</w:t>
      </w:r>
      <w:r w:rsidR="00EF4BE3">
        <w:t>.</w:t>
      </w:r>
    </w:p>
    <w:p w14:paraId="19015104" w14:textId="3543879E" w:rsidR="00FC4B35" w:rsidRPr="00FC4B35" w:rsidRDefault="00FC4B35" w:rsidP="00EF4BE3">
      <w:r w:rsidRPr="00FC4B35">
        <w:rPr>
          <w:b/>
          <w:bCs/>
        </w:rPr>
        <w:t>ANOVA F-Test:</w:t>
      </w:r>
      <w:r w:rsidRPr="00FC4B35">
        <w:br/>
      </w:r>
      <w:r>
        <w:t>It t</w:t>
      </w:r>
      <w:r w:rsidRPr="00FC4B35">
        <w:t>ests whether the regression model is statistically meaningful overall.</w:t>
      </w:r>
      <w:r w:rsidR="00EF4BE3">
        <w:t xml:space="preserve"> </w:t>
      </w:r>
      <w:r w:rsidRPr="00FC4B35">
        <w:t xml:space="preserve">High F-statistic with a very small p-value </w:t>
      </w:r>
      <w:r w:rsidR="00EF4BE3">
        <w:t>provides</w:t>
      </w:r>
      <w:r w:rsidRPr="00FC4B35">
        <w:t xml:space="preserve"> strong evidence </w:t>
      </w:r>
      <w:r w:rsidR="00EF4BE3">
        <w:t xml:space="preserve">that </w:t>
      </w:r>
      <w:r w:rsidRPr="00FC4B35">
        <w:t>the model explains variation in returns</w:t>
      </w:r>
      <w:r w:rsidR="00EF4BE3">
        <w:t xml:space="preserve">. </w:t>
      </w:r>
      <w:r w:rsidRPr="00FC4B35">
        <w:t xml:space="preserve">Low F-statistic or large p-value </w:t>
      </w:r>
      <w:r>
        <w:t>indicates</w:t>
      </w:r>
      <w:r w:rsidRPr="00FC4B35">
        <w:t xml:space="preserve"> weak model</w:t>
      </w:r>
      <w:r w:rsidR="00EF4BE3">
        <w:t>.</w:t>
      </w:r>
    </w:p>
    <w:p w14:paraId="75E885AD" w14:textId="7AB6850C" w:rsidR="00FC4B35" w:rsidRDefault="00FC4B35" w:rsidP="00FC4B35">
      <w:pPr>
        <w:rPr>
          <w:b/>
          <w:bCs/>
        </w:rPr>
      </w:pPr>
      <w:r w:rsidRPr="00FC4B35">
        <w:rPr>
          <w:b/>
          <w:bCs/>
        </w:rPr>
        <w:t>Model Fit Summary for All Stocks</w:t>
      </w:r>
      <w:r w:rsidR="00EF4BE3">
        <w:rPr>
          <w:b/>
          <w:bCs/>
        </w:rPr>
        <w:t>:</w:t>
      </w:r>
    </w:p>
    <w:tbl>
      <w:tblPr>
        <w:tblW w:w="7084" w:type="dxa"/>
        <w:tblLook w:val="04A0" w:firstRow="1" w:lastRow="0" w:firstColumn="1" w:lastColumn="0" w:noHBand="0" w:noVBand="1"/>
      </w:tblPr>
      <w:tblGrid>
        <w:gridCol w:w="1900"/>
        <w:gridCol w:w="1728"/>
        <w:gridCol w:w="1728"/>
        <w:gridCol w:w="1728"/>
      </w:tblGrid>
      <w:tr w:rsidR="004130B8" w:rsidRPr="00DD4FE3" w14:paraId="7309EBE0" w14:textId="77777777" w:rsidTr="004130B8">
        <w:trPr>
          <w:trHeight w:val="500"/>
        </w:trPr>
        <w:tc>
          <w:tcPr>
            <w:tcW w:w="1900" w:type="dxa"/>
            <w:tcBorders>
              <w:top w:val="single" w:sz="4" w:space="0" w:color="B8C0FF"/>
              <w:left w:val="single" w:sz="4" w:space="0" w:color="B8C0FF"/>
              <w:bottom w:val="single" w:sz="4" w:space="0" w:color="B8C0FF"/>
              <w:right w:val="single" w:sz="4" w:space="0" w:color="B8C0FF"/>
            </w:tcBorders>
            <w:shd w:val="clear" w:color="000000" w:fill="F2F2F2"/>
            <w:noWrap/>
            <w:vAlign w:val="center"/>
            <w:hideMark/>
          </w:tcPr>
          <w:p w14:paraId="7D470889" w14:textId="77777777" w:rsidR="004130B8" w:rsidRPr="00DD4FE3" w:rsidRDefault="004130B8" w:rsidP="004130B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Stock</w:t>
            </w:r>
          </w:p>
        </w:tc>
        <w:tc>
          <w:tcPr>
            <w:tcW w:w="1728" w:type="dxa"/>
            <w:tcBorders>
              <w:top w:val="single" w:sz="4" w:space="0" w:color="B8C0FF"/>
              <w:left w:val="nil"/>
              <w:bottom w:val="single" w:sz="4" w:space="0" w:color="B8C0FF"/>
              <w:right w:val="single" w:sz="4" w:space="0" w:color="B8C0FF"/>
            </w:tcBorders>
            <w:shd w:val="clear" w:color="000000" w:fill="F2F2F2"/>
            <w:noWrap/>
            <w:vAlign w:val="center"/>
            <w:hideMark/>
          </w:tcPr>
          <w:p w14:paraId="291F5DB1" w14:textId="77777777" w:rsidR="004130B8" w:rsidRPr="00DD4FE3" w:rsidRDefault="004130B8" w:rsidP="004130B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R²</w:t>
            </w:r>
          </w:p>
        </w:tc>
        <w:tc>
          <w:tcPr>
            <w:tcW w:w="1728" w:type="dxa"/>
            <w:tcBorders>
              <w:top w:val="single" w:sz="4" w:space="0" w:color="B8C0FF"/>
              <w:left w:val="nil"/>
              <w:bottom w:val="single" w:sz="4" w:space="0" w:color="B8C0FF"/>
              <w:right w:val="single" w:sz="4" w:space="0" w:color="B8C0FF"/>
            </w:tcBorders>
            <w:shd w:val="clear" w:color="000000" w:fill="F2F2F2"/>
            <w:noWrap/>
            <w:vAlign w:val="center"/>
            <w:hideMark/>
          </w:tcPr>
          <w:p w14:paraId="335A14C3" w14:textId="77777777" w:rsidR="004130B8" w:rsidRPr="00DD4FE3" w:rsidRDefault="004130B8" w:rsidP="004130B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ANOVA F</w:t>
            </w:r>
          </w:p>
        </w:tc>
        <w:tc>
          <w:tcPr>
            <w:tcW w:w="1728" w:type="dxa"/>
            <w:tcBorders>
              <w:top w:val="single" w:sz="4" w:space="0" w:color="B8C0FF"/>
              <w:left w:val="nil"/>
              <w:bottom w:val="single" w:sz="4" w:space="0" w:color="B8C0FF"/>
              <w:right w:val="single" w:sz="4" w:space="0" w:color="B8C0FF"/>
            </w:tcBorders>
            <w:shd w:val="clear" w:color="000000" w:fill="F2F2F2"/>
            <w:noWrap/>
            <w:vAlign w:val="center"/>
            <w:hideMark/>
          </w:tcPr>
          <w:p w14:paraId="21DB3EEE" w14:textId="77777777" w:rsidR="004130B8" w:rsidRPr="00DD4FE3" w:rsidRDefault="004130B8" w:rsidP="004130B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ANOVA p-value</w:t>
            </w:r>
          </w:p>
        </w:tc>
      </w:tr>
      <w:tr w:rsidR="004130B8" w:rsidRPr="00DD4FE3" w14:paraId="785FEE46"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5EAAF226"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JPM</w:t>
            </w:r>
          </w:p>
        </w:tc>
        <w:tc>
          <w:tcPr>
            <w:tcW w:w="1728" w:type="dxa"/>
            <w:tcBorders>
              <w:top w:val="nil"/>
              <w:left w:val="nil"/>
              <w:bottom w:val="single" w:sz="4" w:space="0" w:color="B8C0FF"/>
              <w:right w:val="single" w:sz="4" w:space="0" w:color="B8C0FF"/>
            </w:tcBorders>
            <w:noWrap/>
            <w:vAlign w:val="center"/>
            <w:hideMark/>
          </w:tcPr>
          <w:p w14:paraId="5F188CB8"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0.375</w:t>
            </w:r>
          </w:p>
        </w:tc>
        <w:tc>
          <w:tcPr>
            <w:tcW w:w="1728" w:type="dxa"/>
            <w:tcBorders>
              <w:top w:val="nil"/>
              <w:left w:val="nil"/>
              <w:bottom w:val="single" w:sz="4" w:space="0" w:color="B8C0FF"/>
              <w:right w:val="single" w:sz="4" w:space="0" w:color="B8C0FF"/>
            </w:tcBorders>
            <w:noWrap/>
            <w:vAlign w:val="center"/>
            <w:hideMark/>
          </w:tcPr>
          <w:p w14:paraId="4BDB64C8"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749.99</w:t>
            </w:r>
          </w:p>
        </w:tc>
        <w:tc>
          <w:tcPr>
            <w:tcW w:w="1728" w:type="dxa"/>
            <w:tcBorders>
              <w:top w:val="nil"/>
              <w:left w:val="nil"/>
              <w:bottom w:val="single" w:sz="4" w:space="0" w:color="B8C0FF"/>
              <w:right w:val="single" w:sz="4" w:space="0" w:color="B8C0FF"/>
            </w:tcBorders>
            <w:noWrap/>
            <w:vAlign w:val="center"/>
            <w:hideMark/>
          </w:tcPr>
          <w:p w14:paraId="3AB622C0"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1.08E-129</w:t>
            </w:r>
          </w:p>
        </w:tc>
      </w:tr>
      <w:tr w:rsidR="004130B8" w:rsidRPr="00DD4FE3" w14:paraId="141DC321"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1344DB0F"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BAC</w:t>
            </w:r>
          </w:p>
        </w:tc>
        <w:tc>
          <w:tcPr>
            <w:tcW w:w="1728" w:type="dxa"/>
            <w:tcBorders>
              <w:top w:val="nil"/>
              <w:left w:val="nil"/>
              <w:bottom w:val="single" w:sz="4" w:space="0" w:color="B8C0FF"/>
              <w:right w:val="single" w:sz="4" w:space="0" w:color="B8C0FF"/>
            </w:tcBorders>
            <w:noWrap/>
            <w:vAlign w:val="center"/>
            <w:hideMark/>
          </w:tcPr>
          <w:p w14:paraId="53948A04"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0.358</w:t>
            </w:r>
          </w:p>
        </w:tc>
        <w:tc>
          <w:tcPr>
            <w:tcW w:w="1728" w:type="dxa"/>
            <w:tcBorders>
              <w:top w:val="nil"/>
              <w:left w:val="nil"/>
              <w:bottom w:val="single" w:sz="4" w:space="0" w:color="B8C0FF"/>
              <w:right w:val="single" w:sz="4" w:space="0" w:color="B8C0FF"/>
            </w:tcBorders>
            <w:noWrap/>
            <w:vAlign w:val="center"/>
            <w:hideMark/>
          </w:tcPr>
          <w:p w14:paraId="047FA4CE"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696.31</w:t>
            </w:r>
          </w:p>
        </w:tc>
        <w:tc>
          <w:tcPr>
            <w:tcW w:w="1728" w:type="dxa"/>
            <w:tcBorders>
              <w:top w:val="nil"/>
              <w:left w:val="nil"/>
              <w:bottom w:val="single" w:sz="4" w:space="0" w:color="B8C0FF"/>
              <w:right w:val="single" w:sz="4" w:space="0" w:color="B8C0FF"/>
            </w:tcBorders>
            <w:noWrap/>
            <w:vAlign w:val="center"/>
            <w:hideMark/>
          </w:tcPr>
          <w:p w14:paraId="2FE23526"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2.66E-122</w:t>
            </w:r>
          </w:p>
        </w:tc>
      </w:tr>
      <w:tr w:rsidR="004130B8" w:rsidRPr="00DD4FE3" w14:paraId="71A664A3"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54D39809"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lastRenderedPageBreak/>
              <w:t>WFC</w:t>
            </w:r>
          </w:p>
        </w:tc>
        <w:tc>
          <w:tcPr>
            <w:tcW w:w="1728" w:type="dxa"/>
            <w:tcBorders>
              <w:top w:val="nil"/>
              <w:left w:val="nil"/>
              <w:bottom w:val="single" w:sz="4" w:space="0" w:color="B8C0FF"/>
              <w:right w:val="single" w:sz="4" w:space="0" w:color="B8C0FF"/>
            </w:tcBorders>
            <w:noWrap/>
            <w:vAlign w:val="center"/>
            <w:hideMark/>
          </w:tcPr>
          <w:p w14:paraId="547C834F"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0.307</w:t>
            </w:r>
          </w:p>
        </w:tc>
        <w:tc>
          <w:tcPr>
            <w:tcW w:w="1728" w:type="dxa"/>
            <w:tcBorders>
              <w:top w:val="nil"/>
              <w:left w:val="nil"/>
              <w:bottom w:val="single" w:sz="4" w:space="0" w:color="B8C0FF"/>
              <w:right w:val="single" w:sz="4" w:space="0" w:color="B8C0FF"/>
            </w:tcBorders>
            <w:noWrap/>
            <w:vAlign w:val="center"/>
            <w:hideMark/>
          </w:tcPr>
          <w:p w14:paraId="47C65912"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551.92</w:t>
            </w:r>
          </w:p>
        </w:tc>
        <w:tc>
          <w:tcPr>
            <w:tcW w:w="1728" w:type="dxa"/>
            <w:tcBorders>
              <w:top w:val="nil"/>
              <w:left w:val="nil"/>
              <w:bottom w:val="single" w:sz="4" w:space="0" w:color="B8C0FF"/>
              <w:right w:val="single" w:sz="4" w:space="0" w:color="B8C0FF"/>
            </w:tcBorders>
            <w:noWrap/>
            <w:vAlign w:val="center"/>
            <w:hideMark/>
          </w:tcPr>
          <w:p w14:paraId="1F53EC8B"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2.34E-101</w:t>
            </w:r>
          </w:p>
        </w:tc>
      </w:tr>
      <w:tr w:rsidR="004130B8" w:rsidRPr="00DD4FE3" w14:paraId="6F345223"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176FC0BF"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GS</w:t>
            </w:r>
          </w:p>
        </w:tc>
        <w:tc>
          <w:tcPr>
            <w:tcW w:w="1728" w:type="dxa"/>
            <w:tcBorders>
              <w:top w:val="nil"/>
              <w:left w:val="nil"/>
              <w:bottom w:val="single" w:sz="4" w:space="0" w:color="B8C0FF"/>
              <w:right w:val="single" w:sz="4" w:space="0" w:color="B8C0FF"/>
            </w:tcBorders>
            <w:noWrap/>
            <w:vAlign w:val="center"/>
            <w:hideMark/>
          </w:tcPr>
          <w:p w14:paraId="354218DC"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0.457</w:t>
            </w:r>
          </w:p>
        </w:tc>
        <w:tc>
          <w:tcPr>
            <w:tcW w:w="1728" w:type="dxa"/>
            <w:tcBorders>
              <w:top w:val="nil"/>
              <w:left w:val="nil"/>
              <w:bottom w:val="single" w:sz="4" w:space="0" w:color="B8C0FF"/>
              <w:right w:val="single" w:sz="4" w:space="0" w:color="B8C0FF"/>
            </w:tcBorders>
            <w:noWrap/>
            <w:vAlign w:val="center"/>
            <w:hideMark/>
          </w:tcPr>
          <w:p w14:paraId="43C06F9C"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1050.5</w:t>
            </w:r>
          </w:p>
        </w:tc>
        <w:tc>
          <w:tcPr>
            <w:tcW w:w="1728" w:type="dxa"/>
            <w:tcBorders>
              <w:top w:val="nil"/>
              <w:left w:val="nil"/>
              <w:bottom w:val="single" w:sz="4" w:space="0" w:color="B8C0FF"/>
              <w:right w:val="single" w:sz="4" w:space="0" w:color="B8C0FF"/>
            </w:tcBorders>
            <w:noWrap/>
            <w:vAlign w:val="center"/>
            <w:hideMark/>
          </w:tcPr>
          <w:p w14:paraId="48869CA5"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1.05E-167</w:t>
            </w:r>
          </w:p>
        </w:tc>
      </w:tr>
      <w:tr w:rsidR="004130B8" w:rsidRPr="00DD4FE3" w14:paraId="1EAC3985"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453FEDA5"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BLK</w:t>
            </w:r>
          </w:p>
        </w:tc>
        <w:tc>
          <w:tcPr>
            <w:tcW w:w="1728" w:type="dxa"/>
            <w:tcBorders>
              <w:top w:val="nil"/>
              <w:left w:val="nil"/>
              <w:bottom w:val="single" w:sz="4" w:space="0" w:color="B8C0FF"/>
              <w:right w:val="single" w:sz="4" w:space="0" w:color="B8C0FF"/>
            </w:tcBorders>
            <w:noWrap/>
            <w:vAlign w:val="center"/>
            <w:hideMark/>
          </w:tcPr>
          <w:p w14:paraId="408CA031"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0.612</w:t>
            </w:r>
          </w:p>
        </w:tc>
        <w:tc>
          <w:tcPr>
            <w:tcW w:w="1728" w:type="dxa"/>
            <w:tcBorders>
              <w:top w:val="nil"/>
              <w:left w:val="nil"/>
              <w:bottom w:val="single" w:sz="4" w:space="0" w:color="B8C0FF"/>
              <w:right w:val="single" w:sz="4" w:space="0" w:color="B8C0FF"/>
            </w:tcBorders>
            <w:noWrap/>
            <w:vAlign w:val="center"/>
            <w:hideMark/>
          </w:tcPr>
          <w:p w14:paraId="6DEA5C0D"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1970.75</w:t>
            </w:r>
          </w:p>
        </w:tc>
        <w:tc>
          <w:tcPr>
            <w:tcW w:w="1728" w:type="dxa"/>
            <w:tcBorders>
              <w:top w:val="nil"/>
              <w:left w:val="nil"/>
              <w:bottom w:val="single" w:sz="4" w:space="0" w:color="B8C0FF"/>
              <w:right w:val="single" w:sz="4" w:space="0" w:color="B8C0FF"/>
            </w:tcBorders>
            <w:noWrap/>
            <w:vAlign w:val="center"/>
            <w:hideMark/>
          </w:tcPr>
          <w:p w14:paraId="52DA6046"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5.03E-259</w:t>
            </w:r>
          </w:p>
        </w:tc>
      </w:tr>
      <w:tr w:rsidR="004130B8" w:rsidRPr="00DD4FE3" w14:paraId="4D43A314"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50275FDC"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PLD</w:t>
            </w:r>
          </w:p>
        </w:tc>
        <w:tc>
          <w:tcPr>
            <w:tcW w:w="1728" w:type="dxa"/>
            <w:tcBorders>
              <w:top w:val="nil"/>
              <w:left w:val="nil"/>
              <w:bottom w:val="single" w:sz="4" w:space="0" w:color="B8C0FF"/>
              <w:right w:val="single" w:sz="4" w:space="0" w:color="B8C0FF"/>
            </w:tcBorders>
            <w:noWrap/>
            <w:vAlign w:val="center"/>
            <w:hideMark/>
          </w:tcPr>
          <w:p w14:paraId="11954BC6"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0.356</w:t>
            </w:r>
          </w:p>
        </w:tc>
        <w:tc>
          <w:tcPr>
            <w:tcW w:w="1728" w:type="dxa"/>
            <w:tcBorders>
              <w:top w:val="nil"/>
              <w:left w:val="nil"/>
              <w:bottom w:val="single" w:sz="4" w:space="0" w:color="B8C0FF"/>
              <w:right w:val="single" w:sz="4" w:space="0" w:color="B8C0FF"/>
            </w:tcBorders>
            <w:noWrap/>
            <w:vAlign w:val="center"/>
            <w:hideMark/>
          </w:tcPr>
          <w:p w14:paraId="27889E08"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690.2</w:t>
            </w:r>
          </w:p>
        </w:tc>
        <w:tc>
          <w:tcPr>
            <w:tcW w:w="1728" w:type="dxa"/>
            <w:tcBorders>
              <w:top w:val="nil"/>
              <w:left w:val="nil"/>
              <w:bottom w:val="single" w:sz="4" w:space="0" w:color="B8C0FF"/>
              <w:right w:val="single" w:sz="4" w:space="0" w:color="B8C0FF"/>
            </w:tcBorders>
            <w:noWrap/>
            <w:vAlign w:val="center"/>
            <w:hideMark/>
          </w:tcPr>
          <w:p w14:paraId="3F236E1A"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1.92E-121</w:t>
            </w:r>
          </w:p>
        </w:tc>
      </w:tr>
      <w:tr w:rsidR="004130B8" w:rsidRPr="00DD4FE3" w14:paraId="25BBC345"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36D4029E"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AMT</w:t>
            </w:r>
          </w:p>
        </w:tc>
        <w:tc>
          <w:tcPr>
            <w:tcW w:w="1728" w:type="dxa"/>
            <w:tcBorders>
              <w:top w:val="nil"/>
              <w:left w:val="nil"/>
              <w:bottom w:val="single" w:sz="4" w:space="0" w:color="B8C0FF"/>
              <w:right w:val="single" w:sz="4" w:space="0" w:color="B8C0FF"/>
            </w:tcBorders>
            <w:noWrap/>
            <w:vAlign w:val="center"/>
            <w:hideMark/>
          </w:tcPr>
          <w:p w14:paraId="7E7544C1"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0.125</w:t>
            </w:r>
          </w:p>
        </w:tc>
        <w:tc>
          <w:tcPr>
            <w:tcW w:w="1728" w:type="dxa"/>
            <w:tcBorders>
              <w:top w:val="nil"/>
              <w:left w:val="nil"/>
              <w:bottom w:val="single" w:sz="4" w:space="0" w:color="B8C0FF"/>
              <w:right w:val="single" w:sz="4" w:space="0" w:color="B8C0FF"/>
            </w:tcBorders>
            <w:noWrap/>
            <w:vAlign w:val="center"/>
            <w:hideMark/>
          </w:tcPr>
          <w:p w14:paraId="73DBACC0"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178.1</w:t>
            </w:r>
          </w:p>
        </w:tc>
        <w:tc>
          <w:tcPr>
            <w:tcW w:w="1728" w:type="dxa"/>
            <w:tcBorders>
              <w:top w:val="nil"/>
              <w:left w:val="nil"/>
              <w:bottom w:val="single" w:sz="4" w:space="0" w:color="B8C0FF"/>
              <w:right w:val="single" w:sz="4" w:space="0" w:color="B8C0FF"/>
            </w:tcBorders>
            <w:noWrap/>
            <w:vAlign w:val="center"/>
            <w:hideMark/>
          </w:tcPr>
          <w:p w14:paraId="4D7F3FB4"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4.56E-38</w:t>
            </w:r>
          </w:p>
        </w:tc>
      </w:tr>
      <w:tr w:rsidR="004130B8" w:rsidRPr="00DD4FE3" w14:paraId="3292776C"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F3EF09B"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SPG</w:t>
            </w:r>
          </w:p>
        </w:tc>
        <w:tc>
          <w:tcPr>
            <w:tcW w:w="1728" w:type="dxa"/>
            <w:tcBorders>
              <w:top w:val="nil"/>
              <w:left w:val="nil"/>
              <w:bottom w:val="single" w:sz="4" w:space="0" w:color="B8C0FF"/>
              <w:right w:val="single" w:sz="4" w:space="0" w:color="B8C0FF"/>
            </w:tcBorders>
            <w:noWrap/>
            <w:vAlign w:val="center"/>
            <w:hideMark/>
          </w:tcPr>
          <w:p w14:paraId="1CA1292D"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0.32</w:t>
            </w:r>
          </w:p>
        </w:tc>
        <w:tc>
          <w:tcPr>
            <w:tcW w:w="1728" w:type="dxa"/>
            <w:tcBorders>
              <w:top w:val="nil"/>
              <w:left w:val="nil"/>
              <w:bottom w:val="single" w:sz="4" w:space="0" w:color="B8C0FF"/>
              <w:right w:val="single" w:sz="4" w:space="0" w:color="B8C0FF"/>
            </w:tcBorders>
            <w:noWrap/>
            <w:vAlign w:val="center"/>
            <w:hideMark/>
          </w:tcPr>
          <w:p w14:paraId="6DB56608"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586.9</w:t>
            </w:r>
          </w:p>
        </w:tc>
        <w:tc>
          <w:tcPr>
            <w:tcW w:w="1728" w:type="dxa"/>
            <w:tcBorders>
              <w:top w:val="nil"/>
              <w:left w:val="nil"/>
              <w:bottom w:val="single" w:sz="4" w:space="0" w:color="B8C0FF"/>
              <w:right w:val="single" w:sz="4" w:space="0" w:color="B8C0FF"/>
            </w:tcBorders>
            <w:noWrap/>
            <w:vAlign w:val="center"/>
            <w:hideMark/>
          </w:tcPr>
          <w:p w14:paraId="63183412"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1.39E-106</w:t>
            </w:r>
          </w:p>
        </w:tc>
      </w:tr>
      <w:tr w:rsidR="004130B8" w:rsidRPr="00DD4FE3" w14:paraId="51EFCC03"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37FC3EC1"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AVB</w:t>
            </w:r>
          </w:p>
        </w:tc>
        <w:tc>
          <w:tcPr>
            <w:tcW w:w="1728" w:type="dxa"/>
            <w:tcBorders>
              <w:top w:val="nil"/>
              <w:left w:val="nil"/>
              <w:bottom w:val="single" w:sz="4" w:space="0" w:color="B8C0FF"/>
              <w:right w:val="single" w:sz="4" w:space="0" w:color="B8C0FF"/>
            </w:tcBorders>
            <w:noWrap/>
            <w:vAlign w:val="center"/>
            <w:hideMark/>
          </w:tcPr>
          <w:p w14:paraId="630047C1"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0.283</w:t>
            </w:r>
          </w:p>
        </w:tc>
        <w:tc>
          <w:tcPr>
            <w:tcW w:w="1728" w:type="dxa"/>
            <w:tcBorders>
              <w:top w:val="nil"/>
              <w:left w:val="nil"/>
              <w:bottom w:val="single" w:sz="4" w:space="0" w:color="B8C0FF"/>
              <w:right w:val="single" w:sz="4" w:space="0" w:color="B8C0FF"/>
            </w:tcBorders>
            <w:noWrap/>
            <w:vAlign w:val="center"/>
            <w:hideMark/>
          </w:tcPr>
          <w:p w14:paraId="1CCDA88F"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493.5</w:t>
            </w:r>
          </w:p>
        </w:tc>
        <w:tc>
          <w:tcPr>
            <w:tcW w:w="1728" w:type="dxa"/>
            <w:tcBorders>
              <w:top w:val="nil"/>
              <w:left w:val="nil"/>
              <w:bottom w:val="single" w:sz="4" w:space="0" w:color="B8C0FF"/>
              <w:right w:val="single" w:sz="4" w:space="0" w:color="B8C0FF"/>
            </w:tcBorders>
            <w:noWrap/>
            <w:vAlign w:val="center"/>
            <w:hideMark/>
          </w:tcPr>
          <w:p w14:paraId="18C82994"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2.12E-92</w:t>
            </w:r>
          </w:p>
        </w:tc>
      </w:tr>
      <w:tr w:rsidR="004130B8" w:rsidRPr="00DD4FE3" w14:paraId="6D61D7D9" w14:textId="77777777" w:rsidTr="004130B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7772603C"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O</w:t>
            </w:r>
          </w:p>
        </w:tc>
        <w:tc>
          <w:tcPr>
            <w:tcW w:w="1728" w:type="dxa"/>
            <w:tcBorders>
              <w:top w:val="nil"/>
              <w:left w:val="nil"/>
              <w:bottom w:val="single" w:sz="4" w:space="0" w:color="B8C0FF"/>
              <w:right w:val="single" w:sz="4" w:space="0" w:color="B8C0FF"/>
            </w:tcBorders>
            <w:noWrap/>
            <w:vAlign w:val="center"/>
            <w:hideMark/>
          </w:tcPr>
          <w:p w14:paraId="79E2D322"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0.168</w:t>
            </w:r>
          </w:p>
        </w:tc>
        <w:tc>
          <w:tcPr>
            <w:tcW w:w="1728" w:type="dxa"/>
            <w:tcBorders>
              <w:top w:val="nil"/>
              <w:left w:val="nil"/>
              <w:bottom w:val="single" w:sz="4" w:space="0" w:color="B8C0FF"/>
              <w:right w:val="single" w:sz="4" w:space="0" w:color="B8C0FF"/>
            </w:tcBorders>
            <w:noWrap/>
            <w:vAlign w:val="center"/>
            <w:hideMark/>
          </w:tcPr>
          <w:p w14:paraId="0DCAAA94"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251.5</w:t>
            </w:r>
          </w:p>
        </w:tc>
        <w:tc>
          <w:tcPr>
            <w:tcW w:w="1728" w:type="dxa"/>
            <w:tcBorders>
              <w:top w:val="nil"/>
              <w:left w:val="nil"/>
              <w:bottom w:val="single" w:sz="4" w:space="0" w:color="B8C0FF"/>
              <w:right w:val="single" w:sz="4" w:space="0" w:color="B8C0FF"/>
            </w:tcBorders>
            <w:noWrap/>
            <w:vAlign w:val="center"/>
            <w:hideMark/>
          </w:tcPr>
          <w:p w14:paraId="32FEA08C" w14:textId="77777777" w:rsidR="004130B8" w:rsidRPr="00DD4FE3" w:rsidRDefault="004130B8" w:rsidP="004130B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9.57E-52</w:t>
            </w:r>
          </w:p>
        </w:tc>
      </w:tr>
    </w:tbl>
    <w:p w14:paraId="753E9B29" w14:textId="77777777" w:rsidR="00EF4BE3" w:rsidRDefault="00EF4BE3" w:rsidP="00FC4B35">
      <w:pPr>
        <w:rPr>
          <w:b/>
          <w:bCs/>
        </w:rPr>
      </w:pPr>
    </w:p>
    <w:p w14:paraId="0198517C" w14:textId="0C3787BC" w:rsidR="003A11E8" w:rsidRPr="00FC4B35" w:rsidRDefault="003A11E8" w:rsidP="00FC4B35">
      <w:pPr>
        <w:rPr>
          <w:b/>
          <w:bCs/>
        </w:rPr>
      </w:pPr>
      <w:r w:rsidRPr="003A11E8">
        <w:rPr>
          <w:b/>
          <w:bCs/>
        </w:rPr>
        <w:t>Interpretation of Model Fit</w:t>
      </w:r>
      <w:r>
        <w:rPr>
          <w:b/>
          <w:bCs/>
        </w:rPr>
        <w:t>:</w:t>
      </w:r>
    </w:p>
    <w:p w14:paraId="4DB51246" w14:textId="77777777" w:rsidR="003A11E8" w:rsidRPr="00BC50EB" w:rsidRDefault="003A11E8" w:rsidP="003A11E8">
      <w:pPr>
        <w:numPr>
          <w:ilvl w:val="0"/>
          <w:numId w:val="18"/>
        </w:numPr>
      </w:pPr>
      <w:r w:rsidRPr="00BC50EB">
        <w:t>Financial stocks (JPM, BAC, WFC, GS, BLK):</w:t>
      </w:r>
    </w:p>
    <w:p w14:paraId="368AE325" w14:textId="23081ABA" w:rsidR="003A11E8" w:rsidRPr="00BC50EB" w:rsidRDefault="003A11E8" w:rsidP="003A11E8">
      <w:pPr>
        <w:numPr>
          <w:ilvl w:val="1"/>
          <w:numId w:val="18"/>
        </w:numPr>
      </w:pPr>
      <w:r w:rsidRPr="003A11E8">
        <w:rPr>
          <w:rStyle w:val="Strong"/>
          <w:b w:val="0"/>
          <w:bCs w:val="0"/>
        </w:rPr>
        <w:t>BLK</w:t>
      </w:r>
      <w:r>
        <w:t xml:space="preserve"> has the strongest model fit (R² = 0.612), meaning the market explains more than half of its daily excess returns.</w:t>
      </w:r>
    </w:p>
    <w:p w14:paraId="2ACB4259" w14:textId="21E400DA" w:rsidR="003A11E8" w:rsidRDefault="003A11E8" w:rsidP="003A11E8">
      <w:pPr>
        <w:numPr>
          <w:ilvl w:val="1"/>
          <w:numId w:val="18"/>
        </w:numPr>
      </w:pPr>
      <w:r w:rsidRPr="003A11E8">
        <w:t xml:space="preserve">GS has a </w:t>
      </w:r>
      <w:r>
        <w:t xml:space="preserve">moderately </w:t>
      </w:r>
      <w:r w:rsidRPr="003A11E8">
        <w:t xml:space="preserve">strong fit (R² = 0.457), </w:t>
      </w:r>
      <w:r>
        <w:t xml:space="preserve">which along with the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Theme="minorEastAsia"/>
        </w:rPr>
        <w:t xml:space="preserve"> </w:t>
      </w:r>
      <w:r w:rsidRPr="003A11E8">
        <w:t>reflect</w:t>
      </w:r>
      <w:r>
        <w:t>s</w:t>
      </w:r>
      <w:r w:rsidRPr="003A11E8">
        <w:t xml:space="preserve"> its high market sensitivity</w:t>
      </w:r>
      <w:r w:rsidR="008D4D4C">
        <w:t>.</w:t>
      </w:r>
      <w:r w:rsidRPr="003A11E8">
        <w:t xml:space="preserve"> </w:t>
      </w:r>
    </w:p>
    <w:p w14:paraId="0938C282" w14:textId="66501F3D" w:rsidR="003A11E8" w:rsidRPr="00BC50EB" w:rsidRDefault="003A11E8" w:rsidP="003A11E8">
      <w:pPr>
        <w:numPr>
          <w:ilvl w:val="1"/>
          <w:numId w:val="18"/>
        </w:numPr>
      </w:pPr>
      <w:r w:rsidRPr="00BC50EB">
        <w:t xml:space="preserve">BLK has the highest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eastAsiaTheme="minorEastAsia"/>
        </w:rPr>
        <w:t xml:space="preserve"> </w:t>
      </w:r>
      <w:r w:rsidRPr="00BC50EB">
        <w:t>(1.206)</w:t>
      </w:r>
      <w:r>
        <w:t xml:space="preserve"> and shows above-market sensitivity</w:t>
      </w:r>
      <w:r w:rsidRPr="00BC50EB">
        <w:t>.</w:t>
      </w:r>
    </w:p>
    <w:p w14:paraId="618AB451" w14:textId="3FBCFD1C" w:rsidR="003A11E8" w:rsidRDefault="003A11E8" w:rsidP="003A11E8">
      <w:pPr>
        <w:numPr>
          <w:ilvl w:val="1"/>
          <w:numId w:val="18"/>
        </w:numPr>
      </w:pPr>
      <w:r w:rsidRPr="003A11E8">
        <w:t>JPM, BAC, and WFC show moderate R² values (0.30–0.38), meaning the market explains roughly one-third of their return variation.</w:t>
      </w:r>
    </w:p>
    <w:p w14:paraId="68759841" w14:textId="5C56034F" w:rsidR="003A11E8" w:rsidRPr="00BC50EB" w:rsidRDefault="008D4D4C" w:rsidP="008D4D4C">
      <w:pPr>
        <w:numPr>
          <w:ilvl w:val="1"/>
          <w:numId w:val="18"/>
        </w:numPr>
      </w:pPr>
      <w:r w:rsidRPr="008D4D4C">
        <w:t>For all financial stocks, ANOVA p-values are effectively zero</w:t>
      </w:r>
      <w:r>
        <w:t>, indicating</w:t>
      </w:r>
      <w:r w:rsidRPr="008D4D4C">
        <w:t xml:space="preserve"> each regression model is highly significant</w:t>
      </w:r>
    </w:p>
    <w:p w14:paraId="21345F05" w14:textId="77777777" w:rsidR="003A11E8" w:rsidRPr="00BC50EB" w:rsidRDefault="003A11E8" w:rsidP="003A11E8">
      <w:pPr>
        <w:numPr>
          <w:ilvl w:val="0"/>
          <w:numId w:val="18"/>
        </w:numPr>
      </w:pPr>
      <w:r w:rsidRPr="00BC50EB">
        <w:t>Real estate stocks (PLD, AMT, SPG, AVB, O):</w:t>
      </w:r>
    </w:p>
    <w:p w14:paraId="712E0341" w14:textId="4945F653" w:rsidR="003A11E8" w:rsidRDefault="00CF21E8" w:rsidP="003A11E8">
      <w:pPr>
        <w:numPr>
          <w:ilvl w:val="1"/>
          <w:numId w:val="18"/>
        </w:numPr>
      </w:pPr>
      <w:r w:rsidRPr="00CF21E8">
        <w:t>PLD and SPG show moderate model fit (R² around 0.32–0.36)</w:t>
      </w:r>
      <w:r w:rsidR="003A11E8" w:rsidRPr="00BC50EB">
        <w:t>.</w:t>
      </w:r>
    </w:p>
    <w:p w14:paraId="68946D41" w14:textId="46FC26BC" w:rsidR="003A11E8" w:rsidRDefault="00CF21E8" w:rsidP="003A11E8">
      <w:pPr>
        <w:numPr>
          <w:ilvl w:val="1"/>
          <w:numId w:val="18"/>
        </w:numPr>
      </w:pPr>
      <w:r w:rsidRPr="00CF21E8">
        <w:rPr>
          <w:rFonts w:eastAsiaTheme="majorEastAsia"/>
        </w:rPr>
        <w:t>AVB shows a slightly lower R² (0.283)</w:t>
      </w:r>
      <w:r w:rsidR="003A11E8" w:rsidRPr="00BC50EB">
        <w:t>.</w:t>
      </w:r>
    </w:p>
    <w:p w14:paraId="059BA0BB" w14:textId="6A392156" w:rsidR="00FC4B35" w:rsidRDefault="00CF21E8" w:rsidP="003A11E8">
      <w:pPr>
        <w:numPr>
          <w:ilvl w:val="1"/>
          <w:numId w:val="18"/>
        </w:numPr>
      </w:pPr>
      <w:r w:rsidRPr="00405693">
        <w:rPr>
          <w:rStyle w:val="Strong"/>
          <w:b w:val="0"/>
          <w:bCs w:val="0"/>
        </w:rPr>
        <w:t>AMT</w:t>
      </w:r>
      <w:r w:rsidRPr="00405693">
        <w:rPr>
          <w:b/>
          <w:bCs/>
        </w:rPr>
        <w:t xml:space="preserve"> </w:t>
      </w:r>
      <w:r w:rsidRPr="00405693">
        <w:t>and</w:t>
      </w:r>
      <w:r w:rsidRPr="00405693">
        <w:rPr>
          <w:b/>
          <w:bCs/>
        </w:rPr>
        <w:t xml:space="preserve"> </w:t>
      </w:r>
      <w:r w:rsidRPr="00405693">
        <w:rPr>
          <w:rStyle w:val="Strong"/>
          <w:b w:val="0"/>
          <w:bCs w:val="0"/>
        </w:rPr>
        <w:t>O</w:t>
      </w:r>
      <w:r>
        <w:t xml:space="preserve"> have the lowest R² values (0.125 and 0.168), meaning the market explains a relatively small portion of their movements. These stocks behave more independently from the broader market.</w:t>
      </w:r>
    </w:p>
    <w:p w14:paraId="7BE8842E" w14:textId="5A9D5A1F" w:rsidR="00CF21E8" w:rsidRDefault="00CF21E8" w:rsidP="003A11E8">
      <w:pPr>
        <w:numPr>
          <w:ilvl w:val="1"/>
          <w:numId w:val="18"/>
        </w:numPr>
      </w:pPr>
      <w:r w:rsidRPr="00CF21E8">
        <w:lastRenderedPageBreak/>
        <w:t>All ANOVA p-values are extremely small, confirming that the models are statistically meaningful even when R² is low</w:t>
      </w:r>
      <w:r>
        <w:t>.</w:t>
      </w:r>
    </w:p>
    <w:p w14:paraId="636C547B" w14:textId="3BEE35D6" w:rsidR="00572F58" w:rsidRDefault="00572F58" w:rsidP="00572F58">
      <w:r>
        <w:t>Overall, t</w:t>
      </w:r>
      <w:r w:rsidRPr="00572F58">
        <w:t>he market model fits financial stocks better than real estate stocks.</w:t>
      </w:r>
      <w:r>
        <w:t xml:space="preserve"> </w:t>
      </w:r>
      <w:r w:rsidRPr="00572F58">
        <w:t>Despite differences in R², all models are statistically significant based on the ANOVA F-tests.</w:t>
      </w:r>
    </w:p>
    <w:p w14:paraId="09C10657" w14:textId="37FFD452" w:rsidR="0063122F" w:rsidRDefault="0063122F" w:rsidP="007F30A0">
      <w:pPr>
        <w:pStyle w:val="Heading2"/>
      </w:pPr>
      <w:bookmarkStart w:id="13" w:name="_Toc214932640"/>
      <w:r>
        <w:t xml:space="preserve">Stock Volatility Relative to the Market (Testing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=1</m:t>
        </m:r>
      </m:oMath>
      <w:r>
        <w:t>)</w:t>
      </w:r>
      <w:bookmarkEnd w:id="13"/>
    </w:p>
    <w:p w14:paraId="6C401E4B" w14:textId="77777777" w:rsidR="00DF2634" w:rsidRDefault="00DF2634" w:rsidP="00DF2634">
      <w:r w:rsidRPr="00E50609">
        <w:rPr>
          <w:b/>
          <w:bCs/>
        </w:rPr>
        <w:t>Hypotheses</w:t>
      </w:r>
      <w:r>
        <w:t>:</w:t>
      </w:r>
    </w:p>
    <w:p w14:paraId="3E938E2D" w14:textId="642FF8F5" w:rsidR="00DF2634" w:rsidRDefault="00DF2634" w:rsidP="00DF2634">
      <w:r>
        <w:t>For each stock, we test whether its market sensitivity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t>) equals one:</w:t>
      </w:r>
    </w:p>
    <w:p w14:paraId="72D710A3" w14:textId="73BD7339" w:rsidR="00DF2634" w:rsidRPr="000A7269" w:rsidRDefault="00000000" w:rsidP="00DF2634">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=1​</m:t>
          </m:r>
        </m:oMath>
      </m:oMathPara>
    </w:p>
    <w:p w14:paraId="3FA644E9" w14:textId="2E9B2F9A" w:rsidR="00DF2634" w:rsidRPr="000A7269" w:rsidRDefault="00000000" w:rsidP="00DF2634">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≠1</m:t>
          </m:r>
        </m:oMath>
      </m:oMathPara>
    </w:p>
    <w:p w14:paraId="080C01D4" w14:textId="77777777" w:rsidR="00DF2634" w:rsidRDefault="00DF2634" w:rsidP="00DF2634">
      <w:r w:rsidRPr="00E50609">
        <w:rPr>
          <w:b/>
          <w:bCs/>
        </w:rPr>
        <w:t>Test statistic and probability distribution</w:t>
      </w:r>
      <w:r>
        <w:t>:</w:t>
      </w:r>
    </w:p>
    <w:p w14:paraId="5A4A62C8" w14:textId="77777777" w:rsidR="00D054C7" w:rsidRPr="00D054C7" w:rsidRDefault="00D054C7" w:rsidP="00D054C7">
      <w:r w:rsidRPr="00D054C7">
        <w:t>We use a two-sided t-test:</w:t>
      </w:r>
    </w:p>
    <w:p w14:paraId="72BC7303" w14:textId="0A23D4E4" w:rsidR="00D054C7" w:rsidRPr="00D054C7" w:rsidRDefault="00D054C7" w:rsidP="00D054C7">
      <m:oMathPara>
        <m:oMath>
          <m:r>
            <w:rPr>
              <w:rFonts w:ascii="Cambria Math" w:hAnsi="Cambria Math"/>
            </w:rPr>
            <m:t>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-1</m:t>
              </m:r>
            </m:num>
            <m:den>
              <m:r>
                <w:rPr>
                  <w:rFonts w:ascii="Cambria Math" w:hAnsi="Cambria Math"/>
                </w:rPr>
                <m:t>SE(</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den>
          </m:f>
          <m:r>
            <m:rPr>
              <m:sty m:val="p"/>
            </m:rPr>
            <w:br/>
          </m:r>
        </m:oMath>
      </m:oMathPara>
    </w:p>
    <w:p w14:paraId="42952A8F" w14:textId="64D92E20" w:rsidR="00D054C7" w:rsidRPr="00D054C7" w:rsidRDefault="00D054C7" w:rsidP="00D054C7">
      <w:r w:rsidRPr="00D054C7">
        <w:t>Under the null</w:t>
      </w:r>
      <w:r>
        <w:t xml:space="preserve"> hypothesis</w:t>
      </w:r>
      <w:r w:rsidRPr="00D054C7">
        <w:t xml:space="preserve">, the test statistic follows a t-distribution with </w:t>
      </w:r>
      <m:oMath>
        <m:r>
          <w:rPr>
            <w:rFonts w:ascii="Cambria Math" w:hAnsi="Cambria Math"/>
          </w:rPr>
          <m:t xml:space="preserve">n-2 </m:t>
        </m:r>
      </m:oMath>
      <w:r w:rsidRPr="00D054C7">
        <w:t>degrees of freedom.</w:t>
      </w:r>
    </w:p>
    <w:p w14:paraId="4FAEC4DB" w14:textId="0CE01EF1" w:rsidR="00DF2634" w:rsidRDefault="00D054C7" w:rsidP="00DF2634">
      <w:r w:rsidRPr="00D054C7">
        <w:t xml:space="preserve">We also use the 95% confidence interval for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D054C7">
        <w:t>to confirm the decision.</w:t>
      </w:r>
    </w:p>
    <w:p w14:paraId="7EC2F127" w14:textId="77777777" w:rsidR="00DF2634" w:rsidRDefault="00DF2634" w:rsidP="00DF2634">
      <w:r>
        <w:t>Test statistic calculation:</w:t>
      </w:r>
    </w:p>
    <w:p w14:paraId="77148A33" w14:textId="3382CDE6" w:rsidR="00D054C7" w:rsidRPr="0048038C" w:rsidRDefault="00D054C7" w:rsidP="00D054C7">
      <w:pPr>
        <w:rPr>
          <w:rFonts w:eastAsiaTheme="minorEastAsia"/>
        </w:rPr>
      </w:pPr>
      <w:r>
        <w:t>The table below summarizes the results</w:t>
      </w:r>
      <w:r w:rsidR="00DF2634">
        <w:rPr>
          <w:rFonts w:eastAsiaTheme="minorEastAsia"/>
        </w:rPr>
        <w:t>:</w:t>
      </w:r>
    </w:p>
    <w:tbl>
      <w:tblPr>
        <w:tblW w:w="9341" w:type="dxa"/>
        <w:tblLook w:val="04A0" w:firstRow="1" w:lastRow="0" w:firstColumn="1" w:lastColumn="0" w:noHBand="0" w:noVBand="1"/>
      </w:tblPr>
      <w:tblGrid>
        <w:gridCol w:w="738"/>
        <w:gridCol w:w="831"/>
        <w:gridCol w:w="856"/>
        <w:gridCol w:w="990"/>
        <w:gridCol w:w="990"/>
        <w:gridCol w:w="1620"/>
        <w:gridCol w:w="810"/>
        <w:gridCol w:w="2506"/>
      </w:tblGrid>
      <w:tr w:rsidR="00936BEC" w:rsidRPr="00D73165" w14:paraId="5C796376" w14:textId="2C4657CA" w:rsidTr="00D73165">
        <w:trPr>
          <w:trHeight w:val="500"/>
        </w:trPr>
        <w:tc>
          <w:tcPr>
            <w:tcW w:w="738" w:type="dxa"/>
            <w:tcBorders>
              <w:top w:val="single" w:sz="4" w:space="0" w:color="B8C0FF"/>
              <w:left w:val="single" w:sz="4" w:space="0" w:color="B8C0FF"/>
              <w:bottom w:val="single" w:sz="4" w:space="0" w:color="B8C0FF"/>
              <w:right w:val="single" w:sz="4" w:space="0" w:color="B8C0FF"/>
            </w:tcBorders>
            <w:shd w:val="clear" w:color="000000" w:fill="F2F2F2"/>
            <w:noWrap/>
            <w:vAlign w:val="center"/>
            <w:hideMark/>
          </w:tcPr>
          <w:p w14:paraId="6A06C321" w14:textId="77777777" w:rsidR="00936BEC" w:rsidRPr="00D73165" w:rsidRDefault="00936BEC" w:rsidP="00D054C7">
            <w:pPr>
              <w:spacing w:after="0" w:line="240" w:lineRule="auto"/>
              <w:jc w:val="center"/>
              <w:rPr>
                <w:rFonts w:ascii="Aptos" w:eastAsia="Times New Roman" w:hAnsi="Aptos" w:cs="Times New Roman"/>
                <w:b/>
                <w:bCs/>
                <w:color w:val="000000"/>
                <w:kern w:val="0"/>
                <w:sz w:val="20"/>
                <w:szCs w:val="20"/>
                <w14:ligatures w14:val="none"/>
              </w:rPr>
            </w:pPr>
            <w:r w:rsidRPr="00D73165">
              <w:rPr>
                <w:rFonts w:ascii="Aptos" w:eastAsia="Times New Roman" w:hAnsi="Aptos" w:cs="Times New Roman"/>
                <w:b/>
                <w:bCs/>
                <w:color w:val="000000"/>
                <w:kern w:val="0"/>
                <w:sz w:val="20"/>
                <w:szCs w:val="20"/>
                <w14:ligatures w14:val="none"/>
              </w:rPr>
              <w:t>Stock</w:t>
            </w:r>
          </w:p>
        </w:tc>
        <w:tc>
          <w:tcPr>
            <w:tcW w:w="831" w:type="dxa"/>
            <w:tcBorders>
              <w:top w:val="single" w:sz="4" w:space="0" w:color="B8C0FF"/>
              <w:left w:val="nil"/>
              <w:bottom w:val="single" w:sz="4" w:space="0" w:color="B8C0FF"/>
              <w:right w:val="single" w:sz="4" w:space="0" w:color="B8C0FF"/>
            </w:tcBorders>
            <w:shd w:val="clear" w:color="000000" w:fill="F2F2F2"/>
            <w:noWrap/>
            <w:vAlign w:val="center"/>
            <w:hideMark/>
          </w:tcPr>
          <w:p w14:paraId="2078CBE4" w14:textId="33FA3DB4" w:rsidR="00936BEC" w:rsidRPr="00D73165" w:rsidRDefault="00936BEC" w:rsidP="00D054C7">
            <w:pPr>
              <w:spacing w:after="0" w:line="240" w:lineRule="auto"/>
              <w:jc w:val="center"/>
              <w:rPr>
                <w:rFonts w:ascii="Aptos" w:eastAsia="Times New Roman" w:hAnsi="Aptos" w:cs="Times New Roman"/>
                <w:b/>
                <w:bCs/>
                <w:color w:val="000000"/>
                <w:kern w:val="0"/>
                <w:sz w:val="20"/>
                <w:szCs w:val="20"/>
                <w14:ligatures w14:val="none"/>
              </w:rPr>
            </w:pPr>
            <m:oMathPara>
              <m:oMath>
                <m:acc>
                  <m:accPr>
                    <m:ctrlPr>
                      <w:rPr>
                        <w:rFonts w:ascii="Cambria Math" w:hAnsi="Cambria Math"/>
                        <w:b/>
                        <w:bCs/>
                        <w:sz w:val="20"/>
                        <w:szCs w:val="20"/>
                      </w:rPr>
                    </m:ctrlPr>
                  </m:accPr>
                  <m:e>
                    <m:sSub>
                      <m:sSubPr>
                        <m:ctrlPr>
                          <w:rPr>
                            <w:rFonts w:ascii="Cambria Math" w:hAnsi="Cambria Math"/>
                            <w:b/>
                            <w:bCs/>
                            <w:sz w:val="20"/>
                            <w:szCs w:val="20"/>
                          </w:rPr>
                        </m:ctrlPr>
                      </m:sSubPr>
                      <m:e>
                        <m:r>
                          <m:rPr>
                            <m:sty m:val="bi"/>
                          </m:rPr>
                          <w:rPr>
                            <w:rFonts w:ascii="Cambria Math" w:hAnsi="Cambria Math"/>
                            <w:sz w:val="20"/>
                            <w:szCs w:val="20"/>
                          </w:rPr>
                          <m:t>β</m:t>
                        </m:r>
                      </m:e>
                      <m:sub>
                        <m:r>
                          <m:rPr>
                            <m:sty m:val="bi"/>
                          </m:rPr>
                          <w:rPr>
                            <w:rFonts w:ascii="Cambria Math" w:hAnsi="Cambria Math"/>
                            <w:sz w:val="20"/>
                            <w:szCs w:val="20"/>
                          </w:rPr>
                          <m:t>1</m:t>
                        </m:r>
                      </m:sub>
                    </m:sSub>
                  </m:e>
                </m:acc>
              </m:oMath>
            </m:oMathPara>
          </w:p>
        </w:tc>
        <w:tc>
          <w:tcPr>
            <w:tcW w:w="856" w:type="dxa"/>
            <w:tcBorders>
              <w:top w:val="single" w:sz="4" w:space="0" w:color="B8C0FF"/>
              <w:left w:val="nil"/>
              <w:bottom w:val="single" w:sz="4" w:space="0" w:color="B8C0FF"/>
              <w:right w:val="single" w:sz="4" w:space="0" w:color="B8C0FF"/>
            </w:tcBorders>
            <w:shd w:val="clear" w:color="000000" w:fill="F2F2F2"/>
            <w:noWrap/>
            <w:vAlign w:val="center"/>
            <w:hideMark/>
          </w:tcPr>
          <w:p w14:paraId="5532A9D1" w14:textId="6B647405" w:rsidR="00936BEC" w:rsidRPr="00D73165" w:rsidRDefault="00936BEC" w:rsidP="00D054C7">
            <w:pPr>
              <w:spacing w:after="0" w:line="240" w:lineRule="auto"/>
              <w:jc w:val="center"/>
              <w:rPr>
                <w:rFonts w:ascii="Aptos" w:eastAsia="Times New Roman" w:hAnsi="Aptos" w:cs="Times New Roman"/>
                <w:b/>
                <w:bCs/>
                <w:color w:val="000000"/>
                <w:kern w:val="0"/>
                <w:sz w:val="20"/>
                <w:szCs w:val="20"/>
                <w14:ligatures w14:val="none"/>
              </w:rPr>
            </w:pPr>
            <w:proofErr w:type="gramStart"/>
            <w:r w:rsidRPr="00D73165">
              <w:rPr>
                <w:rFonts w:ascii="Aptos" w:eastAsia="Times New Roman" w:hAnsi="Aptos" w:cs="Times New Roman"/>
                <w:b/>
                <w:bCs/>
                <w:color w:val="000000"/>
                <w:kern w:val="0"/>
                <w:sz w:val="20"/>
                <w:szCs w:val="20"/>
                <w14:ligatures w14:val="none"/>
              </w:rPr>
              <w:t>SE(</w:t>
            </w:r>
            <w:proofErr w:type="gramEnd"/>
            <m:oMath>
              <m:acc>
                <m:accPr>
                  <m:ctrlPr>
                    <w:rPr>
                      <w:rFonts w:ascii="Cambria Math" w:hAnsi="Cambria Math"/>
                      <w:b/>
                      <w:bCs/>
                      <w:sz w:val="20"/>
                      <w:szCs w:val="20"/>
                    </w:rPr>
                  </m:ctrlPr>
                </m:accPr>
                <m:e>
                  <m:sSub>
                    <m:sSubPr>
                      <m:ctrlPr>
                        <w:rPr>
                          <w:rFonts w:ascii="Cambria Math" w:hAnsi="Cambria Math"/>
                          <w:b/>
                          <w:bCs/>
                          <w:sz w:val="20"/>
                          <w:szCs w:val="20"/>
                        </w:rPr>
                      </m:ctrlPr>
                    </m:sSubPr>
                    <m:e>
                      <m:r>
                        <m:rPr>
                          <m:sty m:val="bi"/>
                        </m:rPr>
                        <w:rPr>
                          <w:rFonts w:ascii="Cambria Math" w:hAnsi="Cambria Math"/>
                          <w:sz w:val="20"/>
                          <w:szCs w:val="20"/>
                        </w:rPr>
                        <m:t>β</m:t>
                      </m:r>
                    </m:e>
                    <m:sub>
                      <m:r>
                        <m:rPr>
                          <m:sty m:val="bi"/>
                        </m:rPr>
                        <w:rPr>
                          <w:rFonts w:ascii="Cambria Math" w:hAnsi="Cambria Math"/>
                          <w:sz w:val="20"/>
                          <w:szCs w:val="20"/>
                        </w:rPr>
                        <m:t>1</m:t>
                      </m:r>
                    </m:sub>
                  </m:sSub>
                </m:e>
              </m:acc>
            </m:oMath>
            <w:r w:rsidRPr="00D73165">
              <w:rPr>
                <w:rFonts w:ascii="Aptos" w:eastAsia="Times New Roman" w:hAnsi="Aptos" w:cs="Times New Roman"/>
                <w:b/>
                <w:bCs/>
                <w:color w:val="000000"/>
                <w:kern w:val="0"/>
                <w:sz w:val="20"/>
                <w:szCs w:val="20"/>
                <w14:ligatures w14:val="none"/>
              </w:rPr>
              <w:t>)</w:t>
            </w:r>
          </w:p>
        </w:tc>
        <w:tc>
          <w:tcPr>
            <w:tcW w:w="990" w:type="dxa"/>
            <w:tcBorders>
              <w:top w:val="single" w:sz="4" w:space="0" w:color="B8C0FF"/>
              <w:left w:val="nil"/>
              <w:bottom w:val="single" w:sz="4" w:space="0" w:color="B8C0FF"/>
              <w:right w:val="single" w:sz="4" w:space="0" w:color="B8C0FF"/>
            </w:tcBorders>
            <w:shd w:val="clear" w:color="000000" w:fill="F2F2F2"/>
            <w:noWrap/>
            <w:vAlign w:val="center"/>
            <w:hideMark/>
          </w:tcPr>
          <w:p w14:paraId="13A9956A" w14:textId="0BEB1699" w:rsidR="00936BEC" w:rsidRPr="00D73165" w:rsidRDefault="00936BEC" w:rsidP="00D054C7">
            <w:pPr>
              <w:spacing w:after="0" w:line="240" w:lineRule="auto"/>
              <w:jc w:val="center"/>
              <w:rPr>
                <w:rFonts w:ascii="Aptos" w:eastAsia="Times New Roman" w:hAnsi="Aptos" w:cs="Times New Roman"/>
                <w:b/>
                <w:bCs/>
                <w:color w:val="000000"/>
                <w:kern w:val="0"/>
                <w:sz w:val="20"/>
                <w:szCs w:val="20"/>
                <w14:ligatures w14:val="none"/>
              </w:rPr>
            </w:pPr>
            <w:r w:rsidRPr="00D73165">
              <w:rPr>
                <w:rFonts w:ascii="Aptos" w:eastAsia="Times New Roman" w:hAnsi="Aptos" w:cs="Times New Roman"/>
                <w:b/>
                <w:bCs/>
                <w:color w:val="000000"/>
                <w:kern w:val="0"/>
                <w:sz w:val="20"/>
                <w:szCs w:val="20"/>
                <w14:ligatures w14:val="none"/>
              </w:rPr>
              <w:t>t-stat</w:t>
            </w:r>
          </w:p>
        </w:tc>
        <w:tc>
          <w:tcPr>
            <w:tcW w:w="990" w:type="dxa"/>
            <w:tcBorders>
              <w:top w:val="single" w:sz="4" w:space="0" w:color="B8C0FF"/>
              <w:left w:val="nil"/>
              <w:bottom w:val="single" w:sz="4" w:space="0" w:color="B8C0FF"/>
              <w:right w:val="single" w:sz="4" w:space="0" w:color="B8C0FF"/>
            </w:tcBorders>
            <w:shd w:val="clear" w:color="000000" w:fill="F2F2F2"/>
            <w:noWrap/>
            <w:vAlign w:val="center"/>
            <w:hideMark/>
          </w:tcPr>
          <w:p w14:paraId="6BD5B8DB" w14:textId="77777777" w:rsidR="00936BEC" w:rsidRPr="00D73165" w:rsidRDefault="00936BEC" w:rsidP="00D054C7">
            <w:pPr>
              <w:spacing w:after="0" w:line="240" w:lineRule="auto"/>
              <w:jc w:val="center"/>
              <w:rPr>
                <w:rFonts w:ascii="Aptos" w:eastAsia="Times New Roman" w:hAnsi="Aptos" w:cs="Times New Roman"/>
                <w:b/>
                <w:bCs/>
                <w:color w:val="000000"/>
                <w:kern w:val="0"/>
                <w:sz w:val="20"/>
                <w:szCs w:val="20"/>
                <w14:ligatures w14:val="none"/>
              </w:rPr>
            </w:pPr>
            <w:r w:rsidRPr="00D73165">
              <w:rPr>
                <w:rFonts w:ascii="Aptos" w:eastAsia="Times New Roman" w:hAnsi="Aptos" w:cs="Times New Roman"/>
                <w:b/>
                <w:bCs/>
                <w:color w:val="000000"/>
                <w:kern w:val="0"/>
                <w:sz w:val="20"/>
                <w:szCs w:val="20"/>
                <w14:ligatures w14:val="none"/>
              </w:rPr>
              <w:t>p-value</w:t>
            </w:r>
          </w:p>
        </w:tc>
        <w:tc>
          <w:tcPr>
            <w:tcW w:w="1620" w:type="dxa"/>
            <w:tcBorders>
              <w:top w:val="single" w:sz="4" w:space="0" w:color="B8C0FF"/>
              <w:left w:val="nil"/>
              <w:bottom w:val="single" w:sz="4" w:space="0" w:color="B8C0FF"/>
              <w:right w:val="single" w:sz="4" w:space="0" w:color="B8C0FF"/>
            </w:tcBorders>
            <w:shd w:val="clear" w:color="000000" w:fill="F2F2F2"/>
            <w:noWrap/>
            <w:vAlign w:val="center"/>
            <w:hideMark/>
          </w:tcPr>
          <w:p w14:paraId="01218FFD" w14:textId="77777777" w:rsidR="00936BEC" w:rsidRPr="00D73165" w:rsidRDefault="00936BEC" w:rsidP="00D054C7">
            <w:pPr>
              <w:spacing w:after="0" w:line="240" w:lineRule="auto"/>
              <w:jc w:val="center"/>
              <w:rPr>
                <w:rFonts w:ascii="Aptos" w:eastAsia="Times New Roman" w:hAnsi="Aptos" w:cs="Times New Roman"/>
                <w:b/>
                <w:bCs/>
                <w:color w:val="000000"/>
                <w:kern w:val="0"/>
                <w:sz w:val="20"/>
                <w:szCs w:val="20"/>
                <w14:ligatures w14:val="none"/>
              </w:rPr>
            </w:pPr>
            <w:r w:rsidRPr="00D73165">
              <w:rPr>
                <w:rFonts w:ascii="Aptos" w:eastAsia="Times New Roman" w:hAnsi="Aptos" w:cs="Times New Roman"/>
                <w:b/>
                <w:bCs/>
                <w:color w:val="000000"/>
                <w:kern w:val="0"/>
                <w:sz w:val="20"/>
                <w:szCs w:val="20"/>
                <w14:ligatures w14:val="none"/>
              </w:rPr>
              <w:t>95% CI</w:t>
            </w:r>
          </w:p>
        </w:tc>
        <w:tc>
          <w:tcPr>
            <w:tcW w:w="810" w:type="dxa"/>
            <w:tcBorders>
              <w:top w:val="single" w:sz="4" w:space="0" w:color="B8C0FF"/>
              <w:left w:val="nil"/>
              <w:bottom w:val="single" w:sz="4" w:space="0" w:color="B8C0FF"/>
              <w:right w:val="single" w:sz="4" w:space="0" w:color="B8C0FF"/>
            </w:tcBorders>
            <w:shd w:val="clear" w:color="000000" w:fill="F2F2F2"/>
            <w:noWrap/>
            <w:vAlign w:val="center"/>
            <w:hideMark/>
          </w:tcPr>
          <w:p w14:paraId="7F9D9C12" w14:textId="502FB350" w:rsidR="00936BEC" w:rsidRPr="00D73165" w:rsidRDefault="00936BEC" w:rsidP="00D054C7">
            <w:pPr>
              <w:spacing w:after="0" w:line="240" w:lineRule="auto"/>
              <w:jc w:val="center"/>
              <w:rPr>
                <w:rFonts w:ascii="Aptos" w:eastAsia="Times New Roman" w:hAnsi="Aptos" w:cs="Times New Roman"/>
                <w:b/>
                <w:bCs/>
                <w:color w:val="000000"/>
                <w:kern w:val="0"/>
                <w:sz w:val="20"/>
                <w:szCs w:val="20"/>
                <w14:ligatures w14:val="none"/>
              </w:rPr>
            </w:pPr>
            <w:r w:rsidRPr="00D73165">
              <w:rPr>
                <w:rFonts w:ascii="Aptos" w:eastAsia="Times New Roman" w:hAnsi="Aptos" w:cs="Times New Roman"/>
                <w:b/>
                <w:bCs/>
                <w:color w:val="000000"/>
                <w:kern w:val="0"/>
                <w:sz w:val="20"/>
                <w:szCs w:val="20"/>
                <w14:ligatures w14:val="none"/>
              </w:rPr>
              <w:t xml:space="preserve">Reject </w:t>
            </w:r>
            <m:oMath>
              <m:r>
                <m:rPr>
                  <m:sty m:val="bi"/>
                </m:rPr>
                <w:rPr>
                  <w:rFonts w:ascii="Cambria Math" w:eastAsia="Times New Roman" w:hAnsi="Cambria Math" w:cs="Times New Roman"/>
                  <w:color w:val="000000"/>
                  <w:kern w:val="0"/>
                  <w:sz w:val="20"/>
                  <w:szCs w:val="20"/>
                  <w14:ligatures w14:val="none"/>
                </w:rPr>
                <m:t>H₀</m:t>
              </m:r>
            </m:oMath>
            <w:r w:rsidRPr="00D73165">
              <w:rPr>
                <w:rFonts w:ascii="Aptos" w:eastAsia="Times New Roman" w:hAnsi="Aptos" w:cs="Times New Roman"/>
                <w:b/>
                <w:bCs/>
                <w:color w:val="000000"/>
                <w:kern w:val="0"/>
                <w:sz w:val="20"/>
                <w:szCs w:val="20"/>
                <w14:ligatures w14:val="none"/>
              </w:rPr>
              <w:t>?</w:t>
            </w:r>
          </w:p>
        </w:tc>
        <w:tc>
          <w:tcPr>
            <w:tcW w:w="2506" w:type="dxa"/>
            <w:shd w:val="clear" w:color="auto" w:fill="F2F2F2" w:themeFill="background1" w:themeFillShade="F2"/>
            <w:vAlign w:val="center"/>
          </w:tcPr>
          <w:p w14:paraId="21A2AE3C" w14:textId="7C093F98" w:rsidR="00936BEC" w:rsidRPr="00D73165" w:rsidRDefault="00936BEC" w:rsidP="00D73165">
            <w:pPr>
              <w:spacing w:after="0" w:line="240" w:lineRule="auto"/>
              <w:rPr>
                <w:rFonts w:ascii="Aptos" w:eastAsia="Times New Roman" w:hAnsi="Aptos" w:cs="Times New Roman"/>
                <w:b/>
                <w:bCs/>
                <w:color w:val="000000"/>
                <w:kern w:val="0"/>
                <w:sz w:val="20"/>
                <w:szCs w:val="20"/>
                <w14:ligatures w14:val="none"/>
              </w:rPr>
            </w:pPr>
            <w:r w:rsidRPr="00D73165">
              <w:rPr>
                <w:rFonts w:ascii="Aptos" w:eastAsia="Times New Roman" w:hAnsi="Aptos" w:cs="Times New Roman"/>
                <w:b/>
                <w:bCs/>
                <w:color w:val="000000"/>
                <w:kern w:val="0"/>
                <w:sz w:val="20"/>
                <w:szCs w:val="20"/>
                <w14:ligatures w14:val="none"/>
              </w:rPr>
              <w:t>Remarks</w:t>
            </w:r>
            <w:r w:rsidR="00D73165" w:rsidRPr="00D73165">
              <w:rPr>
                <w:rFonts w:ascii="Aptos" w:eastAsia="Times New Roman" w:hAnsi="Aptos" w:cs="Times New Roman"/>
                <w:b/>
                <w:bCs/>
                <w:color w:val="000000"/>
                <w:kern w:val="0"/>
                <w:sz w:val="20"/>
                <w:szCs w:val="20"/>
                <w14:ligatures w14:val="none"/>
              </w:rPr>
              <w:t xml:space="preserve"> Based on CI</w:t>
            </w:r>
          </w:p>
        </w:tc>
      </w:tr>
      <w:tr w:rsidR="00936BEC" w:rsidRPr="00D73165" w14:paraId="16A83D57" w14:textId="79030311"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37E99416" w14:textId="77777777" w:rsidR="00936BEC" w:rsidRPr="00D73165" w:rsidRDefault="00936BEC" w:rsidP="00D054C7">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JPM</w:t>
            </w:r>
          </w:p>
        </w:tc>
        <w:tc>
          <w:tcPr>
            <w:tcW w:w="831" w:type="dxa"/>
            <w:tcBorders>
              <w:top w:val="nil"/>
              <w:left w:val="nil"/>
              <w:bottom w:val="single" w:sz="4" w:space="0" w:color="B8C0FF"/>
              <w:right w:val="single" w:sz="4" w:space="0" w:color="B8C0FF"/>
            </w:tcBorders>
            <w:noWrap/>
            <w:vAlign w:val="center"/>
            <w:hideMark/>
          </w:tcPr>
          <w:p w14:paraId="16E2F140" w14:textId="77777777" w:rsidR="00936BEC" w:rsidRPr="00D73165" w:rsidRDefault="00936BEC" w:rsidP="00D054C7">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0.9069</w:t>
            </w:r>
          </w:p>
        </w:tc>
        <w:tc>
          <w:tcPr>
            <w:tcW w:w="856" w:type="dxa"/>
            <w:tcBorders>
              <w:top w:val="nil"/>
              <w:left w:val="nil"/>
              <w:bottom w:val="single" w:sz="4" w:space="0" w:color="B8C0FF"/>
              <w:right w:val="single" w:sz="4" w:space="0" w:color="B8C0FF"/>
            </w:tcBorders>
            <w:noWrap/>
            <w:vAlign w:val="center"/>
            <w:hideMark/>
          </w:tcPr>
          <w:p w14:paraId="1B4DF540" w14:textId="77777777" w:rsidR="00936BEC" w:rsidRPr="00D73165" w:rsidRDefault="00936BEC" w:rsidP="00D054C7">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0.0331</w:t>
            </w:r>
          </w:p>
        </w:tc>
        <w:tc>
          <w:tcPr>
            <w:tcW w:w="990" w:type="dxa"/>
            <w:tcBorders>
              <w:top w:val="nil"/>
              <w:left w:val="nil"/>
              <w:bottom w:val="single" w:sz="4" w:space="0" w:color="B8C0FF"/>
              <w:right w:val="single" w:sz="4" w:space="0" w:color="B8C0FF"/>
            </w:tcBorders>
            <w:noWrap/>
            <w:vAlign w:val="center"/>
            <w:hideMark/>
          </w:tcPr>
          <w:p w14:paraId="18C6594A" w14:textId="77777777" w:rsidR="00936BEC" w:rsidRPr="00D73165" w:rsidRDefault="00936BEC" w:rsidP="00D054C7">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-2.8121</w:t>
            </w:r>
          </w:p>
        </w:tc>
        <w:tc>
          <w:tcPr>
            <w:tcW w:w="990" w:type="dxa"/>
            <w:tcBorders>
              <w:top w:val="nil"/>
              <w:left w:val="nil"/>
              <w:bottom w:val="single" w:sz="4" w:space="0" w:color="B8C0FF"/>
              <w:right w:val="single" w:sz="4" w:space="0" w:color="B8C0FF"/>
            </w:tcBorders>
            <w:noWrap/>
            <w:vAlign w:val="center"/>
            <w:hideMark/>
          </w:tcPr>
          <w:p w14:paraId="0C5C38D6" w14:textId="77777777" w:rsidR="00936BEC" w:rsidRPr="00D73165" w:rsidRDefault="00936BEC" w:rsidP="00D054C7">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0.005</w:t>
            </w:r>
          </w:p>
        </w:tc>
        <w:tc>
          <w:tcPr>
            <w:tcW w:w="1620" w:type="dxa"/>
            <w:tcBorders>
              <w:top w:val="nil"/>
              <w:left w:val="nil"/>
              <w:bottom w:val="single" w:sz="4" w:space="0" w:color="B8C0FF"/>
              <w:right w:val="single" w:sz="4" w:space="0" w:color="B8C0FF"/>
            </w:tcBorders>
            <w:noWrap/>
            <w:vAlign w:val="center"/>
            <w:hideMark/>
          </w:tcPr>
          <w:p w14:paraId="48FD321F" w14:textId="77777777" w:rsidR="00936BEC" w:rsidRPr="00D73165" w:rsidRDefault="00936BEC" w:rsidP="00D054C7">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[0.8419, 0.9718]</w:t>
            </w:r>
          </w:p>
        </w:tc>
        <w:tc>
          <w:tcPr>
            <w:tcW w:w="810" w:type="dxa"/>
            <w:tcBorders>
              <w:top w:val="nil"/>
              <w:left w:val="nil"/>
              <w:bottom w:val="single" w:sz="4" w:space="0" w:color="B8C0FF"/>
              <w:right w:val="single" w:sz="4" w:space="0" w:color="B8C0FF"/>
            </w:tcBorders>
            <w:noWrap/>
            <w:vAlign w:val="center"/>
            <w:hideMark/>
          </w:tcPr>
          <w:p w14:paraId="3478BAEF" w14:textId="77777777" w:rsidR="00936BEC" w:rsidRPr="00D73165" w:rsidRDefault="00936BEC" w:rsidP="00D054C7">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Yes</w:t>
            </w:r>
          </w:p>
        </w:tc>
        <w:tc>
          <w:tcPr>
            <w:tcW w:w="2506" w:type="dxa"/>
            <w:vAlign w:val="center"/>
          </w:tcPr>
          <w:p w14:paraId="0399AA20" w14:textId="52ADE16C" w:rsidR="00936BEC" w:rsidRPr="00D73165" w:rsidRDefault="00D73165" w:rsidP="00D73165">
            <w:pPr>
              <w:spacing w:after="0" w:line="240" w:lineRule="auto"/>
              <w:rPr>
                <w:rFonts w:ascii="Aptos" w:eastAsia="Times New Roman" w:hAnsi="Aptos" w:cs="Times New Roman"/>
                <w:color w:val="000000"/>
                <w:kern w:val="0"/>
                <w:sz w:val="20"/>
                <w:szCs w:val="20"/>
                <w14:ligatures w14:val="none"/>
              </w:rPr>
            </w:pPr>
            <m:oMath>
              <m:r>
                <w:rPr>
                  <w:rFonts w:ascii="Cambria Math" w:hAnsi="Cambria Math"/>
                  <w:sz w:val="20"/>
                  <w:szCs w:val="20"/>
                </w:rPr>
                <m:t>β₁</m:t>
              </m:r>
            </m:oMath>
            <w:r w:rsidRPr="00D73165">
              <w:rPr>
                <w:rFonts w:ascii="Aptos" w:hAnsi="Aptos"/>
                <w:sz w:val="20"/>
                <w:szCs w:val="20"/>
              </w:rPr>
              <w:t xml:space="preserve"> &lt; 1 is statistically supported (95% CI &lt; 1)</w:t>
            </w:r>
          </w:p>
        </w:tc>
      </w:tr>
      <w:tr w:rsidR="00D73165" w:rsidRPr="00D73165" w14:paraId="29666F85" w14:textId="39204659"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4F45F644"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BAC</w:t>
            </w:r>
          </w:p>
        </w:tc>
        <w:tc>
          <w:tcPr>
            <w:tcW w:w="831" w:type="dxa"/>
            <w:tcBorders>
              <w:top w:val="nil"/>
              <w:left w:val="nil"/>
              <w:bottom w:val="single" w:sz="4" w:space="0" w:color="B8C0FF"/>
              <w:right w:val="single" w:sz="4" w:space="0" w:color="B8C0FF"/>
            </w:tcBorders>
            <w:noWrap/>
            <w:vAlign w:val="center"/>
            <w:hideMark/>
          </w:tcPr>
          <w:p w14:paraId="4A05695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0.9882</w:t>
            </w:r>
          </w:p>
        </w:tc>
        <w:tc>
          <w:tcPr>
            <w:tcW w:w="856" w:type="dxa"/>
            <w:tcBorders>
              <w:top w:val="nil"/>
              <w:left w:val="nil"/>
              <w:bottom w:val="single" w:sz="4" w:space="0" w:color="B8C0FF"/>
              <w:right w:val="single" w:sz="4" w:space="0" w:color="B8C0FF"/>
            </w:tcBorders>
            <w:noWrap/>
            <w:vAlign w:val="center"/>
            <w:hideMark/>
          </w:tcPr>
          <w:p w14:paraId="4CA80CBF"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0.0374</w:t>
            </w:r>
          </w:p>
        </w:tc>
        <w:tc>
          <w:tcPr>
            <w:tcW w:w="990" w:type="dxa"/>
            <w:tcBorders>
              <w:top w:val="nil"/>
              <w:left w:val="nil"/>
              <w:bottom w:val="single" w:sz="4" w:space="0" w:color="B8C0FF"/>
              <w:right w:val="single" w:sz="4" w:space="0" w:color="B8C0FF"/>
            </w:tcBorders>
            <w:noWrap/>
            <w:vAlign w:val="center"/>
            <w:hideMark/>
          </w:tcPr>
          <w:p w14:paraId="65FDCDC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-0.3155</w:t>
            </w:r>
          </w:p>
        </w:tc>
        <w:tc>
          <w:tcPr>
            <w:tcW w:w="990" w:type="dxa"/>
            <w:tcBorders>
              <w:top w:val="nil"/>
              <w:left w:val="nil"/>
              <w:bottom w:val="single" w:sz="4" w:space="0" w:color="B8C0FF"/>
              <w:right w:val="single" w:sz="4" w:space="0" w:color="B8C0FF"/>
            </w:tcBorders>
            <w:noWrap/>
            <w:vAlign w:val="center"/>
            <w:hideMark/>
          </w:tcPr>
          <w:p w14:paraId="54CD508B"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0.7524</w:t>
            </w:r>
          </w:p>
        </w:tc>
        <w:tc>
          <w:tcPr>
            <w:tcW w:w="1620" w:type="dxa"/>
            <w:tcBorders>
              <w:top w:val="nil"/>
              <w:left w:val="nil"/>
              <w:bottom w:val="single" w:sz="4" w:space="0" w:color="B8C0FF"/>
              <w:right w:val="single" w:sz="4" w:space="0" w:color="B8C0FF"/>
            </w:tcBorders>
            <w:noWrap/>
            <w:vAlign w:val="center"/>
            <w:hideMark/>
          </w:tcPr>
          <w:p w14:paraId="6397D63C"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[0.9147, 1.0617]</w:t>
            </w:r>
          </w:p>
        </w:tc>
        <w:tc>
          <w:tcPr>
            <w:tcW w:w="810" w:type="dxa"/>
            <w:tcBorders>
              <w:top w:val="nil"/>
              <w:left w:val="nil"/>
              <w:bottom w:val="single" w:sz="4" w:space="0" w:color="B8C0FF"/>
              <w:right w:val="single" w:sz="4" w:space="0" w:color="B8C0FF"/>
            </w:tcBorders>
            <w:noWrap/>
            <w:vAlign w:val="center"/>
            <w:hideMark/>
          </w:tcPr>
          <w:p w14:paraId="5302B1A9"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No</w:t>
            </w:r>
          </w:p>
        </w:tc>
        <w:tc>
          <w:tcPr>
            <w:tcW w:w="2506" w:type="dxa"/>
            <w:vAlign w:val="center"/>
          </w:tcPr>
          <w:p w14:paraId="26378B11" w14:textId="01392AFB" w:rsidR="00D73165" w:rsidRPr="00DA7EE0" w:rsidRDefault="00DA7EE0" w:rsidP="00D73165">
            <w:pPr>
              <w:spacing w:after="0" w:line="240" w:lineRule="auto"/>
              <w:rPr>
                <w:rFonts w:ascii="Aptos" w:eastAsia="Times New Roman" w:hAnsi="Aptos" w:cs="Times New Roman"/>
                <w:color w:val="000000"/>
                <w:kern w:val="0"/>
                <w:sz w:val="20"/>
                <w:szCs w:val="20"/>
                <w14:ligatures w14:val="none"/>
              </w:rPr>
            </w:pPr>
            <w:r w:rsidRPr="00DA7EE0">
              <w:rPr>
                <w:rFonts w:ascii="Aptos" w:hAnsi="Aptos"/>
                <w:sz w:val="20"/>
                <w:szCs w:val="21"/>
              </w:rPr>
              <w:t xml:space="preserve">No evidence against </w:t>
            </w:r>
            <m:oMath>
              <m:r>
                <w:rPr>
                  <w:rFonts w:ascii="Cambria Math" w:hAnsi="Cambria Math"/>
                  <w:sz w:val="20"/>
                  <w:szCs w:val="21"/>
                </w:rPr>
                <m:t>β₁</m:t>
              </m:r>
            </m:oMath>
            <w:r w:rsidRPr="00DA7EE0">
              <w:rPr>
                <w:rFonts w:ascii="Aptos" w:hAnsi="Aptos"/>
                <w:sz w:val="20"/>
                <w:szCs w:val="21"/>
              </w:rPr>
              <w:t xml:space="preserve"> = 1 (95% CI includes 1)</w:t>
            </w:r>
          </w:p>
        </w:tc>
      </w:tr>
      <w:tr w:rsidR="00D73165" w:rsidRPr="00D73165" w14:paraId="03DE50F7" w14:textId="3BDED0A3"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59D113F6"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WFC</w:t>
            </w:r>
          </w:p>
        </w:tc>
        <w:tc>
          <w:tcPr>
            <w:tcW w:w="831" w:type="dxa"/>
            <w:tcBorders>
              <w:top w:val="nil"/>
              <w:left w:val="nil"/>
              <w:bottom w:val="single" w:sz="4" w:space="0" w:color="B8C0FF"/>
              <w:right w:val="single" w:sz="4" w:space="0" w:color="B8C0FF"/>
            </w:tcBorders>
            <w:noWrap/>
            <w:vAlign w:val="center"/>
            <w:hideMark/>
          </w:tcPr>
          <w:p w14:paraId="44F7AB9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1.0294</w:t>
            </w:r>
          </w:p>
        </w:tc>
        <w:tc>
          <w:tcPr>
            <w:tcW w:w="856" w:type="dxa"/>
            <w:tcBorders>
              <w:top w:val="nil"/>
              <w:left w:val="nil"/>
              <w:bottom w:val="single" w:sz="4" w:space="0" w:color="B8C0FF"/>
              <w:right w:val="single" w:sz="4" w:space="0" w:color="B8C0FF"/>
            </w:tcBorders>
            <w:noWrap/>
            <w:vAlign w:val="center"/>
            <w:hideMark/>
          </w:tcPr>
          <w:p w14:paraId="6C7FB1C6"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0.0438</w:t>
            </w:r>
          </w:p>
        </w:tc>
        <w:tc>
          <w:tcPr>
            <w:tcW w:w="990" w:type="dxa"/>
            <w:tcBorders>
              <w:top w:val="nil"/>
              <w:left w:val="nil"/>
              <w:bottom w:val="single" w:sz="4" w:space="0" w:color="B8C0FF"/>
              <w:right w:val="single" w:sz="4" w:space="0" w:color="B8C0FF"/>
            </w:tcBorders>
            <w:noWrap/>
            <w:vAlign w:val="center"/>
            <w:hideMark/>
          </w:tcPr>
          <w:p w14:paraId="79D3EFEA"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0.6704</w:t>
            </w:r>
          </w:p>
        </w:tc>
        <w:tc>
          <w:tcPr>
            <w:tcW w:w="990" w:type="dxa"/>
            <w:tcBorders>
              <w:top w:val="nil"/>
              <w:left w:val="nil"/>
              <w:bottom w:val="single" w:sz="4" w:space="0" w:color="B8C0FF"/>
              <w:right w:val="single" w:sz="4" w:space="0" w:color="B8C0FF"/>
            </w:tcBorders>
            <w:noWrap/>
            <w:vAlign w:val="center"/>
            <w:hideMark/>
          </w:tcPr>
          <w:p w14:paraId="52A7CEE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0.5027</w:t>
            </w:r>
          </w:p>
        </w:tc>
        <w:tc>
          <w:tcPr>
            <w:tcW w:w="1620" w:type="dxa"/>
            <w:tcBorders>
              <w:top w:val="nil"/>
              <w:left w:val="nil"/>
              <w:bottom w:val="single" w:sz="4" w:space="0" w:color="B8C0FF"/>
              <w:right w:val="single" w:sz="4" w:space="0" w:color="B8C0FF"/>
            </w:tcBorders>
            <w:noWrap/>
            <w:vAlign w:val="center"/>
            <w:hideMark/>
          </w:tcPr>
          <w:p w14:paraId="0ABA6219"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[0.9434, 1.1153]</w:t>
            </w:r>
          </w:p>
        </w:tc>
        <w:tc>
          <w:tcPr>
            <w:tcW w:w="810" w:type="dxa"/>
            <w:tcBorders>
              <w:top w:val="nil"/>
              <w:left w:val="nil"/>
              <w:bottom w:val="single" w:sz="4" w:space="0" w:color="B8C0FF"/>
              <w:right w:val="single" w:sz="4" w:space="0" w:color="B8C0FF"/>
            </w:tcBorders>
            <w:noWrap/>
            <w:vAlign w:val="center"/>
            <w:hideMark/>
          </w:tcPr>
          <w:p w14:paraId="2B520032"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No</w:t>
            </w:r>
          </w:p>
        </w:tc>
        <w:tc>
          <w:tcPr>
            <w:tcW w:w="2506" w:type="dxa"/>
            <w:vAlign w:val="center"/>
          </w:tcPr>
          <w:p w14:paraId="6DF6BF4D" w14:textId="4720F097" w:rsidR="00D73165" w:rsidRPr="00D73165" w:rsidRDefault="00DA7EE0" w:rsidP="00D73165">
            <w:pPr>
              <w:spacing w:after="0" w:line="240" w:lineRule="auto"/>
              <w:rPr>
                <w:rFonts w:ascii="Aptos" w:eastAsia="Times New Roman" w:hAnsi="Aptos" w:cs="Times New Roman"/>
                <w:color w:val="000000"/>
                <w:kern w:val="0"/>
                <w:sz w:val="20"/>
                <w:szCs w:val="20"/>
                <w14:ligatures w14:val="none"/>
              </w:rPr>
            </w:pPr>
            <w:r w:rsidRPr="00DA7EE0">
              <w:rPr>
                <w:rFonts w:ascii="Aptos" w:hAnsi="Aptos"/>
                <w:sz w:val="20"/>
                <w:szCs w:val="21"/>
              </w:rPr>
              <w:t xml:space="preserve">No evidence against </w:t>
            </w:r>
            <m:oMath>
              <m:r>
                <w:rPr>
                  <w:rFonts w:ascii="Cambria Math" w:hAnsi="Cambria Math"/>
                  <w:sz w:val="20"/>
                  <w:szCs w:val="21"/>
                </w:rPr>
                <m:t>β₁</m:t>
              </m:r>
            </m:oMath>
            <w:r w:rsidRPr="00DA7EE0">
              <w:rPr>
                <w:rFonts w:ascii="Aptos" w:hAnsi="Aptos"/>
                <w:sz w:val="20"/>
                <w:szCs w:val="21"/>
              </w:rPr>
              <w:t xml:space="preserve"> = 1 (95% CI includes 1)</w:t>
            </w:r>
          </w:p>
        </w:tc>
      </w:tr>
      <w:tr w:rsidR="00D73165" w:rsidRPr="00D73165" w14:paraId="2F3FDA57" w14:textId="2E15CEC1"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02D4BC32"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GS</w:t>
            </w:r>
          </w:p>
        </w:tc>
        <w:tc>
          <w:tcPr>
            <w:tcW w:w="831" w:type="dxa"/>
            <w:tcBorders>
              <w:top w:val="nil"/>
              <w:left w:val="nil"/>
              <w:bottom w:val="single" w:sz="4" w:space="0" w:color="B8C0FF"/>
              <w:right w:val="single" w:sz="4" w:space="0" w:color="B8C0FF"/>
            </w:tcBorders>
            <w:noWrap/>
            <w:vAlign w:val="center"/>
            <w:hideMark/>
          </w:tcPr>
          <w:p w14:paraId="364480F0"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1.0918</w:t>
            </w:r>
          </w:p>
        </w:tc>
        <w:tc>
          <w:tcPr>
            <w:tcW w:w="856" w:type="dxa"/>
            <w:tcBorders>
              <w:top w:val="nil"/>
              <w:left w:val="nil"/>
              <w:bottom w:val="single" w:sz="4" w:space="0" w:color="B8C0FF"/>
              <w:right w:val="single" w:sz="4" w:space="0" w:color="B8C0FF"/>
            </w:tcBorders>
            <w:noWrap/>
            <w:vAlign w:val="center"/>
            <w:hideMark/>
          </w:tcPr>
          <w:p w14:paraId="7D13488F"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0.0337</w:t>
            </w:r>
          </w:p>
        </w:tc>
        <w:tc>
          <w:tcPr>
            <w:tcW w:w="990" w:type="dxa"/>
            <w:tcBorders>
              <w:top w:val="nil"/>
              <w:left w:val="nil"/>
              <w:bottom w:val="single" w:sz="4" w:space="0" w:color="B8C0FF"/>
              <w:right w:val="single" w:sz="4" w:space="0" w:color="B8C0FF"/>
            </w:tcBorders>
            <w:noWrap/>
            <w:vAlign w:val="center"/>
            <w:hideMark/>
          </w:tcPr>
          <w:p w14:paraId="67D390D4"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2.7241</w:t>
            </w:r>
          </w:p>
        </w:tc>
        <w:tc>
          <w:tcPr>
            <w:tcW w:w="990" w:type="dxa"/>
            <w:tcBorders>
              <w:top w:val="nil"/>
              <w:left w:val="nil"/>
              <w:bottom w:val="single" w:sz="4" w:space="0" w:color="B8C0FF"/>
              <w:right w:val="single" w:sz="4" w:space="0" w:color="B8C0FF"/>
            </w:tcBorders>
            <w:noWrap/>
            <w:vAlign w:val="center"/>
            <w:hideMark/>
          </w:tcPr>
          <w:p w14:paraId="3A681106"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0.0065</w:t>
            </w:r>
          </w:p>
        </w:tc>
        <w:tc>
          <w:tcPr>
            <w:tcW w:w="1620" w:type="dxa"/>
            <w:tcBorders>
              <w:top w:val="nil"/>
              <w:left w:val="nil"/>
              <w:bottom w:val="single" w:sz="4" w:space="0" w:color="B8C0FF"/>
              <w:right w:val="single" w:sz="4" w:space="0" w:color="B8C0FF"/>
            </w:tcBorders>
            <w:noWrap/>
            <w:vAlign w:val="center"/>
            <w:hideMark/>
          </w:tcPr>
          <w:p w14:paraId="4561DE42"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[1.0257, 1.1578]</w:t>
            </w:r>
          </w:p>
        </w:tc>
        <w:tc>
          <w:tcPr>
            <w:tcW w:w="810" w:type="dxa"/>
            <w:tcBorders>
              <w:top w:val="nil"/>
              <w:left w:val="nil"/>
              <w:bottom w:val="single" w:sz="4" w:space="0" w:color="B8C0FF"/>
              <w:right w:val="single" w:sz="4" w:space="0" w:color="B8C0FF"/>
            </w:tcBorders>
            <w:noWrap/>
            <w:vAlign w:val="center"/>
            <w:hideMark/>
          </w:tcPr>
          <w:p w14:paraId="569863F7"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Yes</w:t>
            </w:r>
          </w:p>
        </w:tc>
        <w:tc>
          <w:tcPr>
            <w:tcW w:w="2506" w:type="dxa"/>
            <w:vAlign w:val="center"/>
          </w:tcPr>
          <w:p w14:paraId="15A99D9B" w14:textId="0B164AD9" w:rsidR="00D73165" w:rsidRPr="00D73165" w:rsidRDefault="00D73165" w:rsidP="00D73165">
            <w:pPr>
              <w:spacing w:after="0" w:line="240" w:lineRule="auto"/>
              <w:rPr>
                <w:rFonts w:ascii="Aptos" w:eastAsia="Times New Roman" w:hAnsi="Aptos" w:cs="Times New Roman"/>
                <w:color w:val="000000"/>
                <w:kern w:val="0"/>
                <w:sz w:val="20"/>
                <w:szCs w:val="20"/>
                <w14:ligatures w14:val="none"/>
              </w:rPr>
            </w:pPr>
            <m:oMath>
              <m:r>
                <w:rPr>
                  <w:rFonts w:ascii="Cambria Math" w:hAnsi="Cambria Math"/>
                  <w:sz w:val="20"/>
                  <w:szCs w:val="20"/>
                </w:rPr>
                <m:t>β₁</m:t>
              </m:r>
            </m:oMath>
            <w:r w:rsidRPr="00D73165">
              <w:rPr>
                <w:rFonts w:ascii="Aptos" w:hAnsi="Aptos"/>
                <w:sz w:val="20"/>
                <w:szCs w:val="20"/>
              </w:rPr>
              <w:t xml:space="preserve"> </w:t>
            </w:r>
            <w:r>
              <w:rPr>
                <w:rFonts w:ascii="Aptos" w:hAnsi="Aptos"/>
                <w:sz w:val="20"/>
                <w:szCs w:val="20"/>
              </w:rPr>
              <w:t>&gt;</w:t>
            </w:r>
            <w:r w:rsidRPr="00D73165">
              <w:rPr>
                <w:rFonts w:ascii="Aptos" w:hAnsi="Aptos"/>
                <w:sz w:val="20"/>
                <w:szCs w:val="20"/>
              </w:rPr>
              <w:t xml:space="preserve"> 1 is statistically supported (95% CI </w:t>
            </w:r>
            <w:r>
              <w:rPr>
                <w:rFonts w:ascii="Aptos" w:hAnsi="Aptos"/>
                <w:sz w:val="20"/>
                <w:szCs w:val="20"/>
              </w:rPr>
              <w:t>&gt;</w:t>
            </w:r>
            <w:r w:rsidRPr="00D73165">
              <w:rPr>
                <w:rFonts w:ascii="Aptos" w:hAnsi="Aptos"/>
                <w:sz w:val="20"/>
                <w:szCs w:val="20"/>
              </w:rPr>
              <w:t xml:space="preserve"> 1)</w:t>
            </w:r>
          </w:p>
        </w:tc>
      </w:tr>
      <w:tr w:rsidR="00D73165" w:rsidRPr="00D73165" w14:paraId="57842CB8" w14:textId="270FEE78"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3FA80CC1"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BLK</w:t>
            </w:r>
          </w:p>
        </w:tc>
        <w:tc>
          <w:tcPr>
            <w:tcW w:w="831" w:type="dxa"/>
            <w:tcBorders>
              <w:top w:val="nil"/>
              <w:left w:val="nil"/>
              <w:bottom w:val="single" w:sz="4" w:space="0" w:color="B8C0FF"/>
              <w:right w:val="single" w:sz="4" w:space="0" w:color="B8C0FF"/>
            </w:tcBorders>
            <w:noWrap/>
            <w:vAlign w:val="center"/>
            <w:hideMark/>
          </w:tcPr>
          <w:p w14:paraId="2CFE1717"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1.206</w:t>
            </w:r>
          </w:p>
        </w:tc>
        <w:tc>
          <w:tcPr>
            <w:tcW w:w="856" w:type="dxa"/>
            <w:tcBorders>
              <w:top w:val="nil"/>
              <w:left w:val="nil"/>
              <w:bottom w:val="single" w:sz="4" w:space="0" w:color="B8C0FF"/>
              <w:right w:val="single" w:sz="4" w:space="0" w:color="B8C0FF"/>
            </w:tcBorders>
            <w:noWrap/>
            <w:vAlign w:val="center"/>
            <w:hideMark/>
          </w:tcPr>
          <w:p w14:paraId="2AC89211"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0.0272</w:t>
            </w:r>
          </w:p>
        </w:tc>
        <w:tc>
          <w:tcPr>
            <w:tcW w:w="990" w:type="dxa"/>
            <w:tcBorders>
              <w:top w:val="nil"/>
              <w:left w:val="nil"/>
              <w:bottom w:val="single" w:sz="4" w:space="0" w:color="B8C0FF"/>
              <w:right w:val="single" w:sz="4" w:space="0" w:color="B8C0FF"/>
            </w:tcBorders>
            <w:noWrap/>
            <w:vAlign w:val="center"/>
            <w:hideMark/>
          </w:tcPr>
          <w:p w14:paraId="6B985F4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7.5835</w:t>
            </w:r>
          </w:p>
        </w:tc>
        <w:tc>
          <w:tcPr>
            <w:tcW w:w="990" w:type="dxa"/>
            <w:tcBorders>
              <w:top w:val="nil"/>
              <w:left w:val="nil"/>
              <w:bottom w:val="single" w:sz="4" w:space="0" w:color="B8C0FF"/>
              <w:right w:val="single" w:sz="4" w:space="0" w:color="B8C0FF"/>
            </w:tcBorders>
            <w:noWrap/>
            <w:vAlign w:val="center"/>
            <w:hideMark/>
          </w:tcPr>
          <w:p w14:paraId="4F8D17F7"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6.55E-14</w:t>
            </w:r>
          </w:p>
        </w:tc>
        <w:tc>
          <w:tcPr>
            <w:tcW w:w="1620" w:type="dxa"/>
            <w:tcBorders>
              <w:top w:val="nil"/>
              <w:left w:val="nil"/>
              <w:bottom w:val="single" w:sz="4" w:space="0" w:color="B8C0FF"/>
              <w:right w:val="single" w:sz="4" w:space="0" w:color="B8C0FF"/>
            </w:tcBorders>
            <w:noWrap/>
            <w:vAlign w:val="center"/>
            <w:hideMark/>
          </w:tcPr>
          <w:p w14:paraId="72DD3678"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[1.1527, 1.2593]</w:t>
            </w:r>
          </w:p>
        </w:tc>
        <w:tc>
          <w:tcPr>
            <w:tcW w:w="810" w:type="dxa"/>
            <w:tcBorders>
              <w:top w:val="nil"/>
              <w:left w:val="nil"/>
              <w:bottom w:val="single" w:sz="4" w:space="0" w:color="B8C0FF"/>
              <w:right w:val="single" w:sz="4" w:space="0" w:color="B8C0FF"/>
            </w:tcBorders>
            <w:noWrap/>
            <w:vAlign w:val="center"/>
            <w:hideMark/>
          </w:tcPr>
          <w:p w14:paraId="2B7F8E55"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Yes</w:t>
            </w:r>
          </w:p>
        </w:tc>
        <w:tc>
          <w:tcPr>
            <w:tcW w:w="2506" w:type="dxa"/>
            <w:vAlign w:val="center"/>
          </w:tcPr>
          <w:p w14:paraId="293C3D0C" w14:textId="2F534935" w:rsidR="00D73165" w:rsidRPr="00D73165" w:rsidRDefault="00D73165" w:rsidP="00D73165">
            <w:pPr>
              <w:spacing w:after="0" w:line="240" w:lineRule="auto"/>
              <w:rPr>
                <w:rFonts w:ascii="Aptos" w:eastAsia="Times New Roman" w:hAnsi="Aptos" w:cs="Times New Roman"/>
                <w:color w:val="000000"/>
                <w:kern w:val="0"/>
                <w:sz w:val="20"/>
                <w:szCs w:val="20"/>
                <w14:ligatures w14:val="none"/>
              </w:rPr>
            </w:pPr>
            <m:oMath>
              <m:r>
                <w:rPr>
                  <w:rFonts w:ascii="Cambria Math" w:hAnsi="Cambria Math"/>
                  <w:sz w:val="20"/>
                  <w:szCs w:val="20"/>
                </w:rPr>
                <m:t>β₁</m:t>
              </m:r>
            </m:oMath>
            <w:r w:rsidRPr="00D73165">
              <w:rPr>
                <w:rFonts w:ascii="Aptos" w:hAnsi="Aptos"/>
                <w:sz w:val="20"/>
                <w:szCs w:val="20"/>
              </w:rPr>
              <w:t xml:space="preserve"> </w:t>
            </w:r>
            <w:r>
              <w:rPr>
                <w:rFonts w:ascii="Aptos" w:hAnsi="Aptos"/>
                <w:sz w:val="20"/>
                <w:szCs w:val="20"/>
              </w:rPr>
              <w:t>&gt;</w:t>
            </w:r>
            <w:r w:rsidRPr="00D73165">
              <w:rPr>
                <w:rFonts w:ascii="Aptos" w:hAnsi="Aptos"/>
                <w:sz w:val="20"/>
                <w:szCs w:val="20"/>
              </w:rPr>
              <w:t xml:space="preserve"> 1 is statistically supported (95% CI </w:t>
            </w:r>
            <w:r>
              <w:rPr>
                <w:rFonts w:ascii="Aptos" w:hAnsi="Aptos"/>
                <w:sz w:val="20"/>
                <w:szCs w:val="20"/>
              </w:rPr>
              <w:t>&gt;</w:t>
            </w:r>
            <w:r w:rsidRPr="00D73165">
              <w:rPr>
                <w:rFonts w:ascii="Aptos" w:hAnsi="Aptos"/>
                <w:sz w:val="20"/>
                <w:szCs w:val="20"/>
              </w:rPr>
              <w:t xml:space="preserve"> 1)</w:t>
            </w:r>
          </w:p>
        </w:tc>
      </w:tr>
      <w:tr w:rsidR="00D73165" w:rsidRPr="00D73165" w14:paraId="2E6AF813" w14:textId="06FECBD5"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04B46085"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PLD</w:t>
            </w:r>
          </w:p>
        </w:tc>
        <w:tc>
          <w:tcPr>
            <w:tcW w:w="831" w:type="dxa"/>
            <w:tcBorders>
              <w:top w:val="nil"/>
              <w:left w:val="nil"/>
              <w:bottom w:val="single" w:sz="4" w:space="0" w:color="B8C0FF"/>
              <w:right w:val="single" w:sz="4" w:space="0" w:color="B8C0FF"/>
            </w:tcBorders>
            <w:noWrap/>
            <w:vAlign w:val="center"/>
            <w:hideMark/>
          </w:tcPr>
          <w:p w14:paraId="16E78158"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0.9536</w:t>
            </w:r>
          </w:p>
        </w:tc>
        <w:tc>
          <w:tcPr>
            <w:tcW w:w="856" w:type="dxa"/>
            <w:tcBorders>
              <w:top w:val="nil"/>
              <w:left w:val="nil"/>
              <w:bottom w:val="single" w:sz="4" w:space="0" w:color="B8C0FF"/>
              <w:right w:val="single" w:sz="4" w:space="0" w:color="B8C0FF"/>
            </w:tcBorders>
            <w:noWrap/>
            <w:vAlign w:val="center"/>
            <w:hideMark/>
          </w:tcPr>
          <w:p w14:paraId="4A59DB32"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0.0363</w:t>
            </w:r>
          </w:p>
        </w:tc>
        <w:tc>
          <w:tcPr>
            <w:tcW w:w="990" w:type="dxa"/>
            <w:tcBorders>
              <w:top w:val="nil"/>
              <w:left w:val="nil"/>
              <w:bottom w:val="single" w:sz="4" w:space="0" w:color="B8C0FF"/>
              <w:right w:val="single" w:sz="4" w:space="0" w:color="B8C0FF"/>
            </w:tcBorders>
            <w:noWrap/>
            <w:vAlign w:val="center"/>
            <w:hideMark/>
          </w:tcPr>
          <w:p w14:paraId="743AD8EA"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-1.2791</w:t>
            </w:r>
          </w:p>
        </w:tc>
        <w:tc>
          <w:tcPr>
            <w:tcW w:w="990" w:type="dxa"/>
            <w:tcBorders>
              <w:top w:val="nil"/>
              <w:left w:val="nil"/>
              <w:bottom w:val="single" w:sz="4" w:space="0" w:color="B8C0FF"/>
              <w:right w:val="single" w:sz="4" w:space="0" w:color="B8C0FF"/>
            </w:tcBorders>
            <w:noWrap/>
            <w:vAlign w:val="center"/>
            <w:hideMark/>
          </w:tcPr>
          <w:p w14:paraId="10A07B5A"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0.2011</w:t>
            </w:r>
          </w:p>
        </w:tc>
        <w:tc>
          <w:tcPr>
            <w:tcW w:w="1620" w:type="dxa"/>
            <w:tcBorders>
              <w:top w:val="nil"/>
              <w:left w:val="nil"/>
              <w:bottom w:val="single" w:sz="4" w:space="0" w:color="B8C0FF"/>
              <w:right w:val="single" w:sz="4" w:space="0" w:color="B8C0FF"/>
            </w:tcBorders>
            <w:noWrap/>
            <w:vAlign w:val="center"/>
            <w:hideMark/>
          </w:tcPr>
          <w:p w14:paraId="77A8E65C"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[0.8824, 1.0248]</w:t>
            </w:r>
          </w:p>
        </w:tc>
        <w:tc>
          <w:tcPr>
            <w:tcW w:w="810" w:type="dxa"/>
            <w:tcBorders>
              <w:top w:val="nil"/>
              <w:left w:val="nil"/>
              <w:bottom w:val="single" w:sz="4" w:space="0" w:color="B8C0FF"/>
              <w:right w:val="single" w:sz="4" w:space="0" w:color="B8C0FF"/>
            </w:tcBorders>
            <w:noWrap/>
            <w:vAlign w:val="center"/>
            <w:hideMark/>
          </w:tcPr>
          <w:p w14:paraId="259A603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No</w:t>
            </w:r>
          </w:p>
        </w:tc>
        <w:tc>
          <w:tcPr>
            <w:tcW w:w="2506" w:type="dxa"/>
            <w:vAlign w:val="center"/>
          </w:tcPr>
          <w:p w14:paraId="77DE4F04" w14:textId="727E7F80" w:rsidR="00D73165" w:rsidRPr="00D73165" w:rsidRDefault="00DA7EE0" w:rsidP="00D73165">
            <w:pPr>
              <w:spacing w:after="0" w:line="240" w:lineRule="auto"/>
              <w:rPr>
                <w:rFonts w:ascii="Aptos" w:eastAsia="Times New Roman" w:hAnsi="Aptos" w:cs="Times New Roman"/>
                <w:color w:val="000000"/>
                <w:kern w:val="0"/>
                <w:sz w:val="20"/>
                <w:szCs w:val="20"/>
                <w14:ligatures w14:val="none"/>
              </w:rPr>
            </w:pPr>
            <w:r w:rsidRPr="00DA7EE0">
              <w:rPr>
                <w:rFonts w:ascii="Aptos" w:hAnsi="Aptos"/>
                <w:sz w:val="20"/>
                <w:szCs w:val="21"/>
              </w:rPr>
              <w:t xml:space="preserve">No evidence against </w:t>
            </w:r>
            <m:oMath>
              <m:r>
                <w:rPr>
                  <w:rFonts w:ascii="Cambria Math" w:hAnsi="Cambria Math"/>
                  <w:sz w:val="20"/>
                  <w:szCs w:val="21"/>
                </w:rPr>
                <m:t>β₁</m:t>
              </m:r>
            </m:oMath>
            <w:r w:rsidRPr="00DA7EE0">
              <w:rPr>
                <w:rFonts w:ascii="Aptos" w:hAnsi="Aptos"/>
                <w:sz w:val="20"/>
                <w:szCs w:val="21"/>
              </w:rPr>
              <w:t xml:space="preserve"> = 1 (95% CI includes 1)</w:t>
            </w:r>
          </w:p>
        </w:tc>
      </w:tr>
      <w:tr w:rsidR="00D73165" w:rsidRPr="00D73165" w14:paraId="16D8C412" w14:textId="268A45D7"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58BBCAAA"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lastRenderedPageBreak/>
              <w:t>AMT</w:t>
            </w:r>
          </w:p>
        </w:tc>
        <w:tc>
          <w:tcPr>
            <w:tcW w:w="831" w:type="dxa"/>
            <w:tcBorders>
              <w:top w:val="nil"/>
              <w:left w:val="nil"/>
              <w:bottom w:val="single" w:sz="4" w:space="0" w:color="B8C0FF"/>
              <w:right w:val="single" w:sz="4" w:space="0" w:color="B8C0FF"/>
            </w:tcBorders>
            <w:noWrap/>
            <w:vAlign w:val="center"/>
            <w:hideMark/>
          </w:tcPr>
          <w:p w14:paraId="375ACCD3"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0.5385</w:t>
            </w:r>
          </w:p>
        </w:tc>
        <w:tc>
          <w:tcPr>
            <w:tcW w:w="856" w:type="dxa"/>
            <w:tcBorders>
              <w:top w:val="nil"/>
              <w:left w:val="nil"/>
              <w:bottom w:val="single" w:sz="4" w:space="0" w:color="B8C0FF"/>
              <w:right w:val="single" w:sz="4" w:space="0" w:color="B8C0FF"/>
            </w:tcBorders>
            <w:noWrap/>
            <w:vAlign w:val="center"/>
            <w:hideMark/>
          </w:tcPr>
          <w:p w14:paraId="3170982A"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0.0404</w:t>
            </w:r>
          </w:p>
        </w:tc>
        <w:tc>
          <w:tcPr>
            <w:tcW w:w="990" w:type="dxa"/>
            <w:tcBorders>
              <w:top w:val="nil"/>
              <w:left w:val="nil"/>
              <w:bottom w:val="single" w:sz="4" w:space="0" w:color="B8C0FF"/>
              <w:right w:val="single" w:sz="4" w:space="0" w:color="B8C0FF"/>
            </w:tcBorders>
            <w:noWrap/>
            <w:vAlign w:val="center"/>
            <w:hideMark/>
          </w:tcPr>
          <w:p w14:paraId="478A511C"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-11.4374</w:t>
            </w:r>
          </w:p>
        </w:tc>
        <w:tc>
          <w:tcPr>
            <w:tcW w:w="990" w:type="dxa"/>
            <w:tcBorders>
              <w:top w:val="nil"/>
              <w:left w:val="nil"/>
              <w:bottom w:val="single" w:sz="4" w:space="0" w:color="B8C0FF"/>
              <w:right w:val="single" w:sz="4" w:space="0" w:color="B8C0FF"/>
            </w:tcBorders>
            <w:noWrap/>
            <w:vAlign w:val="center"/>
            <w:hideMark/>
          </w:tcPr>
          <w:p w14:paraId="20566E73"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&lt; 1e-15</w:t>
            </w:r>
          </w:p>
        </w:tc>
        <w:tc>
          <w:tcPr>
            <w:tcW w:w="1620" w:type="dxa"/>
            <w:tcBorders>
              <w:top w:val="nil"/>
              <w:left w:val="nil"/>
              <w:bottom w:val="single" w:sz="4" w:space="0" w:color="B8C0FF"/>
              <w:right w:val="single" w:sz="4" w:space="0" w:color="B8C0FF"/>
            </w:tcBorders>
            <w:noWrap/>
            <w:vAlign w:val="center"/>
            <w:hideMark/>
          </w:tcPr>
          <w:p w14:paraId="2ED7EBFF"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[0.4593, 0.6176]</w:t>
            </w:r>
          </w:p>
        </w:tc>
        <w:tc>
          <w:tcPr>
            <w:tcW w:w="810" w:type="dxa"/>
            <w:tcBorders>
              <w:top w:val="nil"/>
              <w:left w:val="nil"/>
              <w:bottom w:val="single" w:sz="4" w:space="0" w:color="B8C0FF"/>
              <w:right w:val="single" w:sz="4" w:space="0" w:color="B8C0FF"/>
            </w:tcBorders>
            <w:noWrap/>
            <w:vAlign w:val="center"/>
            <w:hideMark/>
          </w:tcPr>
          <w:p w14:paraId="2C8574A6"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Yes</w:t>
            </w:r>
          </w:p>
        </w:tc>
        <w:tc>
          <w:tcPr>
            <w:tcW w:w="2506" w:type="dxa"/>
            <w:vAlign w:val="center"/>
          </w:tcPr>
          <w:p w14:paraId="21A60679" w14:textId="313EFEEF" w:rsidR="00D73165" w:rsidRPr="00D73165" w:rsidRDefault="00D73165" w:rsidP="00D73165">
            <w:pPr>
              <w:spacing w:after="0" w:line="240" w:lineRule="auto"/>
              <w:rPr>
                <w:rFonts w:ascii="Aptos" w:eastAsia="Times New Roman" w:hAnsi="Aptos" w:cs="Times New Roman"/>
                <w:color w:val="000000"/>
                <w:kern w:val="0"/>
                <w:sz w:val="20"/>
                <w:szCs w:val="20"/>
                <w14:ligatures w14:val="none"/>
              </w:rPr>
            </w:pPr>
            <m:oMath>
              <m:r>
                <w:rPr>
                  <w:rFonts w:ascii="Cambria Math" w:hAnsi="Cambria Math"/>
                  <w:sz w:val="20"/>
                  <w:szCs w:val="20"/>
                </w:rPr>
                <m:t>β₁</m:t>
              </m:r>
            </m:oMath>
            <w:r w:rsidRPr="00D73165">
              <w:rPr>
                <w:rFonts w:ascii="Aptos" w:hAnsi="Aptos"/>
                <w:sz w:val="20"/>
                <w:szCs w:val="20"/>
              </w:rPr>
              <w:t xml:space="preserve"> &lt; 1 is statistically supported (95% CI &lt; 1)</w:t>
            </w:r>
          </w:p>
        </w:tc>
      </w:tr>
      <w:tr w:rsidR="00D73165" w:rsidRPr="00D73165" w14:paraId="5F72500C" w14:textId="795320BA"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14E6B01F"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SPG</w:t>
            </w:r>
          </w:p>
        </w:tc>
        <w:tc>
          <w:tcPr>
            <w:tcW w:w="831" w:type="dxa"/>
            <w:tcBorders>
              <w:top w:val="nil"/>
              <w:left w:val="nil"/>
              <w:bottom w:val="single" w:sz="4" w:space="0" w:color="B8C0FF"/>
              <w:right w:val="single" w:sz="4" w:space="0" w:color="B8C0FF"/>
            </w:tcBorders>
            <w:noWrap/>
            <w:vAlign w:val="center"/>
            <w:hideMark/>
          </w:tcPr>
          <w:p w14:paraId="70FF56F9"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1.0554</w:t>
            </w:r>
          </w:p>
        </w:tc>
        <w:tc>
          <w:tcPr>
            <w:tcW w:w="856" w:type="dxa"/>
            <w:tcBorders>
              <w:top w:val="nil"/>
              <w:left w:val="nil"/>
              <w:bottom w:val="single" w:sz="4" w:space="0" w:color="B8C0FF"/>
              <w:right w:val="single" w:sz="4" w:space="0" w:color="B8C0FF"/>
            </w:tcBorders>
            <w:noWrap/>
            <w:vAlign w:val="center"/>
            <w:hideMark/>
          </w:tcPr>
          <w:p w14:paraId="0EB873C3"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0.0436</w:t>
            </w:r>
          </w:p>
        </w:tc>
        <w:tc>
          <w:tcPr>
            <w:tcW w:w="990" w:type="dxa"/>
            <w:tcBorders>
              <w:top w:val="nil"/>
              <w:left w:val="nil"/>
              <w:bottom w:val="single" w:sz="4" w:space="0" w:color="B8C0FF"/>
              <w:right w:val="single" w:sz="4" w:space="0" w:color="B8C0FF"/>
            </w:tcBorders>
            <w:noWrap/>
            <w:vAlign w:val="center"/>
            <w:hideMark/>
          </w:tcPr>
          <w:p w14:paraId="553DC97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1.2712</w:t>
            </w:r>
          </w:p>
        </w:tc>
        <w:tc>
          <w:tcPr>
            <w:tcW w:w="990" w:type="dxa"/>
            <w:tcBorders>
              <w:top w:val="nil"/>
              <w:left w:val="nil"/>
              <w:bottom w:val="single" w:sz="4" w:space="0" w:color="B8C0FF"/>
              <w:right w:val="single" w:sz="4" w:space="0" w:color="B8C0FF"/>
            </w:tcBorders>
            <w:noWrap/>
            <w:vAlign w:val="center"/>
            <w:hideMark/>
          </w:tcPr>
          <w:p w14:paraId="3E67D5D1"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0.2039</w:t>
            </w:r>
          </w:p>
        </w:tc>
        <w:tc>
          <w:tcPr>
            <w:tcW w:w="1620" w:type="dxa"/>
            <w:tcBorders>
              <w:top w:val="nil"/>
              <w:left w:val="nil"/>
              <w:bottom w:val="single" w:sz="4" w:space="0" w:color="B8C0FF"/>
              <w:right w:val="single" w:sz="4" w:space="0" w:color="B8C0FF"/>
            </w:tcBorders>
            <w:noWrap/>
            <w:vAlign w:val="center"/>
            <w:hideMark/>
          </w:tcPr>
          <w:p w14:paraId="3082941C"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[0.9699, 1.1408]</w:t>
            </w:r>
          </w:p>
        </w:tc>
        <w:tc>
          <w:tcPr>
            <w:tcW w:w="810" w:type="dxa"/>
            <w:tcBorders>
              <w:top w:val="nil"/>
              <w:left w:val="nil"/>
              <w:bottom w:val="single" w:sz="4" w:space="0" w:color="B8C0FF"/>
              <w:right w:val="single" w:sz="4" w:space="0" w:color="B8C0FF"/>
            </w:tcBorders>
            <w:noWrap/>
            <w:vAlign w:val="center"/>
            <w:hideMark/>
          </w:tcPr>
          <w:p w14:paraId="1C78C034"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No</w:t>
            </w:r>
          </w:p>
        </w:tc>
        <w:tc>
          <w:tcPr>
            <w:tcW w:w="2506" w:type="dxa"/>
            <w:vAlign w:val="center"/>
          </w:tcPr>
          <w:p w14:paraId="051B786F" w14:textId="460C2036" w:rsidR="00D73165" w:rsidRPr="00D73165" w:rsidRDefault="00DA7EE0" w:rsidP="00D73165">
            <w:pPr>
              <w:spacing w:after="0" w:line="240" w:lineRule="auto"/>
              <w:rPr>
                <w:rFonts w:ascii="Aptos" w:eastAsia="Times New Roman" w:hAnsi="Aptos" w:cs="Times New Roman"/>
                <w:color w:val="000000"/>
                <w:kern w:val="0"/>
                <w:sz w:val="20"/>
                <w:szCs w:val="20"/>
                <w14:ligatures w14:val="none"/>
              </w:rPr>
            </w:pPr>
            <w:r w:rsidRPr="00DA7EE0">
              <w:rPr>
                <w:rFonts w:ascii="Aptos" w:hAnsi="Aptos"/>
                <w:sz w:val="20"/>
                <w:szCs w:val="21"/>
              </w:rPr>
              <w:t xml:space="preserve">No evidence against </w:t>
            </w:r>
            <m:oMath>
              <m:r>
                <w:rPr>
                  <w:rFonts w:ascii="Cambria Math" w:hAnsi="Cambria Math"/>
                  <w:sz w:val="20"/>
                  <w:szCs w:val="21"/>
                </w:rPr>
                <m:t>β₁</m:t>
              </m:r>
            </m:oMath>
            <w:r w:rsidRPr="00DA7EE0">
              <w:rPr>
                <w:rFonts w:ascii="Aptos" w:hAnsi="Aptos"/>
                <w:sz w:val="20"/>
                <w:szCs w:val="21"/>
              </w:rPr>
              <w:t xml:space="preserve"> = 1 (95% CI includes 1)</w:t>
            </w:r>
          </w:p>
        </w:tc>
      </w:tr>
      <w:tr w:rsidR="00D73165" w:rsidRPr="00D73165" w14:paraId="5FD525D4" w14:textId="09E7ED5B"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3F75CF4D"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AVB</w:t>
            </w:r>
          </w:p>
        </w:tc>
        <w:tc>
          <w:tcPr>
            <w:tcW w:w="831" w:type="dxa"/>
            <w:tcBorders>
              <w:top w:val="nil"/>
              <w:left w:val="nil"/>
              <w:bottom w:val="single" w:sz="4" w:space="0" w:color="B8C0FF"/>
              <w:right w:val="single" w:sz="4" w:space="0" w:color="B8C0FF"/>
            </w:tcBorders>
            <w:noWrap/>
            <w:vAlign w:val="center"/>
            <w:hideMark/>
          </w:tcPr>
          <w:p w14:paraId="259E88E1"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0.7202</w:t>
            </w:r>
          </w:p>
        </w:tc>
        <w:tc>
          <w:tcPr>
            <w:tcW w:w="856" w:type="dxa"/>
            <w:tcBorders>
              <w:top w:val="nil"/>
              <w:left w:val="nil"/>
              <w:bottom w:val="single" w:sz="4" w:space="0" w:color="B8C0FF"/>
              <w:right w:val="single" w:sz="4" w:space="0" w:color="B8C0FF"/>
            </w:tcBorders>
            <w:noWrap/>
            <w:vAlign w:val="center"/>
            <w:hideMark/>
          </w:tcPr>
          <w:p w14:paraId="4DF5D34A"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0.0324</w:t>
            </w:r>
          </w:p>
        </w:tc>
        <w:tc>
          <w:tcPr>
            <w:tcW w:w="990" w:type="dxa"/>
            <w:tcBorders>
              <w:top w:val="nil"/>
              <w:left w:val="nil"/>
              <w:bottom w:val="single" w:sz="4" w:space="0" w:color="B8C0FF"/>
              <w:right w:val="single" w:sz="4" w:space="0" w:color="B8C0FF"/>
            </w:tcBorders>
            <w:noWrap/>
            <w:vAlign w:val="center"/>
            <w:hideMark/>
          </w:tcPr>
          <w:p w14:paraId="6AB79685"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-8.6311</w:t>
            </w:r>
          </w:p>
        </w:tc>
        <w:tc>
          <w:tcPr>
            <w:tcW w:w="990" w:type="dxa"/>
            <w:tcBorders>
              <w:top w:val="nil"/>
              <w:left w:val="nil"/>
              <w:bottom w:val="single" w:sz="4" w:space="0" w:color="B8C0FF"/>
              <w:right w:val="single" w:sz="4" w:space="0" w:color="B8C0FF"/>
            </w:tcBorders>
            <w:noWrap/>
            <w:vAlign w:val="center"/>
            <w:hideMark/>
          </w:tcPr>
          <w:p w14:paraId="201667F3"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&lt; 1e-15</w:t>
            </w:r>
          </w:p>
        </w:tc>
        <w:tc>
          <w:tcPr>
            <w:tcW w:w="1620" w:type="dxa"/>
            <w:tcBorders>
              <w:top w:val="nil"/>
              <w:left w:val="nil"/>
              <w:bottom w:val="single" w:sz="4" w:space="0" w:color="B8C0FF"/>
              <w:right w:val="single" w:sz="4" w:space="0" w:color="B8C0FF"/>
            </w:tcBorders>
            <w:noWrap/>
            <w:vAlign w:val="center"/>
            <w:hideMark/>
          </w:tcPr>
          <w:p w14:paraId="169EA3E1"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[0.6566, 0.7838]</w:t>
            </w:r>
          </w:p>
        </w:tc>
        <w:tc>
          <w:tcPr>
            <w:tcW w:w="810" w:type="dxa"/>
            <w:tcBorders>
              <w:top w:val="nil"/>
              <w:left w:val="nil"/>
              <w:bottom w:val="single" w:sz="4" w:space="0" w:color="B8C0FF"/>
              <w:right w:val="single" w:sz="4" w:space="0" w:color="B8C0FF"/>
            </w:tcBorders>
            <w:noWrap/>
            <w:vAlign w:val="center"/>
            <w:hideMark/>
          </w:tcPr>
          <w:p w14:paraId="5F01B6F8"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Yes</w:t>
            </w:r>
          </w:p>
        </w:tc>
        <w:tc>
          <w:tcPr>
            <w:tcW w:w="2506" w:type="dxa"/>
            <w:vAlign w:val="center"/>
          </w:tcPr>
          <w:p w14:paraId="218963EC" w14:textId="5F14C915" w:rsidR="00D73165" w:rsidRPr="00D73165" w:rsidRDefault="00D73165" w:rsidP="00D73165">
            <w:pPr>
              <w:spacing w:after="0" w:line="240" w:lineRule="auto"/>
              <w:rPr>
                <w:rFonts w:ascii="Aptos" w:eastAsia="Times New Roman" w:hAnsi="Aptos" w:cs="Times New Roman"/>
                <w:color w:val="000000"/>
                <w:kern w:val="0"/>
                <w:sz w:val="20"/>
                <w:szCs w:val="20"/>
                <w14:ligatures w14:val="none"/>
              </w:rPr>
            </w:pPr>
            <m:oMath>
              <m:r>
                <w:rPr>
                  <w:rFonts w:ascii="Cambria Math" w:hAnsi="Cambria Math"/>
                  <w:sz w:val="20"/>
                  <w:szCs w:val="20"/>
                </w:rPr>
                <m:t>β₁</m:t>
              </m:r>
            </m:oMath>
            <w:r w:rsidRPr="00D73165">
              <w:rPr>
                <w:rFonts w:ascii="Aptos" w:hAnsi="Aptos"/>
                <w:sz w:val="20"/>
                <w:szCs w:val="20"/>
              </w:rPr>
              <w:t xml:space="preserve"> &lt; 1 is statistically supported (95% CI &lt; 1)</w:t>
            </w:r>
          </w:p>
        </w:tc>
      </w:tr>
      <w:tr w:rsidR="00D73165" w:rsidRPr="00D73165" w14:paraId="37AC7139" w14:textId="2ECB207D" w:rsidTr="00D73165">
        <w:trPr>
          <w:trHeight w:val="500"/>
        </w:trPr>
        <w:tc>
          <w:tcPr>
            <w:tcW w:w="738" w:type="dxa"/>
            <w:tcBorders>
              <w:top w:val="nil"/>
              <w:left w:val="single" w:sz="4" w:space="0" w:color="B8C0FF"/>
              <w:bottom w:val="single" w:sz="4" w:space="0" w:color="B8C0FF"/>
              <w:right w:val="single" w:sz="4" w:space="0" w:color="B8C0FF"/>
            </w:tcBorders>
            <w:shd w:val="clear" w:color="000000" w:fill="F2F2F2"/>
            <w:noWrap/>
            <w:vAlign w:val="center"/>
            <w:hideMark/>
          </w:tcPr>
          <w:p w14:paraId="0F1918C6"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O</w:t>
            </w:r>
          </w:p>
        </w:tc>
        <w:tc>
          <w:tcPr>
            <w:tcW w:w="831" w:type="dxa"/>
            <w:tcBorders>
              <w:top w:val="nil"/>
              <w:left w:val="nil"/>
              <w:bottom w:val="single" w:sz="4" w:space="0" w:color="B8C0FF"/>
              <w:right w:val="single" w:sz="4" w:space="0" w:color="B8C0FF"/>
            </w:tcBorders>
            <w:noWrap/>
            <w:vAlign w:val="center"/>
            <w:hideMark/>
          </w:tcPr>
          <w:p w14:paraId="50D826D7"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0.4722</w:t>
            </w:r>
          </w:p>
        </w:tc>
        <w:tc>
          <w:tcPr>
            <w:tcW w:w="856" w:type="dxa"/>
            <w:tcBorders>
              <w:top w:val="nil"/>
              <w:left w:val="nil"/>
              <w:bottom w:val="single" w:sz="4" w:space="0" w:color="B8C0FF"/>
              <w:right w:val="single" w:sz="4" w:space="0" w:color="B8C0FF"/>
            </w:tcBorders>
            <w:noWrap/>
            <w:vAlign w:val="center"/>
            <w:hideMark/>
          </w:tcPr>
          <w:p w14:paraId="0F56E7D1"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0.0298</w:t>
            </w:r>
          </w:p>
        </w:tc>
        <w:tc>
          <w:tcPr>
            <w:tcW w:w="990" w:type="dxa"/>
            <w:tcBorders>
              <w:top w:val="nil"/>
              <w:left w:val="nil"/>
              <w:bottom w:val="single" w:sz="4" w:space="0" w:color="B8C0FF"/>
              <w:right w:val="single" w:sz="4" w:space="0" w:color="B8C0FF"/>
            </w:tcBorders>
            <w:noWrap/>
            <w:vAlign w:val="center"/>
            <w:hideMark/>
          </w:tcPr>
          <w:p w14:paraId="1407EB02"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-17.7261</w:t>
            </w:r>
          </w:p>
        </w:tc>
        <w:tc>
          <w:tcPr>
            <w:tcW w:w="990" w:type="dxa"/>
            <w:tcBorders>
              <w:top w:val="nil"/>
              <w:left w:val="nil"/>
              <w:bottom w:val="single" w:sz="4" w:space="0" w:color="B8C0FF"/>
              <w:right w:val="single" w:sz="4" w:space="0" w:color="B8C0FF"/>
            </w:tcBorders>
            <w:noWrap/>
            <w:vAlign w:val="center"/>
            <w:hideMark/>
          </w:tcPr>
          <w:p w14:paraId="0ECF7A68"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&lt; 1e-15</w:t>
            </w:r>
          </w:p>
        </w:tc>
        <w:tc>
          <w:tcPr>
            <w:tcW w:w="1620" w:type="dxa"/>
            <w:tcBorders>
              <w:top w:val="nil"/>
              <w:left w:val="nil"/>
              <w:bottom w:val="single" w:sz="4" w:space="0" w:color="B8C0FF"/>
              <w:right w:val="single" w:sz="4" w:space="0" w:color="B8C0FF"/>
            </w:tcBorders>
            <w:noWrap/>
            <w:vAlign w:val="center"/>
            <w:hideMark/>
          </w:tcPr>
          <w:p w14:paraId="4897909E"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[0.4138, 0.5306]</w:t>
            </w:r>
          </w:p>
        </w:tc>
        <w:tc>
          <w:tcPr>
            <w:tcW w:w="810" w:type="dxa"/>
            <w:tcBorders>
              <w:top w:val="nil"/>
              <w:left w:val="nil"/>
              <w:bottom w:val="single" w:sz="4" w:space="0" w:color="B8C0FF"/>
              <w:right w:val="single" w:sz="4" w:space="0" w:color="B8C0FF"/>
            </w:tcBorders>
            <w:noWrap/>
            <w:vAlign w:val="center"/>
            <w:hideMark/>
          </w:tcPr>
          <w:p w14:paraId="7993D702" w14:textId="77777777" w:rsidR="00D73165" w:rsidRPr="00D73165" w:rsidRDefault="00D73165" w:rsidP="00D73165">
            <w:pPr>
              <w:spacing w:after="0" w:line="240" w:lineRule="auto"/>
              <w:jc w:val="center"/>
              <w:rPr>
                <w:rFonts w:ascii="Aptos" w:eastAsia="Times New Roman" w:hAnsi="Aptos" w:cs="Times New Roman"/>
                <w:color w:val="000000"/>
                <w:kern w:val="0"/>
                <w:sz w:val="20"/>
                <w:szCs w:val="20"/>
                <w14:ligatures w14:val="none"/>
              </w:rPr>
            </w:pPr>
            <w:r w:rsidRPr="00D73165">
              <w:rPr>
                <w:rFonts w:ascii="Aptos" w:eastAsia="Times New Roman" w:hAnsi="Aptos" w:cs="Times New Roman"/>
                <w:color w:val="000000"/>
                <w:kern w:val="0"/>
                <w:sz w:val="20"/>
                <w:szCs w:val="20"/>
                <w14:ligatures w14:val="none"/>
              </w:rPr>
              <w:t>Yes</w:t>
            </w:r>
          </w:p>
        </w:tc>
        <w:tc>
          <w:tcPr>
            <w:tcW w:w="2506" w:type="dxa"/>
            <w:vAlign w:val="center"/>
          </w:tcPr>
          <w:p w14:paraId="41AA2763" w14:textId="3B7300F2" w:rsidR="00D73165" w:rsidRPr="00D73165" w:rsidRDefault="00D73165" w:rsidP="00D73165">
            <w:pPr>
              <w:spacing w:after="0" w:line="240" w:lineRule="auto"/>
              <w:rPr>
                <w:rFonts w:ascii="Aptos" w:eastAsia="Times New Roman" w:hAnsi="Aptos" w:cs="Times New Roman"/>
                <w:color w:val="000000"/>
                <w:kern w:val="0"/>
                <w:sz w:val="20"/>
                <w:szCs w:val="20"/>
                <w14:ligatures w14:val="none"/>
              </w:rPr>
            </w:pPr>
            <m:oMath>
              <m:r>
                <w:rPr>
                  <w:rFonts w:ascii="Cambria Math" w:hAnsi="Cambria Math"/>
                  <w:sz w:val="20"/>
                  <w:szCs w:val="20"/>
                </w:rPr>
                <m:t>β₁</m:t>
              </m:r>
            </m:oMath>
            <w:r w:rsidRPr="00D73165">
              <w:rPr>
                <w:rFonts w:ascii="Aptos" w:hAnsi="Aptos"/>
                <w:sz w:val="20"/>
                <w:szCs w:val="20"/>
              </w:rPr>
              <w:t xml:space="preserve"> &lt; 1 is statistically supported (95% CI &lt; 1)</w:t>
            </w:r>
          </w:p>
        </w:tc>
      </w:tr>
    </w:tbl>
    <w:p w14:paraId="7E0E4A1E" w14:textId="7A039914" w:rsidR="00DF2634" w:rsidRPr="0048038C" w:rsidRDefault="00DF2634" w:rsidP="00D054C7">
      <w:pPr>
        <w:rPr>
          <w:rFonts w:eastAsiaTheme="minorEastAsia"/>
        </w:rPr>
      </w:pPr>
    </w:p>
    <w:p w14:paraId="053E6886" w14:textId="77777777" w:rsidR="00DF2634" w:rsidRDefault="00DF2634" w:rsidP="00DF2634">
      <w:r w:rsidRPr="00E50609">
        <w:rPr>
          <w:b/>
          <w:bCs/>
        </w:rPr>
        <w:t xml:space="preserve">Significance </w:t>
      </w:r>
      <w:r>
        <w:rPr>
          <w:b/>
          <w:bCs/>
        </w:rPr>
        <w:t>l</w:t>
      </w:r>
      <w:r w:rsidRPr="00E50609">
        <w:rPr>
          <w:b/>
          <w:bCs/>
        </w:rPr>
        <w:t>evel</w:t>
      </w:r>
      <w:r>
        <w:t xml:space="preserve">: </w:t>
      </w:r>
    </w:p>
    <w:p w14:paraId="463C8777" w14:textId="77777777" w:rsidR="00DF2634" w:rsidRPr="00E50609" w:rsidRDefault="00DF2634" w:rsidP="00DF2634">
      <w:pPr>
        <w:rPr>
          <w:rFonts w:eastAsiaTheme="minorEastAsia"/>
        </w:rPr>
      </w:pPr>
      <w:r w:rsidRPr="00E50609">
        <w:rPr>
          <w:rFonts w:eastAsiaTheme="minorEastAsia"/>
        </w:rPr>
        <w:t>We use the standard significance level</w:t>
      </w:r>
      <w:r>
        <w:rPr>
          <w:rFonts w:eastAsiaTheme="minorEastAsia"/>
        </w:rPr>
        <w:t xml:space="preserve"> of 5%</w:t>
      </w:r>
      <w:r w:rsidRPr="00E50609">
        <w:rPr>
          <w:rFonts w:eastAsiaTheme="minorEastAsia"/>
        </w:rPr>
        <w:t>:</w:t>
      </w:r>
    </w:p>
    <w:p w14:paraId="1B25AF35" w14:textId="77777777" w:rsidR="00DF2634" w:rsidRDefault="00DF2634" w:rsidP="00DF2634">
      <w:pPr>
        <w:rPr>
          <w:rFonts w:eastAsiaTheme="minorEastAsia"/>
        </w:rPr>
      </w:pPr>
      <m:oMathPara>
        <m:oMath>
          <m:r>
            <w:rPr>
              <w:rFonts w:ascii="Cambria Math" w:eastAsiaTheme="minorEastAsia" w:hAnsi="Cambria Math"/>
            </w:rPr>
            <m:t>α=0.05</m:t>
          </m:r>
          <m:r>
            <m:rPr>
              <m:sty m:val="p"/>
            </m:rPr>
            <w:rPr>
              <w:rFonts w:ascii="Cambria Math" w:eastAsiaTheme="minorEastAsia" w:hAnsi="Cambria Math"/>
            </w:rPr>
            <w:br/>
          </m:r>
        </m:oMath>
      </m:oMathPara>
      <w:r w:rsidRPr="00E07764">
        <w:rPr>
          <w:rFonts w:eastAsiaTheme="minorEastAsia"/>
          <w:b/>
          <w:bCs/>
        </w:rPr>
        <w:t>Decision rule</w:t>
      </w:r>
      <w:r>
        <w:rPr>
          <w:rFonts w:eastAsiaTheme="minorEastAsia"/>
        </w:rPr>
        <w:t>:</w:t>
      </w:r>
    </w:p>
    <w:p w14:paraId="0FBF48F7" w14:textId="77777777" w:rsidR="00DF2634" w:rsidRPr="000709D4" w:rsidRDefault="00DF2634" w:rsidP="00DF2634">
      <w:pPr>
        <w:rPr>
          <w:rFonts w:eastAsiaTheme="minorEastAsia"/>
        </w:rPr>
      </w:pPr>
      <w:r w:rsidRPr="000709D4">
        <w:rPr>
          <w:rFonts w:eastAsiaTheme="minorEastAsia"/>
        </w:rPr>
        <w:t xml:space="preserve">Reject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0</m:t>
            </m:r>
          </m:sub>
        </m:sSub>
      </m:oMath>
      <w:r w:rsidRPr="000709D4">
        <w:rPr>
          <w:rFonts w:eastAsiaTheme="minorEastAsia"/>
        </w:rPr>
        <w:t>if:</w:t>
      </w:r>
    </w:p>
    <w:p w14:paraId="385EF4DC" w14:textId="0034D6A7" w:rsidR="00DF2634" w:rsidRPr="00A703DF" w:rsidRDefault="00000000" w:rsidP="00A703DF">
      <w:pPr>
        <w:pStyle w:val="ListParagraph"/>
        <w:numPr>
          <w:ilvl w:val="0"/>
          <w:numId w:val="28"/>
        </w:numPr>
        <w:rPr>
          <w:rFonts w:eastAsiaTheme="minorEastAsia"/>
        </w:rPr>
      </w:pPr>
      <m:oMath>
        <m:d>
          <m:dPr>
            <m:begChr m:val="|"/>
            <m:endChr m:val="|"/>
            <m:ctrlPr>
              <w:rPr>
                <w:rStyle w:val="mord"/>
                <w:rFonts w:ascii="Cambria Math" w:hAnsi="Cambria Math"/>
              </w:rPr>
            </m:ctrlPr>
          </m:dPr>
          <m:e>
            <m:r>
              <m:rPr>
                <m:sty m:val="p"/>
              </m:rPr>
              <w:rPr>
                <w:rStyle w:val="mord"/>
                <w:rFonts w:ascii="Cambria Math" w:hAnsi="Cambria Math"/>
              </w:rPr>
              <m:t>t</m:t>
            </m:r>
          </m:e>
        </m:d>
        <m:r>
          <m:rPr>
            <m:sty m:val="p"/>
          </m:rPr>
          <w:rPr>
            <w:rStyle w:val="mord"/>
            <w:rFonts w:ascii="Cambria Math" w:hAnsi="Cambria Math" w:cs="Cambria Math"/>
          </w:rPr>
          <m:t xml:space="preserve"> </m:t>
        </m:r>
        <m:r>
          <m:rPr>
            <m:sty m:val="p"/>
          </m:rPr>
          <w:rPr>
            <w:rStyle w:val="mrel"/>
            <w:rFonts w:ascii="Cambria Math" w:hAnsi="Cambria Math"/>
          </w:rPr>
          <m:t>&gt;</m:t>
        </m:r>
        <m:sSub>
          <m:sSubPr>
            <m:ctrlPr>
              <w:rPr>
                <w:rStyle w:val="mord"/>
                <w:rFonts w:ascii="Cambria Math" w:hAnsi="Cambria Math"/>
              </w:rPr>
            </m:ctrlPr>
          </m:sSubPr>
          <m:e>
            <m:r>
              <m:rPr>
                <m:sty m:val="p"/>
              </m:rPr>
              <w:rPr>
                <w:rStyle w:val="mord"/>
                <w:rFonts w:ascii="Cambria Math" w:hAnsi="Cambria Math"/>
              </w:rPr>
              <m:t>t</m:t>
            </m:r>
            <m:ctrlPr>
              <w:rPr>
                <w:rStyle w:val="mrel"/>
                <w:rFonts w:ascii="Cambria Math" w:hAnsi="Cambria Math"/>
              </w:rPr>
            </m:ctrlPr>
          </m:e>
          <m:sub>
            <m:r>
              <m:rPr>
                <m:sty m:val="p"/>
              </m:rPr>
              <w:rPr>
                <w:rStyle w:val="mord"/>
                <w:rFonts w:ascii="Cambria Math" w:hAnsi="Cambria Math"/>
              </w:rPr>
              <m:t>0.975</m:t>
            </m:r>
          </m:sub>
        </m:sSub>
      </m:oMath>
      <w:r w:rsidR="00DF2634" w:rsidRPr="00A703DF">
        <w:rPr>
          <w:rFonts w:eastAsiaTheme="minorEastAsia"/>
          <w:color w:val="EE0000"/>
        </w:rPr>
        <w:t xml:space="preserve"> </w:t>
      </w:r>
      <w:r w:rsidR="00D276B6" w:rsidRPr="00A703DF">
        <w:rPr>
          <w:rFonts w:eastAsiaTheme="minorEastAsia"/>
          <w:color w:val="000000" w:themeColor="text1"/>
        </w:rPr>
        <w:t xml:space="preserve">, </w:t>
      </w:r>
      <w:r w:rsidR="00DF2634" w:rsidRPr="00A703DF">
        <w:rPr>
          <w:rFonts w:eastAsiaTheme="minorEastAsia"/>
        </w:rPr>
        <w:t>or</w:t>
      </w:r>
    </w:p>
    <w:p w14:paraId="2DE4808D" w14:textId="01517F36" w:rsidR="00DF2634" w:rsidRPr="00A703DF" w:rsidRDefault="00DF2634" w:rsidP="00A703DF">
      <w:pPr>
        <w:pStyle w:val="ListParagraph"/>
        <w:numPr>
          <w:ilvl w:val="0"/>
          <w:numId w:val="28"/>
        </w:numPr>
        <w:rPr>
          <w:rFonts w:eastAsiaTheme="minorEastAsia"/>
        </w:rPr>
      </w:pPr>
      <w:r w:rsidRPr="00A703DF">
        <w:rPr>
          <w:rFonts w:eastAsiaTheme="minorEastAsia"/>
        </w:rPr>
        <w:t>the p-value is less than 0.05</w:t>
      </w:r>
      <w:r w:rsidR="00D276B6" w:rsidRPr="00A703DF">
        <w:rPr>
          <w:rFonts w:eastAsiaTheme="minorEastAsia"/>
        </w:rPr>
        <w:t>, or</w:t>
      </w:r>
    </w:p>
    <w:p w14:paraId="7AC8142D" w14:textId="23A4C39D" w:rsidR="00D276B6" w:rsidRPr="00A703DF" w:rsidRDefault="00D276B6" w:rsidP="00A703DF">
      <w:pPr>
        <w:pStyle w:val="ListParagraph"/>
        <w:numPr>
          <w:ilvl w:val="0"/>
          <w:numId w:val="28"/>
        </w:numPr>
        <w:rPr>
          <w:rFonts w:eastAsiaTheme="minorEastAsia"/>
        </w:rPr>
      </w:pPr>
      <w:r>
        <w:t xml:space="preserve">the 95% confidence interval </w:t>
      </w:r>
      <w:r w:rsidRPr="00A703DF">
        <w:rPr>
          <w:rStyle w:val="Strong"/>
          <w:b w:val="0"/>
          <w:bCs w:val="0"/>
        </w:rPr>
        <w:t>does not</w:t>
      </w:r>
      <w:r>
        <w:t xml:space="preserve"> include 1.</w:t>
      </w:r>
    </w:p>
    <w:p w14:paraId="322478E4" w14:textId="77777777" w:rsidR="00DF2634" w:rsidRDefault="00DF2634" w:rsidP="00DF2634">
      <w:pPr>
        <w:rPr>
          <w:rFonts w:eastAsiaTheme="minorEastAsia"/>
        </w:rPr>
      </w:pPr>
      <w:r w:rsidRPr="009F2CBC">
        <w:rPr>
          <w:rFonts w:eastAsiaTheme="minorEastAsia"/>
          <w:b/>
          <w:bCs/>
        </w:rPr>
        <w:t>Statistical Decision</w:t>
      </w:r>
      <w:r>
        <w:rPr>
          <w:rFonts w:eastAsiaTheme="minorEastAsia"/>
        </w:rPr>
        <w:t>:</w:t>
      </w:r>
    </w:p>
    <w:p w14:paraId="3C3E8A3C" w14:textId="603F9555" w:rsidR="00DF2634" w:rsidRDefault="002F2625" w:rsidP="00DF2634">
      <w:pPr>
        <w:rPr>
          <w:rFonts w:eastAsiaTheme="minorEastAsia"/>
          <w:color w:val="000000" w:themeColor="text1"/>
        </w:rPr>
      </w:pPr>
      <w:r w:rsidRPr="002F2625">
        <w:rPr>
          <w:rFonts w:eastAsiaTheme="minorEastAsia"/>
          <w:color w:val="000000" w:themeColor="text1"/>
        </w:rPr>
        <w:t xml:space="preserve">We </w:t>
      </w:r>
      <w:r>
        <w:rPr>
          <w:rFonts w:eastAsiaTheme="minorEastAsia"/>
          <w:color w:val="000000" w:themeColor="text1"/>
        </w:rPr>
        <w:t>r</w:t>
      </w:r>
      <w:r w:rsidRPr="002F2625">
        <w:rPr>
          <w:rFonts w:eastAsiaTheme="minorEastAsia"/>
          <w:color w:val="000000" w:themeColor="text1"/>
        </w:rPr>
        <w:t>eject</w:t>
      </w:r>
      <w:r w:rsidRPr="002F2625">
        <w:rPr>
          <w:rFonts w:eastAsiaTheme="minorEastAsia"/>
          <w:b/>
          <w:bCs/>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0</m:t>
            </m:r>
          </m:sub>
        </m:sSub>
        <m:r>
          <w:rPr>
            <w:rFonts w:ascii="Cambria Math" w:eastAsiaTheme="minorEastAsia" w:hAnsi="Cambria Math"/>
            <w:color w:val="000000" w:themeColor="text1"/>
          </w:rPr>
          <m:t xml:space="preserve"> </m:t>
        </m:r>
      </m:oMath>
      <w:r w:rsidRPr="002F2625">
        <w:rPr>
          <w:rFonts w:eastAsiaTheme="minorEastAsia"/>
          <w:color w:val="000000" w:themeColor="text1"/>
        </w:rPr>
        <w:t>for</w:t>
      </w:r>
      <w:r>
        <w:rPr>
          <w:rFonts w:eastAsiaTheme="minorEastAsia"/>
          <w:color w:val="000000" w:themeColor="text1"/>
        </w:rPr>
        <w:t xml:space="preserve"> </w:t>
      </w:r>
      <w:r w:rsidRPr="002F2625">
        <w:rPr>
          <w:rFonts w:eastAsiaTheme="minorEastAsia"/>
          <w:color w:val="000000" w:themeColor="text1"/>
        </w:rPr>
        <w:t>JPM, GS, BLK, AMT, AVB, O</w:t>
      </w:r>
      <w:r>
        <w:rPr>
          <w:rFonts w:eastAsiaTheme="minorEastAsia"/>
          <w:color w:val="000000" w:themeColor="text1"/>
        </w:rPr>
        <w:t>, at 5% significance level as t</w:t>
      </w:r>
      <w:r w:rsidRPr="002F2625">
        <w:rPr>
          <w:rFonts w:eastAsiaTheme="minorEastAsia"/>
          <w:color w:val="000000" w:themeColor="text1"/>
        </w:rPr>
        <w:t xml:space="preserve">heir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2F2625">
        <w:rPr>
          <w:rFonts w:eastAsiaTheme="minorEastAsia"/>
          <w:color w:val="000000" w:themeColor="text1"/>
        </w:rPr>
        <w:t xml:space="preserve"> values are statistically different from 1</w:t>
      </w:r>
      <w:r w:rsidR="00DF2634" w:rsidRPr="002E1115">
        <w:rPr>
          <w:rFonts w:eastAsiaTheme="minorEastAsia"/>
          <w:color w:val="000000" w:themeColor="text1"/>
        </w:rPr>
        <w:t>.</w:t>
      </w:r>
    </w:p>
    <w:p w14:paraId="15EB3EA6" w14:textId="0CE50BE2" w:rsidR="002F2625" w:rsidRPr="002E1115" w:rsidRDefault="002F2625" w:rsidP="00DF2634">
      <w:pPr>
        <w:rPr>
          <w:rFonts w:eastAsiaTheme="minorEastAsia"/>
          <w:color w:val="000000" w:themeColor="text1"/>
        </w:rPr>
      </w:pPr>
      <w:r w:rsidRPr="002F2625">
        <w:rPr>
          <w:rFonts w:eastAsiaTheme="minorEastAsia"/>
          <w:color w:val="000000" w:themeColor="text1"/>
        </w:rPr>
        <w:t>We fail to reject</w:t>
      </w:r>
      <w:r w:rsidRPr="002F2625">
        <w:rPr>
          <w:rFonts w:eastAsiaTheme="minorEastAsia"/>
          <w:b/>
          <w:bCs/>
          <w:color w:val="000000" w:themeColor="text1"/>
        </w:rPr>
        <w:t xml:space="preserve"> </w:t>
      </w:r>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0</m:t>
            </m:r>
          </m:sub>
        </m:sSub>
        <m:r>
          <w:rPr>
            <w:rFonts w:ascii="Cambria Math" w:eastAsiaTheme="minorEastAsia" w:hAnsi="Cambria Math"/>
            <w:color w:val="000000" w:themeColor="text1"/>
          </w:rPr>
          <m:t xml:space="preserve"> </m:t>
        </m:r>
      </m:oMath>
      <w:r w:rsidRPr="002F2625">
        <w:rPr>
          <w:rFonts w:eastAsiaTheme="minorEastAsia"/>
          <w:color w:val="000000" w:themeColor="text1"/>
        </w:rPr>
        <w:t>for</w:t>
      </w:r>
      <w:r>
        <w:rPr>
          <w:rFonts w:eastAsiaTheme="minorEastAsia"/>
          <w:color w:val="000000" w:themeColor="text1"/>
        </w:rPr>
        <w:t xml:space="preserve"> </w:t>
      </w:r>
      <w:r w:rsidRPr="002F2625">
        <w:rPr>
          <w:rFonts w:eastAsiaTheme="minorEastAsia"/>
          <w:color w:val="000000" w:themeColor="text1"/>
        </w:rPr>
        <w:t>BAC, WFC, PLD, SPG</w:t>
      </w:r>
      <w:r>
        <w:rPr>
          <w:rFonts w:eastAsiaTheme="minorEastAsia"/>
          <w:color w:val="000000" w:themeColor="text1"/>
        </w:rPr>
        <w:t>, as t</w:t>
      </w:r>
      <w:r w:rsidRPr="002F2625">
        <w:rPr>
          <w:rFonts w:eastAsiaTheme="minorEastAsia"/>
          <w:color w:val="000000" w:themeColor="text1"/>
        </w:rPr>
        <w:t xml:space="preserve">heir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2F2625">
        <w:rPr>
          <w:rFonts w:eastAsiaTheme="minorEastAsia"/>
          <w:color w:val="000000" w:themeColor="text1"/>
        </w:rPr>
        <w:t xml:space="preserve"> values are statistically equal to 1</w:t>
      </w:r>
      <w:r>
        <w:rPr>
          <w:rFonts w:eastAsiaTheme="minorEastAsia"/>
          <w:color w:val="000000" w:themeColor="text1"/>
        </w:rPr>
        <w:t>, at 5% significance level.</w:t>
      </w:r>
    </w:p>
    <w:p w14:paraId="4649FD9B" w14:textId="77777777" w:rsidR="00DF2634" w:rsidRDefault="00DF2634" w:rsidP="00DF2634">
      <w:r w:rsidRPr="009F2CBC">
        <w:rPr>
          <w:b/>
          <w:bCs/>
        </w:rPr>
        <w:t>Economic/Investment Decision</w:t>
      </w:r>
      <w:r>
        <w:t>:</w:t>
      </w:r>
    </w:p>
    <w:p w14:paraId="2DF48B1A" w14:textId="2E21E41B" w:rsidR="00B24E7D" w:rsidRDefault="00013B59" w:rsidP="00013B59">
      <w:r>
        <w:t xml:space="preserve">Stocks with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significantly less than 1 (JPM, AMT, AVB, O) are less volatile than the market. They respond less to market movements.</w:t>
      </w:r>
    </w:p>
    <w:p w14:paraId="212D3AF8" w14:textId="4ACF9724" w:rsidR="00013B59" w:rsidRDefault="00013B59" w:rsidP="00013B59">
      <w:r>
        <w:t xml:space="preserve">Stocks with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significantly greater than 1 (GS, BLK) are more volatile than the market. They amplify market movements.</w:t>
      </w:r>
    </w:p>
    <w:p w14:paraId="527610EF" w14:textId="50E1627F" w:rsidR="00013B59" w:rsidRDefault="00013B59" w:rsidP="00013B59">
      <w:r>
        <w:t xml:space="preserve">Stocks whose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not significantly different from 1 (BAC, WFC, PLD, SPG) move roughly with the market.</w:t>
      </w:r>
    </w:p>
    <w:p w14:paraId="0EF6F29F" w14:textId="443A52A1" w:rsidR="00013B59" w:rsidRPr="00B24E7D" w:rsidRDefault="00013B59" w:rsidP="00013B59">
      <w:r w:rsidRPr="00013B59">
        <w:t xml:space="preserve">Overall,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013B59">
        <w:t xml:space="preserve">differences are statistically meaningful for most stocks, especially in the real estate sector where several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rsidRPr="00013B59">
        <w:t>are significantly below 1.</w:t>
      </w:r>
    </w:p>
    <w:p w14:paraId="2AEF6C26" w14:textId="17824F12" w:rsidR="004A7170" w:rsidRDefault="004A7170" w:rsidP="00346E3E">
      <w:pPr>
        <w:pStyle w:val="Heading2"/>
        <w:rPr>
          <w:rFonts w:eastAsiaTheme="minorEastAsia"/>
        </w:rPr>
      </w:pPr>
      <w:bookmarkStart w:id="14" w:name="_Toc214932641"/>
      <w:r w:rsidRPr="004A7170">
        <w:rPr>
          <w:rFonts w:eastAsiaTheme="minorEastAsia"/>
        </w:rPr>
        <w:lastRenderedPageBreak/>
        <w:t>Model Adequacy</w:t>
      </w:r>
      <w:bookmarkEnd w:id="14"/>
    </w:p>
    <w:p w14:paraId="4DE1D6C4" w14:textId="439290B1" w:rsidR="000E5811" w:rsidRDefault="00A703DF" w:rsidP="000E5811">
      <w:r w:rsidRPr="00A703DF">
        <w:rPr>
          <w:b/>
          <w:bCs/>
        </w:rPr>
        <w:t>Test of Normality of Residuals</w:t>
      </w:r>
      <w:r w:rsidR="009F2E7E">
        <w:rPr>
          <w:b/>
          <w:bCs/>
        </w:rPr>
        <w:t xml:space="preserve"> </w:t>
      </w:r>
      <w:r w:rsidR="00616873">
        <w:rPr>
          <w:b/>
          <w:bCs/>
        </w:rPr>
        <w:t>(</w:t>
      </w:r>
      <w:r w:rsidR="009F2E7E">
        <w:rPr>
          <w:b/>
          <w:bCs/>
        </w:rPr>
        <w:t xml:space="preserve">Visual Inspection and Jarque-Bera </w:t>
      </w:r>
      <w:r w:rsidR="009F2E7E" w:rsidRPr="009F2E7E">
        <w:rPr>
          <w:b/>
          <w:bCs/>
        </w:rPr>
        <w:t>test</w:t>
      </w:r>
      <w:r w:rsidR="00616873">
        <w:rPr>
          <w:b/>
          <w:bCs/>
        </w:rPr>
        <w:t>)</w:t>
      </w:r>
      <w:r w:rsidR="000E5811" w:rsidRPr="009F2E7E">
        <w:rPr>
          <w:b/>
          <w:bCs/>
        </w:rPr>
        <w:t>:</w:t>
      </w:r>
    </w:p>
    <w:p w14:paraId="653983D7" w14:textId="77777777" w:rsidR="00A703DF" w:rsidRDefault="00A703DF" w:rsidP="00A703DF">
      <w:r>
        <w:t>The market model assumes that regression residuals are normally distributed.</w:t>
      </w:r>
    </w:p>
    <w:p w14:paraId="6A83C5A4" w14:textId="3C41DDDE" w:rsidR="00A703DF" w:rsidRDefault="00A703DF" w:rsidP="00A703DF">
      <w:r>
        <w:t>We assess normality using:</w:t>
      </w:r>
    </w:p>
    <w:p w14:paraId="6CD54901" w14:textId="2DFACE62" w:rsidR="00A703DF" w:rsidRDefault="00A703DF" w:rsidP="00A703DF">
      <w:pPr>
        <w:pStyle w:val="ListParagraph"/>
        <w:numPr>
          <w:ilvl w:val="0"/>
          <w:numId w:val="27"/>
        </w:numPr>
      </w:pPr>
      <w:r>
        <w:t xml:space="preserve">Visual inspection of residual histograms with overlaid </w:t>
      </w:r>
      <w:r w:rsidR="00DD4FE3">
        <w:t>symmetric bell</w:t>
      </w:r>
      <w:r>
        <w:t xml:space="preserve"> curves</w:t>
      </w:r>
    </w:p>
    <w:p w14:paraId="3DCB2DA7" w14:textId="40ACD0AB" w:rsidR="00A703DF" w:rsidRDefault="00A703DF" w:rsidP="00A703DF">
      <w:pPr>
        <w:pStyle w:val="ListParagraph"/>
        <w:numPr>
          <w:ilvl w:val="0"/>
          <w:numId w:val="27"/>
        </w:numPr>
      </w:pPr>
      <w:r>
        <w:t>Jarque–Bera (JB) test for formal statistical evaluation</w:t>
      </w:r>
    </w:p>
    <w:p w14:paraId="480DCF2F" w14:textId="4C23217C" w:rsidR="00A02ED3" w:rsidRDefault="00A02ED3" w:rsidP="00A02ED3">
      <w:r w:rsidRPr="00A02ED3">
        <w:t>Visual Diagnostic Results (Histograms)</w:t>
      </w:r>
      <w:r>
        <w:t>: Based on the visual inspection of the histograms in Fig. 1 below, we note that:</w:t>
      </w:r>
    </w:p>
    <w:p w14:paraId="4E3C1993" w14:textId="45361D46" w:rsidR="00A02ED3" w:rsidRDefault="00A02ED3" w:rsidP="00A02ED3">
      <w:pPr>
        <w:pStyle w:val="ListParagraph"/>
        <w:numPr>
          <w:ilvl w:val="0"/>
          <w:numId w:val="29"/>
        </w:numPr>
      </w:pPr>
      <w:r>
        <w:t>Distributions that are roughly centered around zero</w:t>
      </w:r>
    </w:p>
    <w:p w14:paraId="19C0782F" w14:textId="42266AB2" w:rsidR="00A02ED3" w:rsidRDefault="00A02ED3" w:rsidP="00A02ED3">
      <w:pPr>
        <w:pStyle w:val="ListParagraph"/>
        <w:numPr>
          <w:ilvl w:val="0"/>
          <w:numId w:val="27"/>
        </w:numPr>
      </w:pPr>
      <w:r>
        <w:t>Noticeable skewness for many stocks</w:t>
      </w:r>
    </w:p>
    <w:p w14:paraId="3C76C003" w14:textId="56D813D1" w:rsidR="00A02ED3" w:rsidRDefault="00A02ED3" w:rsidP="00A02ED3">
      <w:pPr>
        <w:pStyle w:val="ListParagraph"/>
        <w:numPr>
          <w:ilvl w:val="0"/>
          <w:numId w:val="27"/>
        </w:numPr>
      </w:pPr>
      <w:r>
        <w:t>Heavy tails in several cases (high kurtosis)</w:t>
      </w:r>
    </w:p>
    <w:p w14:paraId="62B6A2F5" w14:textId="32B0F541" w:rsidR="00BA1E11" w:rsidRDefault="00A02ED3" w:rsidP="00A02ED3">
      <w:pPr>
        <w:pStyle w:val="ListParagraph"/>
        <w:numPr>
          <w:ilvl w:val="0"/>
          <w:numId w:val="27"/>
        </w:numPr>
      </w:pPr>
      <w:r>
        <w:t>Some stocks (e.g., SPG and AVB) exhibit extreme kurtosis or asymmetric tails</w:t>
      </w:r>
    </w:p>
    <w:p w14:paraId="0FF1CB16" w14:textId="0C12B2D2" w:rsidR="00BA1E11" w:rsidRDefault="00A02ED3" w:rsidP="00BA1E11">
      <w:r w:rsidRPr="00A02ED3">
        <w:t>These visual patterns already suggest departures from normality.</w:t>
      </w:r>
    </w:p>
    <w:p w14:paraId="2C93F7CC" w14:textId="2CE779B2" w:rsidR="00BA1E11" w:rsidRDefault="00BA1E11" w:rsidP="00BA1E11">
      <w:r w:rsidRPr="00BA1E11">
        <w:rPr>
          <w:noProof/>
        </w:rPr>
        <w:drawing>
          <wp:inline distT="0" distB="0" distL="0" distR="0" wp14:anchorId="473479B4" wp14:editId="693B733F">
            <wp:extent cx="5822302" cy="3840480"/>
            <wp:effectExtent l="0" t="0" r="0" b="0"/>
            <wp:docPr id="1397968527"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68527" name="Picture 1" descr="A graph of a normal distribution&#10;&#10;AI-generated content may be incorrect."/>
                    <pic:cNvPicPr/>
                  </pic:nvPicPr>
                  <pic:blipFill>
                    <a:blip r:embed="rId8"/>
                    <a:stretch>
                      <a:fillRect/>
                    </a:stretch>
                  </pic:blipFill>
                  <pic:spPr>
                    <a:xfrm>
                      <a:off x="0" y="0"/>
                      <a:ext cx="5822302" cy="3840480"/>
                    </a:xfrm>
                    <a:prstGeom prst="rect">
                      <a:avLst/>
                    </a:prstGeom>
                  </pic:spPr>
                </pic:pic>
              </a:graphicData>
            </a:graphic>
          </wp:inline>
        </w:drawing>
      </w:r>
    </w:p>
    <w:p w14:paraId="4464BD68" w14:textId="5F3CF1FB" w:rsidR="00BA1E11" w:rsidRDefault="00BA1E11" w:rsidP="00BA1E11">
      <w:r w:rsidRPr="00BA1E11">
        <w:rPr>
          <w:noProof/>
        </w:rPr>
        <w:lastRenderedPageBreak/>
        <w:drawing>
          <wp:inline distT="0" distB="0" distL="0" distR="0" wp14:anchorId="401C1867" wp14:editId="7F6D7289">
            <wp:extent cx="5822302" cy="3840480"/>
            <wp:effectExtent l="0" t="0" r="0" b="0"/>
            <wp:docPr id="1939259209" name="Picture 1" descr="A group of graphs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9209" name="Picture 1" descr="A group of graphs with red lines&#10;&#10;AI-generated content may be incorrect."/>
                    <pic:cNvPicPr/>
                  </pic:nvPicPr>
                  <pic:blipFill>
                    <a:blip r:embed="rId9"/>
                    <a:stretch>
                      <a:fillRect/>
                    </a:stretch>
                  </pic:blipFill>
                  <pic:spPr>
                    <a:xfrm>
                      <a:off x="0" y="0"/>
                      <a:ext cx="5822302" cy="3840480"/>
                    </a:xfrm>
                    <a:prstGeom prst="rect">
                      <a:avLst/>
                    </a:prstGeom>
                  </pic:spPr>
                </pic:pic>
              </a:graphicData>
            </a:graphic>
          </wp:inline>
        </w:drawing>
      </w:r>
    </w:p>
    <w:p w14:paraId="128D3C3C" w14:textId="37A0B71B" w:rsidR="00A02ED3" w:rsidRDefault="00A02ED3" w:rsidP="00A02ED3">
      <w:pPr>
        <w:jc w:val="center"/>
        <w:rPr>
          <w:sz w:val="20"/>
          <w:szCs w:val="20"/>
        </w:rPr>
      </w:pPr>
      <w:r w:rsidRPr="4B90F60D">
        <w:rPr>
          <w:b/>
          <w:bCs/>
          <w:sz w:val="20"/>
          <w:szCs w:val="20"/>
        </w:rPr>
        <w:t>Fig 1</w:t>
      </w:r>
      <w:r w:rsidRPr="4B90F60D">
        <w:rPr>
          <w:sz w:val="20"/>
          <w:szCs w:val="20"/>
        </w:rPr>
        <w:t xml:space="preserve">: </w:t>
      </w:r>
      <w:r>
        <w:rPr>
          <w:sz w:val="20"/>
          <w:szCs w:val="20"/>
        </w:rPr>
        <w:t>Residual distributions</w:t>
      </w:r>
    </w:p>
    <w:p w14:paraId="0E968C0D" w14:textId="77777777" w:rsidR="00A02ED3" w:rsidRDefault="00A02ED3" w:rsidP="00A02ED3">
      <w:pPr>
        <w:jc w:val="center"/>
        <w:rPr>
          <w:sz w:val="20"/>
          <w:szCs w:val="20"/>
        </w:rPr>
      </w:pPr>
    </w:p>
    <w:p w14:paraId="2A2A69BC" w14:textId="443CD8C2" w:rsidR="00A02ED3" w:rsidRDefault="00A02ED3" w:rsidP="00610AC0">
      <w:r>
        <w:t xml:space="preserve">Jarque–Bera Normality Test: </w:t>
      </w:r>
      <w:r w:rsidR="00610AC0">
        <w:t xml:space="preserve">The JB test evaluates whether residuals have skewness = 0 (symmetric), and kurtosis = 3 (normal tail thickness). </w:t>
      </w:r>
    </w:p>
    <w:p w14:paraId="3546785F" w14:textId="4A481590" w:rsidR="00813BCF" w:rsidRDefault="00813BCF" w:rsidP="00610AC0">
      <w:r>
        <w:t>Hypothesis:</w:t>
      </w:r>
    </w:p>
    <w:p w14:paraId="4B0A39EC" w14:textId="77777777" w:rsidR="00813BCF" w:rsidRDefault="00000000" w:rsidP="00813BCF">
      <w:pPr>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610AC0">
        <w:rPr>
          <w:rFonts w:eastAsiaTheme="minorEastAsia"/>
        </w:rPr>
        <w:t xml:space="preserve"> : </w:t>
      </w:r>
      <w:r w:rsidR="00610AC0">
        <w:t>Residuals are normally distributed</w:t>
      </w:r>
      <w:r w:rsidR="00610AC0">
        <w:br/>
      </w:r>
      <m:oMath>
        <m:sSub>
          <m:sSubPr>
            <m:ctrlPr>
              <w:rPr>
                <w:rFonts w:ascii="Cambria Math" w:hAnsi="Cambria Math"/>
              </w:rPr>
            </m:ctrlPr>
          </m:sSubPr>
          <m:e>
            <m:r>
              <w:rPr>
                <w:rFonts w:ascii="Cambria Math" w:hAnsi="Cambria Math"/>
              </w:rPr>
              <m:t>H</m:t>
            </m:r>
          </m:e>
          <m:sub>
            <m:r>
              <w:rPr>
                <w:rFonts w:ascii="Cambria Math" w:hAnsi="Cambria Math"/>
              </w:rPr>
              <m:t>a</m:t>
            </m:r>
          </m:sub>
        </m:sSub>
      </m:oMath>
      <w:r w:rsidR="00610AC0">
        <w:rPr>
          <w:rFonts w:eastAsiaTheme="minorEastAsia"/>
        </w:rPr>
        <w:t xml:space="preserve"> : </w:t>
      </w:r>
      <w:r w:rsidR="00610AC0">
        <w:t>Residuals are not normally distributed</w:t>
      </w:r>
    </w:p>
    <w:p w14:paraId="5B59B4EC" w14:textId="625CEBF9" w:rsidR="00610AC0" w:rsidRDefault="00610AC0" w:rsidP="00813BCF">
      <w:r w:rsidRPr="00610AC0">
        <w:rPr>
          <w:rStyle w:val="Strong"/>
          <w:b w:val="0"/>
          <w:bCs w:val="0"/>
        </w:rPr>
        <w:t>Decision rule:</w:t>
      </w:r>
      <w:r>
        <w:t xml:space="preserve"> Reject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rFonts w:eastAsiaTheme="minorEastAsia"/>
        </w:rPr>
        <w:t xml:space="preserve"> </w:t>
      </w:r>
      <w:r>
        <w:t>if JB p-value &lt; 0.05</w:t>
      </w:r>
    </w:p>
    <w:p w14:paraId="1C195D50" w14:textId="35E1309C" w:rsidR="00DB3FE8" w:rsidRDefault="00DB3FE8" w:rsidP="00813BCF">
      <w:r>
        <w:t>Results summary:</w:t>
      </w:r>
    </w:p>
    <w:tbl>
      <w:tblPr>
        <w:tblW w:w="7735" w:type="dxa"/>
        <w:tblLook w:val="04A0" w:firstRow="1" w:lastRow="0" w:firstColumn="1" w:lastColumn="0" w:noHBand="0" w:noVBand="1"/>
      </w:tblPr>
      <w:tblGrid>
        <w:gridCol w:w="1900"/>
        <w:gridCol w:w="1540"/>
        <w:gridCol w:w="1540"/>
        <w:gridCol w:w="2755"/>
      </w:tblGrid>
      <w:tr w:rsidR="00610AC0" w:rsidRPr="00DD4FE3" w14:paraId="0DD0B2AB" w14:textId="77777777" w:rsidTr="00610AC0">
        <w:trPr>
          <w:trHeight w:val="500"/>
        </w:trPr>
        <w:tc>
          <w:tcPr>
            <w:tcW w:w="1900" w:type="dxa"/>
            <w:tcBorders>
              <w:top w:val="single" w:sz="4" w:space="0" w:color="B8C0FF"/>
              <w:left w:val="single" w:sz="4" w:space="0" w:color="B8C0FF"/>
              <w:bottom w:val="single" w:sz="4" w:space="0" w:color="B8C0FF"/>
              <w:right w:val="single" w:sz="4" w:space="0" w:color="B8C0FF"/>
            </w:tcBorders>
            <w:shd w:val="clear" w:color="000000" w:fill="F2F2F2"/>
            <w:noWrap/>
            <w:vAlign w:val="center"/>
            <w:hideMark/>
          </w:tcPr>
          <w:p w14:paraId="3E65A1F9" w14:textId="77777777" w:rsidR="00610AC0" w:rsidRPr="00DD4FE3" w:rsidRDefault="00610AC0" w:rsidP="00610AC0">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Stock</w:t>
            </w:r>
          </w:p>
        </w:tc>
        <w:tc>
          <w:tcPr>
            <w:tcW w:w="1540" w:type="dxa"/>
            <w:tcBorders>
              <w:top w:val="single" w:sz="4" w:space="0" w:color="B8C0FF"/>
              <w:left w:val="nil"/>
              <w:bottom w:val="single" w:sz="4" w:space="0" w:color="B8C0FF"/>
              <w:right w:val="single" w:sz="4" w:space="0" w:color="B8C0FF"/>
            </w:tcBorders>
            <w:shd w:val="clear" w:color="000000" w:fill="F2F2F2"/>
            <w:noWrap/>
            <w:vAlign w:val="center"/>
            <w:hideMark/>
          </w:tcPr>
          <w:p w14:paraId="5C039683" w14:textId="77777777" w:rsidR="00610AC0" w:rsidRPr="00DD4FE3" w:rsidRDefault="00610AC0" w:rsidP="00610AC0">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JB Statistic</w:t>
            </w:r>
          </w:p>
        </w:tc>
        <w:tc>
          <w:tcPr>
            <w:tcW w:w="1540" w:type="dxa"/>
            <w:tcBorders>
              <w:top w:val="single" w:sz="4" w:space="0" w:color="B8C0FF"/>
              <w:left w:val="nil"/>
              <w:bottom w:val="single" w:sz="4" w:space="0" w:color="B8C0FF"/>
              <w:right w:val="single" w:sz="4" w:space="0" w:color="B8C0FF"/>
            </w:tcBorders>
            <w:shd w:val="clear" w:color="000000" w:fill="F2F2F2"/>
            <w:noWrap/>
            <w:vAlign w:val="center"/>
            <w:hideMark/>
          </w:tcPr>
          <w:p w14:paraId="10B1FD41" w14:textId="77777777" w:rsidR="00610AC0" w:rsidRPr="00DD4FE3" w:rsidRDefault="00610AC0" w:rsidP="00610AC0">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JB p-value</w:t>
            </w:r>
          </w:p>
        </w:tc>
        <w:tc>
          <w:tcPr>
            <w:tcW w:w="2755" w:type="dxa"/>
            <w:tcBorders>
              <w:top w:val="single" w:sz="4" w:space="0" w:color="B8C0FF"/>
              <w:left w:val="nil"/>
              <w:bottom w:val="single" w:sz="4" w:space="0" w:color="B8C0FF"/>
              <w:right w:val="single" w:sz="4" w:space="0" w:color="B8C0FF"/>
            </w:tcBorders>
            <w:shd w:val="clear" w:color="000000" w:fill="F2F2F2"/>
            <w:noWrap/>
            <w:vAlign w:val="center"/>
            <w:hideMark/>
          </w:tcPr>
          <w:p w14:paraId="174D5C0A" w14:textId="7859177B" w:rsidR="00610AC0" w:rsidRPr="00DD4FE3" w:rsidRDefault="00610AC0" w:rsidP="00610AC0">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Reject Normality (at 5%)?</w:t>
            </w:r>
          </w:p>
        </w:tc>
      </w:tr>
      <w:tr w:rsidR="00610AC0" w:rsidRPr="00DD4FE3" w14:paraId="6DA20881"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1A630518"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JPM</w:t>
            </w:r>
          </w:p>
        </w:tc>
        <w:tc>
          <w:tcPr>
            <w:tcW w:w="1540" w:type="dxa"/>
            <w:tcBorders>
              <w:top w:val="nil"/>
              <w:left w:val="nil"/>
              <w:bottom w:val="single" w:sz="4" w:space="0" w:color="B8C0FF"/>
              <w:right w:val="single" w:sz="4" w:space="0" w:color="B8C0FF"/>
            </w:tcBorders>
            <w:noWrap/>
            <w:vAlign w:val="center"/>
            <w:hideMark/>
          </w:tcPr>
          <w:p w14:paraId="63C71B52"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8012.52</w:t>
            </w:r>
          </w:p>
        </w:tc>
        <w:tc>
          <w:tcPr>
            <w:tcW w:w="1540" w:type="dxa"/>
            <w:tcBorders>
              <w:top w:val="nil"/>
              <w:left w:val="nil"/>
              <w:bottom w:val="single" w:sz="4" w:space="0" w:color="B8C0FF"/>
              <w:right w:val="single" w:sz="4" w:space="0" w:color="B8C0FF"/>
            </w:tcBorders>
            <w:noWrap/>
            <w:vAlign w:val="center"/>
            <w:hideMark/>
          </w:tcPr>
          <w:p w14:paraId="686FFC11"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w:t>
            </w:r>
          </w:p>
        </w:tc>
        <w:tc>
          <w:tcPr>
            <w:tcW w:w="2755" w:type="dxa"/>
            <w:tcBorders>
              <w:top w:val="nil"/>
              <w:left w:val="nil"/>
              <w:bottom w:val="single" w:sz="4" w:space="0" w:color="B8C0FF"/>
              <w:right w:val="single" w:sz="4" w:space="0" w:color="B8C0FF"/>
            </w:tcBorders>
            <w:noWrap/>
            <w:vAlign w:val="center"/>
            <w:hideMark/>
          </w:tcPr>
          <w:p w14:paraId="2B260BDE"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7717CA16"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7C2D3A4A"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BAC</w:t>
            </w:r>
          </w:p>
        </w:tc>
        <w:tc>
          <w:tcPr>
            <w:tcW w:w="1540" w:type="dxa"/>
            <w:tcBorders>
              <w:top w:val="nil"/>
              <w:left w:val="nil"/>
              <w:bottom w:val="single" w:sz="4" w:space="0" w:color="B8C0FF"/>
              <w:right w:val="single" w:sz="4" w:space="0" w:color="B8C0FF"/>
            </w:tcBorders>
            <w:noWrap/>
            <w:vAlign w:val="center"/>
            <w:hideMark/>
          </w:tcPr>
          <w:p w14:paraId="6E222BC8"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2703.86</w:t>
            </w:r>
          </w:p>
        </w:tc>
        <w:tc>
          <w:tcPr>
            <w:tcW w:w="1540" w:type="dxa"/>
            <w:tcBorders>
              <w:top w:val="nil"/>
              <w:left w:val="nil"/>
              <w:bottom w:val="single" w:sz="4" w:space="0" w:color="B8C0FF"/>
              <w:right w:val="single" w:sz="4" w:space="0" w:color="B8C0FF"/>
            </w:tcBorders>
            <w:noWrap/>
            <w:vAlign w:val="center"/>
            <w:hideMark/>
          </w:tcPr>
          <w:p w14:paraId="2FF67E16"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w:t>
            </w:r>
          </w:p>
        </w:tc>
        <w:tc>
          <w:tcPr>
            <w:tcW w:w="2755" w:type="dxa"/>
            <w:tcBorders>
              <w:top w:val="nil"/>
              <w:left w:val="nil"/>
              <w:bottom w:val="single" w:sz="4" w:space="0" w:color="B8C0FF"/>
              <w:right w:val="single" w:sz="4" w:space="0" w:color="B8C0FF"/>
            </w:tcBorders>
            <w:noWrap/>
            <w:vAlign w:val="center"/>
            <w:hideMark/>
          </w:tcPr>
          <w:p w14:paraId="1E4FD129"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2D583944"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66B0B709"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WFC</w:t>
            </w:r>
          </w:p>
        </w:tc>
        <w:tc>
          <w:tcPr>
            <w:tcW w:w="1540" w:type="dxa"/>
            <w:tcBorders>
              <w:top w:val="nil"/>
              <w:left w:val="nil"/>
              <w:bottom w:val="single" w:sz="4" w:space="0" w:color="B8C0FF"/>
              <w:right w:val="single" w:sz="4" w:space="0" w:color="B8C0FF"/>
            </w:tcBorders>
            <w:noWrap/>
            <w:vAlign w:val="center"/>
            <w:hideMark/>
          </w:tcPr>
          <w:p w14:paraId="246AB6A7"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749.2</w:t>
            </w:r>
          </w:p>
        </w:tc>
        <w:tc>
          <w:tcPr>
            <w:tcW w:w="1540" w:type="dxa"/>
            <w:tcBorders>
              <w:top w:val="nil"/>
              <w:left w:val="nil"/>
              <w:bottom w:val="single" w:sz="4" w:space="0" w:color="B8C0FF"/>
              <w:right w:val="single" w:sz="4" w:space="0" w:color="B8C0FF"/>
            </w:tcBorders>
            <w:noWrap/>
            <w:vAlign w:val="center"/>
            <w:hideMark/>
          </w:tcPr>
          <w:p w14:paraId="2CEDEB1A"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2.06E-163</w:t>
            </w:r>
          </w:p>
        </w:tc>
        <w:tc>
          <w:tcPr>
            <w:tcW w:w="2755" w:type="dxa"/>
            <w:tcBorders>
              <w:top w:val="nil"/>
              <w:left w:val="nil"/>
              <w:bottom w:val="single" w:sz="4" w:space="0" w:color="B8C0FF"/>
              <w:right w:val="single" w:sz="4" w:space="0" w:color="B8C0FF"/>
            </w:tcBorders>
            <w:noWrap/>
            <w:vAlign w:val="center"/>
            <w:hideMark/>
          </w:tcPr>
          <w:p w14:paraId="3E611465"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1D243923"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C999FA0"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lastRenderedPageBreak/>
              <w:t>GS</w:t>
            </w:r>
          </w:p>
        </w:tc>
        <w:tc>
          <w:tcPr>
            <w:tcW w:w="1540" w:type="dxa"/>
            <w:tcBorders>
              <w:top w:val="nil"/>
              <w:left w:val="nil"/>
              <w:bottom w:val="single" w:sz="4" w:space="0" w:color="B8C0FF"/>
              <w:right w:val="single" w:sz="4" w:space="0" w:color="B8C0FF"/>
            </w:tcBorders>
            <w:noWrap/>
            <w:vAlign w:val="center"/>
            <w:hideMark/>
          </w:tcPr>
          <w:p w14:paraId="1C8D8043"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1332.58</w:t>
            </w:r>
          </w:p>
        </w:tc>
        <w:tc>
          <w:tcPr>
            <w:tcW w:w="1540" w:type="dxa"/>
            <w:tcBorders>
              <w:top w:val="nil"/>
              <w:left w:val="nil"/>
              <w:bottom w:val="single" w:sz="4" w:space="0" w:color="B8C0FF"/>
              <w:right w:val="single" w:sz="4" w:space="0" w:color="B8C0FF"/>
            </w:tcBorders>
            <w:noWrap/>
            <w:vAlign w:val="center"/>
            <w:hideMark/>
          </w:tcPr>
          <w:p w14:paraId="7B7E5A96"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4.31E-290</w:t>
            </w:r>
          </w:p>
        </w:tc>
        <w:tc>
          <w:tcPr>
            <w:tcW w:w="2755" w:type="dxa"/>
            <w:tcBorders>
              <w:top w:val="nil"/>
              <w:left w:val="nil"/>
              <w:bottom w:val="single" w:sz="4" w:space="0" w:color="B8C0FF"/>
              <w:right w:val="single" w:sz="4" w:space="0" w:color="B8C0FF"/>
            </w:tcBorders>
            <w:noWrap/>
            <w:vAlign w:val="center"/>
            <w:hideMark/>
          </w:tcPr>
          <w:p w14:paraId="39661AF0"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7A2EA6D5"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11B0C64A"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BLK</w:t>
            </w:r>
          </w:p>
        </w:tc>
        <w:tc>
          <w:tcPr>
            <w:tcW w:w="1540" w:type="dxa"/>
            <w:tcBorders>
              <w:top w:val="nil"/>
              <w:left w:val="nil"/>
              <w:bottom w:val="single" w:sz="4" w:space="0" w:color="B8C0FF"/>
              <w:right w:val="single" w:sz="4" w:space="0" w:color="B8C0FF"/>
            </w:tcBorders>
            <w:noWrap/>
            <w:vAlign w:val="center"/>
            <w:hideMark/>
          </w:tcPr>
          <w:p w14:paraId="45B3BECD"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530.1</w:t>
            </w:r>
          </w:p>
        </w:tc>
        <w:tc>
          <w:tcPr>
            <w:tcW w:w="1540" w:type="dxa"/>
            <w:tcBorders>
              <w:top w:val="nil"/>
              <w:left w:val="nil"/>
              <w:bottom w:val="single" w:sz="4" w:space="0" w:color="B8C0FF"/>
              <w:right w:val="single" w:sz="4" w:space="0" w:color="B8C0FF"/>
            </w:tcBorders>
            <w:noWrap/>
            <w:vAlign w:val="center"/>
            <w:hideMark/>
          </w:tcPr>
          <w:p w14:paraId="1BABA7F9"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7.76E-116</w:t>
            </w:r>
          </w:p>
        </w:tc>
        <w:tc>
          <w:tcPr>
            <w:tcW w:w="2755" w:type="dxa"/>
            <w:tcBorders>
              <w:top w:val="nil"/>
              <w:left w:val="nil"/>
              <w:bottom w:val="single" w:sz="4" w:space="0" w:color="B8C0FF"/>
              <w:right w:val="single" w:sz="4" w:space="0" w:color="B8C0FF"/>
            </w:tcBorders>
            <w:noWrap/>
            <w:vAlign w:val="center"/>
            <w:hideMark/>
          </w:tcPr>
          <w:p w14:paraId="2357CBB5"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561CD92C"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6AC32F8A"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PLD</w:t>
            </w:r>
          </w:p>
        </w:tc>
        <w:tc>
          <w:tcPr>
            <w:tcW w:w="1540" w:type="dxa"/>
            <w:tcBorders>
              <w:top w:val="nil"/>
              <w:left w:val="nil"/>
              <w:bottom w:val="single" w:sz="4" w:space="0" w:color="B8C0FF"/>
              <w:right w:val="single" w:sz="4" w:space="0" w:color="B8C0FF"/>
            </w:tcBorders>
            <w:noWrap/>
            <w:vAlign w:val="center"/>
            <w:hideMark/>
          </w:tcPr>
          <w:p w14:paraId="5D03AC34"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211.31</w:t>
            </w:r>
          </w:p>
        </w:tc>
        <w:tc>
          <w:tcPr>
            <w:tcW w:w="1540" w:type="dxa"/>
            <w:tcBorders>
              <w:top w:val="nil"/>
              <w:left w:val="nil"/>
              <w:bottom w:val="single" w:sz="4" w:space="0" w:color="B8C0FF"/>
              <w:right w:val="single" w:sz="4" w:space="0" w:color="B8C0FF"/>
            </w:tcBorders>
            <w:noWrap/>
            <w:vAlign w:val="center"/>
            <w:hideMark/>
          </w:tcPr>
          <w:p w14:paraId="70F23662"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1.3E-46</w:t>
            </w:r>
          </w:p>
        </w:tc>
        <w:tc>
          <w:tcPr>
            <w:tcW w:w="2755" w:type="dxa"/>
            <w:tcBorders>
              <w:top w:val="nil"/>
              <w:left w:val="nil"/>
              <w:bottom w:val="single" w:sz="4" w:space="0" w:color="B8C0FF"/>
              <w:right w:val="single" w:sz="4" w:space="0" w:color="B8C0FF"/>
            </w:tcBorders>
            <w:noWrap/>
            <w:vAlign w:val="center"/>
            <w:hideMark/>
          </w:tcPr>
          <w:p w14:paraId="171D323C"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2B7F0B6E"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BC461B9"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AMT</w:t>
            </w:r>
          </w:p>
        </w:tc>
        <w:tc>
          <w:tcPr>
            <w:tcW w:w="1540" w:type="dxa"/>
            <w:tcBorders>
              <w:top w:val="nil"/>
              <w:left w:val="nil"/>
              <w:bottom w:val="single" w:sz="4" w:space="0" w:color="B8C0FF"/>
              <w:right w:val="single" w:sz="4" w:space="0" w:color="B8C0FF"/>
            </w:tcBorders>
            <w:noWrap/>
            <w:vAlign w:val="center"/>
            <w:hideMark/>
          </w:tcPr>
          <w:p w14:paraId="27E5CFE6"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555.64</w:t>
            </w:r>
          </w:p>
        </w:tc>
        <w:tc>
          <w:tcPr>
            <w:tcW w:w="1540" w:type="dxa"/>
            <w:tcBorders>
              <w:top w:val="nil"/>
              <w:left w:val="nil"/>
              <w:bottom w:val="single" w:sz="4" w:space="0" w:color="B8C0FF"/>
              <w:right w:val="single" w:sz="4" w:space="0" w:color="B8C0FF"/>
            </w:tcBorders>
            <w:noWrap/>
            <w:vAlign w:val="center"/>
            <w:hideMark/>
          </w:tcPr>
          <w:p w14:paraId="36656E4A"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2.21E-121</w:t>
            </w:r>
          </w:p>
        </w:tc>
        <w:tc>
          <w:tcPr>
            <w:tcW w:w="2755" w:type="dxa"/>
            <w:tcBorders>
              <w:top w:val="nil"/>
              <w:left w:val="nil"/>
              <w:bottom w:val="single" w:sz="4" w:space="0" w:color="B8C0FF"/>
              <w:right w:val="single" w:sz="4" w:space="0" w:color="B8C0FF"/>
            </w:tcBorders>
            <w:noWrap/>
            <w:vAlign w:val="center"/>
            <w:hideMark/>
          </w:tcPr>
          <w:p w14:paraId="6C44EE83"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11D37EFD"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43E64DE8"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SPG</w:t>
            </w:r>
          </w:p>
        </w:tc>
        <w:tc>
          <w:tcPr>
            <w:tcW w:w="1540" w:type="dxa"/>
            <w:tcBorders>
              <w:top w:val="nil"/>
              <w:left w:val="nil"/>
              <w:bottom w:val="single" w:sz="4" w:space="0" w:color="B8C0FF"/>
              <w:right w:val="single" w:sz="4" w:space="0" w:color="B8C0FF"/>
            </w:tcBorders>
            <w:noWrap/>
            <w:vAlign w:val="center"/>
            <w:hideMark/>
          </w:tcPr>
          <w:p w14:paraId="75479A0A"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152332.26</w:t>
            </w:r>
          </w:p>
        </w:tc>
        <w:tc>
          <w:tcPr>
            <w:tcW w:w="1540" w:type="dxa"/>
            <w:tcBorders>
              <w:top w:val="nil"/>
              <w:left w:val="nil"/>
              <w:bottom w:val="single" w:sz="4" w:space="0" w:color="B8C0FF"/>
              <w:right w:val="single" w:sz="4" w:space="0" w:color="B8C0FF"/>
            </w:tcBorders>
            <w:noWrap/>
            <w:vAlign w:val="center"/>
            <w:hideMark/>
          </w:tcPr>
          <w:p w14:paraId="56ED6CE4"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w:t>
            </w:r>
          </w:p>
        </w:tc>
        <w:tc>
          <w:tcPr>
            <w:tcW w:w="2755" w:type="dxa"/>
            <w:tcBorders>
              <w:top w:val="nil"/>
              <w:left w:val="nil"/>
              <w:bottom w:val="single" w:sz="4" w:space="0" w:color="B8C0FF"/>
              <w:right w:val="single" w:sz="4" w:space="0" w:color="B8C0FF"/>
            </w:tcBorders>
            <w:noWrap/>
            <w:vAlign w:val="center"/>
            <w:hideMark/>
          </w:tcPr>
          <w:p w14:paraId="6D773906"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70228CF8"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79BB6149"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AVB</w:t>
            </w:r>
          </w:p>
        </w:tc>
        <w:tc>
          <w:tcPr>
            <w:tcW w:w="1540" w:type="dxa"/>
            <w:tcBorders>
              <w:top w:val="nil"/>
              <w:left w:val="nil"/>
              <w:bottom w:val="single" w:sz="4" w:space="0" w:color="B8C0FF"/>
              <w:right w:val="single" w:sz="4" w:space="0" w:color="B8C0FF"/>
            </w:tcBorders>
            <w:noWrap/>
            <w:vAlign w:val="center"/>
            <w:hideMark/>
          </w:tcPr>
          <w:p w14:paraId="24902243"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1241.5</w:t>
            </w:r>
          </w:p>
        </w:tc>
        <w:tc>
          <w:tcPr>
            <w:tcW w:w="1540" w:type="dxa"/>
            <w:tcBorders>
              <w:top w:val="nil"/>
              <w:left w:val="nil"/>
              <w:bottom w:val="single" w:sz="4" w:space="0" w:color="B8C0FF"/>
              <w:right w:val="single" w:sz="4" w:space="0" w:color="B8C0FF"/>
            </w:tcBorders>
            <w:noWrap/>
            <w:vAlign w:val="center"/>
            <w:hideMark/>
          </w:tcPr>
          <w:p w14:paraId="487F17D1"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2.58E-270</w:t>
            </w:r>
          </w:p>
        </w:tc>
        <w:tc>
          <w:tcPr>
            <w:tcW w:w="2755" w:type="dxa"/>
            <w:tcBorders>
              <w:top w:val="nil"/>
              <w:left w:val="nil"/>
              <w:bottom w:val="single" w:sz="4" w:space="0" w:color="B8C0FF"/>
              <w:right w:val="single" w:sz="4" w:space="0" w:color="B8C0FF"/>
            </w:tcBorders>
            <w:noWrap/>
            <w:vAlign w:val="center"/>
            <w:hideMark/>
          </w:tcPr>
          <w:p w14:paraId="4EC17E99"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610AC0" w:rsidRPr="00DD4FE3" w14:paraId="547FEA50" w14:textId="77777777" w:rsidTr="00610AC0">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7886FAAE"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O</w:t>
            </w:r>
          </w:p>
        </w:tc>
        <w:tc>
          <w:tcPr>
            <w:tcW w:w="1540" w:type="dxa"/>
            <w:tcBorders>
              <w:top w:val="nil"/>
              <w:left w:val="nil"/>
              <w:bottom w:val="single" w:sz="4" w:space="0" w:color="B8C0FF"/>
              <w:right w:val="single" w:sz="4" w:space="0" w:color="B8C0FF"/>
            </w:tcBorders>
            <w:noWrap/>
            <w:vAlign w:val="center"/>
            <w:hideMark/>
          </w:tcPr>
          <w:p w14:paraId="6D4BD753"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164.59</w:t>
            </w:r>
          </w:p>
        </w:tc>
        <w:tc>
          <w:tcPr>
            <w:tcW w:w="1540" w:type="dxa"/>
            <w:tcBorders>
              <w:top w:val="nil"/>
              <w:left w:val="nil"/>
              <w:bottom w:val="single" w:sz="4" w:space="0" w:color="B8C0FF"/>
              <w:right w:val="single" w:sz="4" w:space="0" w:color="B8C0FF"/>
            </w:tcBorders>
            <w:noWrap/>
            <w:vAlign w:val="center"/>
            <w:hideMark/>
          </w:tcPr>
          <w:p w14:paraId="11907D92"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1.82E-36</w:t>
            </w:r>
          </w:p>
        </w:tc>
        <w:tc>
          <w:tcPr>
            <w:tcW w:w="2755" w:type="dxa"/>
            <w:tcBorders>
              <w:top w:val="nil"/>
              <w:left w:val="nil"/>
              <w:bottom w:val="single" w:sz="4" w:space="0" w:color="B8C0FF"/>
              <w:right w:val="single" w:sz="4" w:space="0" w:color="B8C0FF"/>
            </w:tcBorders>
            <w:noWrap/>
            <w:vAlign w:val="center"/>
            <w:hideMark/>
          </w:tcPr>
          <w:p w14:paraId="6F2E0B99" w14:textId="77777777" w:rsidR="00610AC0" w:rsidRPr="00DD4FE3" w:rsidRDefault="00610AC0" w:rsidP="00610AC0">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bl>
    <w:p w14:paraId="6D08EEA5" w14:textId="77777777" w:rsidR="00610AC0" w:rsidRDefault="00610AC0" w:rsidP="00610AC0"/>
    <w:p w14:paraId="0B9709E7" w14:textId="6BE5D4E4" w:rsidR="00610AC0" w:rsidRDefault="00FA4B3F" w:rsidP="00610AC0">
      <w:r w:rsidRPr="00FA4B3F">
        <w:t xml:space="preserve">Statistical </w:t>
      </w:r>
      <w:r w:rsidR="008E638A">
        <w:t>Conclusion</w:t>
      </w:r>
      <w:r w:rsidR="000B31DF">
        <w:t xml:space="preserve">: </w:t>
      </w:r>
      <w:r w:rsidR="000B31DF" w:rsidRPr="000B31DF">
        <w:t>For all 10 stocks, the JB p-values are effectively zero, so we reject the null hypothesis of normality</w:t>
      </w:r>
      <w:r w:rsidR="000B31DF">
        <w:t>, at 5% significance level</w:t>
      </w:r>
      <w:r w:rsidR="000B31DF" w:rsidRPr="000B31DF">
        <w:t>.</w:t>
      </w:r>
    </w:p>
    <w:p w14:paraId="35F4F498" w14:textId="0172C28D" w:rsidR="000B31DF" w:rsidRDefault="00FA4B3F" w:rsidP="00FA4B3F">
      <w:r w:rsidRPr="00FA4B3F">
        <w:t>Economic</w:t>
      </w:r>
      <w:r>
        <w:t xml:space="preserve"> Interpretation: Non-normal residuals do not invalidate the market model, but they indicate that daily stock returns have fat tails and asymmetry, which is common in financial data. Standard OLS is still unbiased, but Confidence intervals and Hypothesis tests may be less precise in small samples.</w:t>
      </w:r>
    </w:p>
    <w:p w14:paraId="13DF75FE" w14:textId="4232ACAF" w:rsidR="00FA4B3F" w:rsidRDefault="009F2E7E" w:rsidP="00FA4B3F">
      <w:r w:rsidRPr="009F2E7E">
        <w:rPr>
          <w:b/>
          <w:bCs/>
        </w:rPr>
        <w:t xml:space="preserve">Test for Heteroskedasticity </w:t>
      </w:r>
      <w:r w:rsidR="00616873">
        <w:rPr>
          <w:b/>
          <w:bCs/>
        </w:rPr>
        <w:t>(</w:t>
      </w:r>
      <w:r w:rsidRPr="009F2E7E">
        <w:rPr>
          <w:b/>
          <w:bCs/>
        </w:rPr>
        <w:t>Breusch</w:t>
      </w:r>
      <w:r w:rsidR="00813BCF">
        <w:rPr>
          <w:b/>
          <w:bCs/>
        </w:rPr>
        <w:t>-</w:t>
      </w:r>
      <w:r w:rsidRPr="009F2E7E">
        <w:rPr>
          <w:b/>
          <w:bCs/>
        </w:rPr>
        <w:t>Pagan Test</w:t>
      </w:r>
      <w:r w:rsidR="00616873">
        <w:rPr>
          <w:b/>
          <w:bCs/>
        </w:rPr>
        <w:t>)</w:t>
      </w:r>
      <w:r w:rsidRPr="009F2E7E">
        <w:rPr>
          <w:b/>
          <w:bCs/>
        </w:rPr>
        <w:t>:</w:t>
      </w:r>
      <w:r>
        <w:t xml:space="preserve"> </w:t>
      </w:r>
    </w:p>
    <w:p w14:paraId="17A66881" w14:textId="19EC842B" w:rsidR="009F2E7E" w:rsidRDefault="00813BCF" w:rsidP="00813BCF">
      <w:r>
        <w:t>The market model assumes constant variance of residuals (homoskedasticity). If variance changes with the level of market returns, this assumption is violated. We use the Breusch-Pagan (BP) test to formally evaluate this.</w:t>
      </w:r>
    </w:p>
    <w:p w14:paraId="0F85309A" w14:textId="77777777" w:rsidR="00DB3FE8" w:rsidRDefault="00DB3FE8" w:rsidP="00DB3FE8">
      <w:r>
        <w:t>Hypothesis:</w:t>
      </w:r>
    </w:p>
    <w:p w14:paraId="03A64B35" w14:textId="19358E18" w:rsidR="00DB3FE8" w:rsidRDefault="00000000" w:rsidP="00DB3FE8">
      <w:pPr>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DB3FE8">
        <w:rPr>
          <w:rFonts w:eastAsiaTheme="minorEastAsia"/>
        </w:rPr>
        <w:t xml:space="preserve"> : </w:t>
      </w:r>
      <w:r w:rsidR="00DB3FE8">
        <w:t>Residual variance is constant (homoskedasticity)</w:t>
      </w:r>
      <w:r w:rsidR="00DB3FE8">
        <w:br/>
      </w:r>
      <m:oMath>
        <m:sSub>
          <m:sSubPr>
            <m:ctrlPr>
              <w:rPr>
                <w:rFonts w:ascii="Cambria Math" w:hAnsi="Cambria Math"/>
              </w:rPr>
            </m:ctrlPr>
          </m:sSubPr>
          <m:e>
            <m:r>
              <w:rPr>
                <w:rFonts w:ascii="Cambria Math" w:hAnsi="Cambria Math"/>
              </w:rPr>
              <m:t>H</m:t>
            </m:r>
          </m:e>
          <m:sub>
            <m:r>
              <w:rPr>
                <w:rFonts w:ascii="Cambria Math" w:hAnsi="Cambria Math"/>
              </w:rPr>
              <m:t>a</m:t>
            </m:r>
          </m:sub>
        </m:sSub>
      </m:oMath>
      <w:r w:rsidR="00DB3FE8">
        <w:rPr>
          <w:rFonts w:eastAsiaTheme="minorEastAsia"/>
        </w:rPr>
        <w:t xml:space="preserve"> : </w:t>
      </w:r>
      <w:r w:rsidR="00DB3FE8">
        <w:t>Residual variance changes with the fitted values (heteroskedasticity)</w:t>
      </w:r>
    </w:p>
    <w:p w14:paraId="4681CDD3" w14:textId="5957DD6F" w:rsidR="00813BCF" w:rsidRDefault="00DB3FE8" w:rsidP="00DB3FE8">
      <w:r w:rsidRPr="00610AC0">
        <w:rPr>
          <w:rStyle w:val="Strong"/>
          <w:b w:val="0"/>
          <w:bCs w:val="0"/>
        </w:rPr>
        <w:t>Decision rule:</w:t>
      </w:r>
      <w:r>
        <w:rPr>
          <w:rStyle w:val="Strong"/>
          <w:b w:val="0"/>
          <w:bCs w:val="0"/>
        </w:rPr>
        <w:t xml:space="preserve"> </w:t>
      </w:r>
      <w:r>
        <w:t xml:space="preserve">Reject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rFonts w:eastAsiaTheme="minorEastAsia"/>
        </w:rPr>
        <w:t xml:space="preserve"> </w:t>
      </w:r>
      <w:r>
        <w:t>if BP p-value &lt; 0.05</w:t>
      </w:r>
    </w:p>
    <w:p w14:paraId="3BE3B31A" w14:textId="027B6B61" w:rsidR="00DB3FE8" w:rsidRDefault="00DB3FE8" w:rsidP="00DB3FE8">
      <w:r>
        <w:t>Results summary:</w:t>
      </w:r>
    </w:p>
    <w:tbl>
      <w:tblPr>
        <w:tblW w:w="7015" w:type="dxa"/>
        <w:tblLook w:val="04A0" w:firstRow="1" w:lastRow="0" w:firstColumn="1" w:lastColumn="0" w:noHBand="0" w:noVBand="1"/>
      </w:tblPr>
      <w:tblGrid>
        <w:gridCol w:w="1900"/>
        <w:gridCol w:w="1540"/>
        <w:gridCol w:w="1540"/>
        <w:gridCol w:w="2035"/>
      </w:tblGrid>
      <w:tr w:rsidR="00DB3FE8" w:rsidRPr="00DD4FE3" w14:paraId="2002A9EF" w14:textId="77777777" w:rsidTr="00DB3FE8">
        <w:trPr>
          <w:trHeight w:val="500"/>
        </w:trPr>
        <w:tc>
          <w:tcPr>
            <w:tcW w:w="1900" w:type="dxa"/>
            <w:tcBorders>
              <w:top w:val="single" w:sz="4" w:space="0" w:color="B8C0FF"/>
              <w:left w:val="single" w:sz="4" w:space="0" w:color="B8C0FF"/>
              <w:bottom w:val="single" w:sz="4" w:space="0" w:color="B8C0FF"/>
              <w:right w:val="single" w:sz="4" w:space="0" w:color="B8C0FF"/>
            </w:tcBorders>
            <w:shd w:val="clear" w:color="000000" w:fill="F2F2F2"/>
            <w:noWrap/>
            <w:vAlign w:val="center"/>
            <w:hideMark/>
          </w:tcPr>
          <w:p w14:paraId="15B2C871" w14:textId="77777777" w:rsidR="00DB3FE8" w:rsidRPr="00DD4FE3" w:rsidRDefault="00DB3FE8" w:rsidP="00DB3FE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Stock</w:t>
            </w:r>
          </w:p>
        </w:tc>
        <w:tc>
          <w:tcPr>
            <w:tcW w:w="1540" w:type="dxa"/>
            <w:tcBorders>
              <w:top w:val="single" w:sz="4" w:space="0" w:color="B8C0FF"/>
              <w:left w:val="nil"/>
              <w:bottom w:val="single" w:sz="4" w:space="0" w:color="B8C0FF"/>
              <w:right w:val="single" w:sz="4" w:space="0" w:color="B8C0FF"/>
            </w:tcBorders>
            <w:shd w:val="clear" w:color="000000" w:fill="F2F2F2"/>
            <w:noWrap/>
            <w:vAlign w:val="center"/>
            <w:hideMark/>
          </w:tcPr>
          <w:p w14:paraId="06C062CF" w14:textId="77777777" w:rsidR="00DB3FE8" w:rsidRPr="00DD4FE3" w:rsidRDefault="00DB3FE8" w:rsidP="00DB3FE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BP Statistic</w:t>
            </w:r>
          </w:p>
        </w:tc>
        <w:tc>
          <w:tcPr>
            <w:tcW w:w="1540" w:type="dxa"/>
            <w:tcBorders>
              <w:top w:val="single" w:sz="4" w:space="0" w:color="B8C0FF"/>
              <w:left w:val="nil"/>
              <w:bottom w:val="single" w:sz="4" w:space="0" w:color="B8C0FF"/>
              <w:right w:val="single" w:sz="4" w:space="0" w:color="B8C0FF"/>
            </w:tcBorders>
            <w:shd w:val="clear" w:color="000000" w:fill="F2F2F2"/>
            <w:noWrap/>
            <w:vAlign w:val="center"/>
            <w:hideMark/>
          </w:tcPr>
          <w:p w14:paraId="1D9B44D1" w14:textId="77777777" w:rsidR="00DB3FE8" w:rsidRPr="00DD4FE3" w:rsidRDefault="00DB3FE8" w:rsidP="00DB3FE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BP p-value</w:t>
            </w:r>
          </w:p>
        </w:tc>
        <w:tc>
          <w:tcPr>
            <w:tcW w:w="2035" w:type="dxa"/>
            <w:tcBorders>
              <w:top w:val="single" w:sz="4" w:space="0" w:color="B8C0FF"/>
              <w:left w:val="nil"/>
              <w:bottom w:val="single" w:sz="4" w:space="0" w:color="B8C0FF"/>
              <w:right w:val="single" w:sz="4" w:space="0" w:color="B8C0FF"/>
            </w:tcBorders>
            <w:shd w:val="clear" w:color="000000" w:fill="F2F2F2"/>
            <w:noWrap/>
            <w:vAlign w:val="center"/>
            <w:hideMark/>
          </w:tcPr>
          <w:p w14:paraId="68ABC071" w14:textId="2367F10C" w:rsidR="00DB3FE8" w:rsidRPr="00DD4FE3" w:rsidRDefault="00DB3FE8" w:rsidP="00DB3FE8">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Reject H₀ (at 5%)?</w:t>
            </w:r>
          </w:p>
        </w:tc>
      </w:tr>
      <w:tr w:rsidR="00DB3FE8" w:rsidRPr="00DD4FE3" w14:paraId="035D61D4"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13E0B78"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JPM</w:t>
            </w:r>
          </w:p>
        </w:tc>
        <w:tc>
          <w:tcPr>
            <w:tcW w:w="1540" w:type="dxa"/>
            <w:tcBorders>
              <w:top w:val="nil"/>
              <w:left w:val="nil"/>
              <w:bottom w:val="single" w:sz="4" w:space="0" w:color="B8C0FF"/>
              <w:right w:val="single" w:sz="4" w:space="0" w:color="B8C0FF"/>
            </w:tcBorders>
            <w:noWrap/>
            <w:vAlign w:val="center"/>
            <w:hideMark/>
          </w:tcPr>
          <w:p w14:paraId="644AC5AC"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1.739</w:t>
            </w:r>
          </w:p>
        </w:tc>
        <w:tc>
          <w:tcPr>
            <w:tcW w:w="1540" w:type="dxa"/>
            <w:tcBorders>
              <w:top w:val="nil"/>
              <w:left w:val="nil"/>
              <w:bottom w:val="single" w:sz="4" w:space="0" w:color="B8C0FF"/>
              <w:right w:val="single" w:sz="4" w:space="0" w:color="B8C0FF"/>
            </w:tcBorders>
            <w:noWrap/>
            <w:vAlign w:val="center"/>
            <w:hideMark/>
          </w:tcPr>
          <w:p w14:paraId="238E317A"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0.1873</w:t>
            </w:r>
          </w:p>
        </w:tc>
        <w:tc>
          <w:tcPr>
            <w:tcW w:w="2035" w:type="dxa"/>
            <w:tcBorders>
              <w:top w:val="nil"/>
              <w:left w:val="nil"/>
              <w:bottom w:val="single" w:sz="4" w:space="0" w:color="B8C0FF"/>
              <w:right w:val="single" w:sz="4" w:space="0" w:color="B8C0FF"/>
            </w:tcBorders>
            <w:noWrap/>
            <w:vAlign w:val="center"/>
            <w:hideMark/>
          </w:tcPr>
          <w:p w14:paraId="210CCE91"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r w:rsidR="00DB3FE8" w:rsidRPr="00DD4FE3" w14:paraId="30723010"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307EAAA1"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BAC</w:t>
            </w:r>
          </w:p>
        </w:tc>
        <w:tc>
          <w:tcPr>
            <w:tcW w:w="1540" w:type="dxa"/>
            <w:tcBorders>
              <w:top w:val="nil"/>
              <w:left w:val="nil"/>
              <w:bottom w:val="single" w:sz="4" w:space="0" w:color="B8C0FF"/>
              <w:right w:val="single" w:sz="4" w:space="0" w:color="B8C0FF"/>
            </w:tcBorders>
            <w:noWrap/>
            <w:vAlign w:val="center"/>
            <w:hideMark/>
          </w:tcPr>
          <w:p w14:paraId="0664A734"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1.9947</w:t>
            </w:r>
          </w:p>
        </w:tc>
        <w:tc>
          <w:tcPr>
            <w:tcW w:w="1540" w:type="dxa"/>
            <w:tcBorders>
              <w:top w:val="nil"/>
              <w:left w:val="nil"/>
              <w:bottom w:val="single" w:sz="4" w:space="0" w:color="B8C0FF"/>
              <w:right w:val="single" w:sz="4" w:space="0" w:color="B8C0FF"/>
            </w:tcBorders>
            <w:noWrap/>
            <w:vAlign w:val="center"/>
            <w:hideMark/>
          </w:tcPr>
          <w:p w14:paraId="5E6F18A8"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0.1579</w:t>
            </w:r>
          </w:p>
        </w:tc>
        <w:tc>
          <w:tcPr>
            <w:tcW w:w="2035" w:type="dxa"/>
            <w:tcBorders>
              <w:top w:val="nil"/>
              <w:left w:val="nil"/>
              <w:bottom w:val="single" w:sz="4" w:space="0" w:color="B8C0FF"/>
              <w:right w:val="single" w:sz="4" w:space="0" w:color="B8C0FF"/>
            </w:tcBorders>
            <w:noWrap/>
            <w:vAlign w:val="center"/>
            <w:hideMark/>
          </w:tcPr>
          <w:p w14:paraId="6711C9A8"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r w:rsidR="00DB3FE8" w:rsidRPr="00DD4FE3" w14:paraId="412AF244"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7AA9D39"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lastRenderedPageBreak/>
              <w:t>WFC</w:t>
            </w:r>
          </w:p>
        </w:tc>
        <w:tc>
          <w:tcPr>
            <w:tcW w:w="1540" w:type="dxa"/>
            <w:tcBorders>
              <w:top w:val="nil"/>
              <w:left w:val="nil"/>
              <w:bottom w:val="single" w:sz="4" w:space="0" w:color="B8C0FF"/>
              <w:right w:val="single" w:sz="4" w:space="0" w:color="B8C0FF"/>
            </w:tcBorders>
            <w:noWrap/>
            <w:vAlign w:val="center"/>
            <w:hideMark/>
          </w:tcPr>
          <w:p w14:paraId="575E4B27"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1.7928</w:t>
            </w:r>
          </w:p>
        </w:tc>
        <w:tc>
          <w:tcPr>
            <w:tcW w:w="1540" w:type="dxa"/>
            <w:tcBorders>
              <w:top w:val="nil"/>
              <w:left w:val="nil"/>
              <w:bottom w:val="single" w:sz="4" w:space="0" w:color="B8C0FF"/>
              <w:right w:val="single" w:sz="4" w:space="0" w:color="B8C0FF"/>
            </w:tcBorders>
            <w:noWrap/>
            <w:vAlign w:val="center"/>
            <w:hideMark/>
          </w:tcPr>
          <w:p w14:paraId="577600E4"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0.1806</w:t>
            </w:r>
          </w:p>
        </w:tc>
        <w:tc>
          <w:tcPr>
            <w:tcW w:w="2035" w:type="dxa"/>
            <w:tcBorders>
              <w:top w:val="nil"/>
              <w:left w:val="nil"/>
              <w:bottom w:val="single" w:sz="4" w:space="0" w:color="B8C0FF"/>
              <w:right w:val="single" w:sz="4" w:space="0" w:color="B8C0FF"/>
            </w:tcBorders>
            <w:noWrap/>
            <w:vAlign w:val="center"/>
            <w:hideMark/>
          </w:tcPr>
          <w:p w14:paraId="650D0FFB"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r w:rsidR="00DB3FE8" w:rsidRPr="00DD4FE3" w14:paraId="67F7C444"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79CEBA1"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GS</w:t>
            </w:r>
          </w:p>
        </w:tc>
        <w:tc>
          <w:tcPr>
            <w:tcW w:w="1540" w:type="dxa"/>
            <w:tcBorders>
              <w:top w:val="nil"/>
              <w:left w:val="nil"/>
              <w:bottom w:val="single" w:sz="4" w:space="0" w:color="B8C0FF"/>
              <w:right w:val="single" w:sz="4" w:space="0" w:color="B8C0FF"/>
            </w:tcBorders>
            <w:noWrap/>
            <w:vAlign w:val="center"/>
            <w:hideMark/>
          </w:tcPr>
          <w:p w14:paraId="4A08398F"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0.8294</w:t>
            </w:r>
          </w:p>
        </w:tc>
        <w:tc>
          <w:tcPr>
            <w:tcW w:w="1540" w:type="dxa"/>
            <w:tcBorders>
              <w:top w:val="nil"/>
              <w:left w:val="nil"/>
              <w:bottom w:val="single" w:sz="4" w:space="0" w:color="B8C0FF"/>
              <w:right w:val="single" w:sz="4" w:space="0" w:color="B8C0FF"/>
            </w:tcBorders>
            <w:noWrap/>
            <w:vAlign w:val="center"/>
            <w:hideMark/>
          </w:tcPr>
          <w:p w14:paraId="3894F406"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0.3624</w:t>
            </w:r>
          </w:p>
        </w:tc>
        <w:tc>
          <w:tcPr>
            <w:tcW w:w="2035" w:type="dxa"/>
            <w:tcBorders>
              <w:top w:val="nil"/>
              <w:left w:val="nil"/>
              <w:bottom w:val="single" w:sz="4" w:space="0" w:color="B8C0FF"/>
              <w:right w:val="single" w:sz="4" w:space="0" w:color="B8C0FF"/>
            </w:tcBorders>
            <w:noWrap/>
            <w:vAlign w:val="center"/>
            <w:hideMark/>
          </w:tcPr>
          <w:p w14:paraId="45625230"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r w:rsidR="00DB3FE8" w:rsidRPr="00DD4FE3" w14:paraId="690137F9"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73153D3"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BLK</w:t>
            </w:r>
          </w:p>
        </w:tc>
        <w:tc>
          <w:tcPr>
            <w:tcW w:w="1540" w:type="dxa"/>
            <w:tcBorders>
              <w:top w:val="nil"/>
              <w:left w:val="nil"/>
              <w:bottom w:val="single" w:sz="4" w:space="0" w:color="B8C0FF"/>
              <w:right w:val="single" w:sz="4" w:space="0" w:color="B8C0FF"/>
            </w:tcBorders>
            <w:noWrap/>
            <w:vAlign w:val="center"/>
            <w:hideMark/>
          </w:tcPr>
          <w:p w14:paraId="2A698771"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5.0961</w:t>
            </w:r>
          </w:p>
        </w:tc>
        <w:tc>
          <w:tcPr>
            <w:tcW w:w="1540" w:type="dxa"/>
            <w:tcBorders>
              <w:top w:val="nil"/>
              <w:left w:val="nil"/>
              <w:bottom w:val="single" w:sz="4" w:space="0" w:color="B8C0FF"/>
              <w:right w:val="single" w:sz="4" w:space="0" w:color="B8C0FF"/>
            </w:tcBorders>
            <w:noWrap/>
            <w:vAlign w:val="center"/>
            <w:hideMark/>
          </w:tcPr>
          <w:p w14:paraId="2D7DBFF6"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0.024</w:t>
            </w:r>
          </w:p>
        </w:tc>
        <w:tc>
          <w:tcPr>
            <w:tcW w:w="2035" w:type="dxa"/>
            <w:tcBorders>
              <w:top w:val="nil"/>
              <w:left w:val="nil"/>
              <w:bottom w:val="single" w:sz="4" w:space="0" w:color="B8C0FF"/>
              <w:right w:val="single" w:sz="4" w:space="0" w:color="B8C0FF"/>
            </w:tcBorders>
            <w:noWrap/>
            <w:vAlign w:val="center"/>
            <w:hideMark/>
          </w:tcPr>
          <w:p w14:paraId="4C3A05E6"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DB3FE8" w:rsidRPr="00DD4FE3" w14:paraId="4FA2A774"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6ECD291D"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PLD</w:t>
            </w:r>
          </w:p>
        </w:tc>
        <w:tc>
          <w:tcPr>
            <w:tcW w:w="1540" w:type="dxa"/>
            <w:tcBorders>
              <w:top w:val="nil"/>
              <w:left w:val="nil"/>
              <w:bottom w:val="single" w:sz="4" w:space="0" w:color="B8C0FF"/>
              <w:right w:val="single" w:sz="4" w:space="0" w:color="B8C0FF"/>
            </w:tcBorders>
            <w:noWrap/>
            <w:vAlign w:val="center"/>
            <w:hideMark/>
          </w:tcPr>
          <w:p w14:paraId="4FAF3FAF"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4.0189</w:t>
            </w:r>
          </w:p>
        </w:tc>
        <w:tc>
          <w:tcPr>
            <w:tcW w:w="1540" w:type="dxa"/>
            <w:tcBorders>
              <w:top w:val="nil"/>
              <w:left w:val="nil"/>
              <w:bottom w:val="single" w:sz="4" w:space="0" w:color="B8C0FF"/>
              <w:right w:val="single" w:sz="4" w:space="0" w:color="B8C0FF"/>
            </w:tcBorders>
            <w:noWrap/>
            <w:vAlign w:val="center"/>
            <w:hideMark/>
          </w:tcPr>
          <w:p w14:paraId="112B0A0C"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0.045</w:t>
            </w:r>
          </w:p>
        </w:tc>
        <w:tc>
          <w:tcPr>
            <w:tcW w:w="2035" w:type="dxa"/>
            <w:tcBorders>
              <w:top w:val="nil"/>
              <w:left w:val="nil"/>
              <w:bottom w:val="single" w:sz="4" w:space="0" w:color="B8C0FF"/>
              <w:right w:val="single" w:sz="4" w:space="0" w:color="B8C0FF"/>
            </w:tcBorders>
            <w:noWrap/>
            <w:vAlign w:val="center"/>
            <w:hideMark/>
          </w:tcPr>
          <w:p w14:paraId="3B2D304C"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Yes</w:t>
            </w:r>
          </w:p>
        </w:tc>
      </w:tr>
      <w:tr w:rsidR="00DB3FE8" w:rsidRPr="00DD4FE3" w14:paraId="058C13F5"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DFEF0CC"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AMT</w:t>
            </w:r>
          </w:p>
        </w:tc>
        <w:tc>
          <w:tcPr>
            <w:tcW w:w="1540" w:type="dxa"/>
            <w:tcBorders>
              <w:top w:val="nil"/>
              <w:left w:val="nil"/>
              <w:bottom w:val="single" w:sz="4" w:space="0" w:color="B8C0FF"/>
              <w:right w:val="single" w:sz="4" w:space="0" w:color="B8C0FF"/>
            </w:tcBorders>
            <w:noWrap/>
            <w:vAlign w:val="center"/>
            <w:hideMark/>
          </w:tcPr>
          <w:p w14:paraId="28688BEA"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0.6942</w:t>
            </w:r>
          </w:p>
        </w:tc>
        <w:tc>
          <w:tcPr>
            <w:tcW w:w="1540" w:type="dxa"/>
            <w:tcBorders>
              <w:top w:val="nil"/>
              <w:left w:val="nil"/>
              <w:bottom w:val="single" w:sz="4" w:space="0" w:color="B8C0FF"/>
              <w:right w:val="single" w:sz="4" w:space="0" w:color="B8C0FF"/>
            </w:tcBorders>
            <w:noWrap/>
            <w:vAlign w:val="center"/>
            <w:hideMark/>
          </w:tcPr>
          <w:p w14:paraId="4DCC66A0"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0.4047</w:t>
            </w:r>
          </w:p>
        </w:tc>
        <w:tc>
          <w:tcPr>
            <w:tcW w:w="2035" w:type="dxa"/>
            <w:tcBorders>
              <w:top w:val="nil"/>
              <w:left w:val="nil"/>
              <w:bottom w:val="single" w:sz="4" w:space="0" w:color="B8C0FF"/>
              <w:right w:val="single" w:sz="4" w:space="0" w:color="B8C0FF"/>
            </w:tcBorders>
            <w:noWrap/>
            <w:vAlign w:val="center"/>
            <w:hideMark/>
          </w:tcPr>
          <w:p w14:paraId="3589E111"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r w:rsidR="00DB3FE8" w:rsidRPr="00DD4FE3" w14:paraId="623CC783"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69E65C1E"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SPG</w:t>
            </w:r>
          </w:p>
        </w:tc>
        <w:tc>
          <w:tcPr>
            <w:tcW w:w="1540" w:type="dxa"/>
            <w:tcBorders>
              <w:top w:val="nil"/>
              <w:left w:val="nil"/>
              <w:bottom w:val="single" w:sz="4" w:space="0" w:color="B8C0FF"/>
              <w:right w:val="single" w:sz="4" w:space="0" w:color="B8C0FF"/>
            </w:tcBorders>
            <w:noWrap/>
            <w:vAlign w:val="center"/>
            <w:hideMark/>
          </w:tcPr>
          <w:p w14:paraId="4568DAFE"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1.1005</w:t>
            </w:r>
          </w:p>
        </w:tc>
        <w:tc>
          <w:tcPr>
            <w:tcW w:w="1540" w:type="dxa"/>
            <w:tcBorders>
              <w:top w:val="nil"/>
              <w:left w:val="nil"/>
              <w:bottom w:val="single" w:sz="4" w:space="0" w:color="B8C0FF"/>
              <w:right w:val="single" w:sz="4" w:space="0" w:color="B8C0FF"/>
            </w:tcBorders>
            <w:noWrap/>
            <w:vAlign w:val="center"/>
            <w:hideMark/>
          </w:tcPr>
          <w:p w14:paraId="62A611EC"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0.2942</w:t>
            </w:r>
          </w:p>
        </w:tc>
        <w:tc>
          <w:tcPr>
            <w:tcW w:w="2035" w:type="dxa"/>
            <w:tcBorders>
              <w:top w:val="nil"/>
              <w:left w:val="nil"/>
              <w:bottom w:val="single" w:sz="4" w:space="0" w:color="B8C0FF"/>
              <w:right w:val="single" w:sz="4" w:space="0" w:color="B8C0FF"/>
            </w:tcBorders>
            <w:noWrap/>
            <w:vAlign w:val="center"/>
            <w:hideMark/>
          </w:tcPr>
          <w:p w14:paraId="180A67CC"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r w:rsidR="00DB3FE8" w:rsidRPr="00DD4FE3" w14:paraId="0769913F"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50BED497"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AVB</w:t>
            </w:r>
          </w:p>
        </w:tc>
        <w:tc>
          <w:tcPr>
            <w:tcW w:w="1540" w:type="dxa"/>
            <w:tcBorders>
              <w:top w:val="nil"/>
              <w:left w:val="nil"/>
              <w:bottom w:val="single" w:sz="4" w:space="0" w:color="B8C0FF"/>
              <w:right w:val="single" w:sz="4" w:space="0" w:color="B8C0FF"/>
            </w:tcBorders>
            <w:noWrap/>
            <w:vAlign w:val="center"/>
            <w:hideMark/>
          </w:tcPr>
          <w:p w14:paraId="43EE8331"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1.9922</w:t>
            </w:r>
          </w:p>
        </w:tc>
        <w:tc>
          <w:tcPr>
            <w:tcW w:w="1540" w:type="dxa"/>
            <w:tcBorders>
              <w:top w:val="nil"/>
              <w:left w:val="nil"/>
              <w:bottom w:val="single" w:sz="4" w:space="0" w:color="B8C0FF"/>
              <w:right w:val="single" w:sz="4" w:space="0" w:color="B8C0FF"/>
            </w:tcBorders>
            <w:noWrap/>
            <w:vAlign w:val="center"/>
            <w:hideMark/>
          </w:tcPr>
          <w:p w14:paraId="302BBC94"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0.1581</w:t>
            </w:r>
          </w:p>
        </w:tc>
        <w:tc>
          <w:tcPr>
            <w:tcW w:w="2035" w:type="dxa"/>
            <w:tcBorders>
              <w:top w:val="nil"/>
              <w:left w:val="nil"/>
              <w:bottom w:val="single" w:sz="4" w:space="0" w:color="B8C0FF"/>
              <w:right w:val="single" w:sz="4" w:space="0" w:color="B8C0FF"/>
            </w:tcBorders>
            <w:noWrap/>
            <w:vAlign w:val="center"/>
            <w:hideMark/>
          </w:tcPr>
          <w:p w14:paraId="18EE4213"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r w:rsidR="00DB3FE8" w:rsidRPr="00DD4FE3" w14:paraId="0E235206" w14:textId="77777777" w:rsidTr="00DB3FE8">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77F5D628"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O</w:t>
            </w:r>
          </w:p>
        </w:tc>
        <w:tc>
          <w:tcPr>
            <w:tcW w:w="1540" w:type="dxa"/>
            <w:tcBorders>
              <w:top w:val="nil"/>
              <w:left w:val="nil"/>
              <w:bottom w:val="single" w:sz="4" w:space="0" w:color="B8C0FF"/>
              <w:right w:val="single" w:sz="4" w:space="0" w:color="B8C0FF"/>
            </w:tcBorders>
            <w:noWrap/>
            <w:vAlign w:val="center"/>
            <w:hideMark/>
          </w:tcPr>
          <w:p w14:paraId="2D25A62E"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0.0033</w:t>
            </w:r>
          </w:p>
        </w:tc>
        <w:tc>
          <w:tcPr>
            <w:tcW w:w="1540" w:type="dxa"/>
            <w:tcBorders>
              <w:top w:val="nil"/>
              <w:left w:val="nil"/>
              <w:bottom w:val="single" w:sz="4" w:space="0" w:color="B8C0FF"/>
              <w:right w:val="single" w:sz="4" w:space="0" w:color="B8C0FF"/>
            </w:tcBorders>
            <w:noWrap/>
            <w:vAlign w:val="center"/>
            <w:hideMark/>
          </w:tcPr>
          <w:p w14:paraId="1865110C"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0.9545</w:t>
            </w:r>
          </w:p>
        </w:tc>
        <w:tc>
          <w:tcPr>
            <w:tcW w:w="2035" w:type="dxa"/>
            <w:tcBorders>
              <w:top w:val="nil"/>
              <w:left w:val="nil"/>
              <w:bottom w:val="single" w:sz="4" w:space="0" w:color="B8C0FF"/>
              <w:right w:val="single" w:sz="4" w:space="0" w:color="B8C0FF"/>
            </w:tcBorders>
            <w:noWrap/>
            <w:vAlign w:val="center"/>
            <w:hideMark/>
          </w:tcPr>
          <w:p w14:paraId="784BC722" w14:textId="77777777" w:rsidR="00DB3FE8" w:rsidRPr="00DD4FE3" w:rsidRDefault="00DB3FE8" w:rsidP="00DB3FE8">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w:t>
            </w:r>
          </w:p>
        </w:tc>
      </w:tr>
    </w:tbl>
    <w:p w14:paraId="6E7F0084" w14:textId="77777777" w:rsidR="00DB3FE8" w:rsidRDefault="00DB3FE8" w:rsidP="00DB3FE8"/>
    <w:p w14:paraId="72A59371" w14:textId="2F93F12F" w:rsidR="00DB3FE8" w:rsidRDefault="008E638A" w:rsidP="008E638A">
      <w:r w:rsidRPr="00FA4B3F">
        <w:t xml:space="preserve">Statistical </w:t>
      </w:r>
      <w:r>
        <w:t>Conclusion: 8 out of 10 stocks do not show evidence of heteroskedasticity at the 5% level. We reject the null hypothesis for BLK and PLD, indicating signs of heteroskedasticity in their residuals. These two stocks may have variance that changes with the magnitude of market returns, consistent with their higher market sensitivity and stronger model fit.</w:t>
      </w:r>
    </w:p>
    <w:p w14:paraId="49373118" w14:textId="67122CF9" w:rsidR="008E638A" w:rsidRDefault="00F50035" w:rsidP="00F50035">
      <w:r>
        <w:t>Economic Interpretation: For most stocks, the variance of residuals appears stable, meaning the CAPM market model fits them without major issues related to heteroskedasticity. For BLK and PLD, the presence of heteroskedasticity suggests that their day-to-day risk may scale with market movements. Standard OLS inference may be less reliable unless robust standard errors are used for these stocks.</w:t>
      </w:r>
    </w:p>
    <w:p w14:paraId="1FD163C9" w14:textId="21CE45B0" w:rsidR="00F50035" w:rsidRPr="008B0D0B" w:rsidRDefault="008B0D0B" w:rsidP="00F50035">
      <w:pPr>
        <w:rPr>
          <w:b/>
          <w:bCs/>
        </w:rPr>
      </w:pPr>
      <w:r w:rsidRPr="008B0D0B">
        <w:rPr>
          <w:b/>
          <w:bCs/>
        </w:rPr>
        <w:t xml:space="preserve">Test for </w:t>
      </w:r>
      <w:r w:rsidR="00F03D94">
        <w:rPr>
          <w:b/>
          <w:bCs/>
        </w:rPr>
        <w:t>Serial C</w:t>
      </w:r>
      <w:r w:rsidRPr="008B0D0B">
        <w:rPr>
          <w:b/>
          <w:bCs/>
        </w:rPr>
        <w:t>orrelation (Durbin–Watson):</w:t>
      </w:r>
    </w:p>
    <w:p w14:paraId="0E89EB83" w14:textId="18C2E0A5" w:rsidR="008B0D0B" w:rsidRDefault="00F03D94" w:rsidP="00F03D94">
      <w:r>
        <w:t>The market model assumes that regression residuals are not autocorrelated over time. If residuals are serially correlated, this assumption breaks and may indicate model misspecification. We use the Durbin–Watson (DW) statistic to check for autocorrelation.</w:t>
      </w:r>
    </w:p>
    <w:p w14:paraId="5364B2A1" w14:textId="742A6A82" w:rsidR="00F03D94" w:rsidRDefault="00F03D94" w:rsidP="00F03D94">
      <w:r>
        <w:t>The DW statistic ranges between 0 and 4.</w:t>
      </w:r>
      <w:r>
        <w:br/>
      </w:r>
      <w:r w:rsidRPr="00F03D94">
        <w:t xml:space="preserve">The critical values are </w:t>
      </w:r>
      <w:r w:rsidRPr="00F03D94">
        <w:rPr>
          <w:i/>
          <w:iCs/>
        </w:rPr>
        <w:t>d</w:t>
      </w:r>
      <w:r w:rsidRPr="00F03D94">
        <w:rPr>
          <w:i/>
          <w:iCs/>
          <w:vertAlign w:val="subscript"/>
        </w:rPr>
        <w:t xml:space="preserve">l </w:t>
      </w:r>
      <w:r w:rsidRPr="00F03D94">
        <w:t xml:space="preserve">= 1.63 and </w:t>
      </w:r>
      <w:r w:rsidRPr="00F03D94">
        <w:rPr>
          <w:i/>
          <w:iCs/>
        </w:rPr>
        <w:t>d</w:t>
      </w:r>
      <w:r w:rsidRPr="00F03D94">
        <w:rPr>
          <w:i/>
          <w:iCs/>
          <w:vertAlign w:val="subscript"/>
        </w:rPr>
        <w:t xml:space="preserve">u </w:t>
      </w:r>
      <w:r w:rsidRPr="00F03D94">
        <w:t>= 1.72</w:t>
      </w:r>
    </w:p>
    <w:p w14:paraId="68E25B29" w14:textId="77777777" w:rsidR="00F03D94" w:rsidRDefault="00F03D94" w:rsidP="00F03D94">
      <w:r>
        <w:t>Hypothesis:</w:t>
      </w:r>
    </w:p>
    <w:p w14:paraId="26733D90" w14:textId="61EF552C" w:rsidR="00F03D94" w:rsidRDefault="00000000" w:rsidP="00F03D94">
      <w:pPr>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F03D94">
        <w:rPr>
          <w:rFonts w:eastAsiaTheme="minorEastAsia"/>
        </w:rPr>
        <w:t xml:space="preserve"> : </w:t>
      </w:r>
      <w:r w:rsidR="00F03D94">
        <w:t xml:space="preserve">No serial correlation ( </w:t>
      </w:r>
      <m:oMath>
        <m:r>
          <w:rPr>
            <w:rFonts w:ascii="Cambria Math" w:hAnsi="Cambria Math"/>
          </w:rPr>
          <m:t>ρ=0</m:t>
        </m:r>
      </m:oMath>
      <w:r w:rsidR="00F03D94">
        <w:t>)</w:t>
      </w:r>
      <w:r w:rsidR="00F03D94">
        <w:br/>
      </w:r>
      <m:oMath>
        <m:sSub>
          <m:sSubPr>
            <m:ctrlPr>
              <w:rPr>
                <w:rFonts w:ascii="Cambria Math" w:hAnsi="Cambria Math"/>
              </w:rPr>
            </m:ctrlPr>
          </m:sSubPr>
          <m:e>
            <m:r>
              <w:rPr>
                <w:rFonts w:ascii="Cambria Math" w:hAnsi="Cambria Math"/>
              </w:rPr>
              <m:t>H</m:t>
            </m:r>
          </m:e>
          <m:sub>
            <m:r>
              <w:rPr>
                <w:rFonts w:ascii="Cambria Math" w:hAnsi="Cambria Math"/>
              </w:rPr>
              <m:t>a</m:t>
            </m:r>
          </m:sub>
        </m:sSub>
      </m:oMath>
      <w:r w:rsidR="00F03D94">
        <w:rPr>
          <w:rFonts w:eastAsiaTheme="minorEastAsia"/>
        </w:rPr>
        <w:t xml:space="preserve"> : </w:t>
      </w:r>
      <m:oMath>
        <m:r>
          <w:rPr>
            <w:rFonts w:ascii="Cambria Math" w:hAnsi="Cambria Math"/>
          </w:rPr>
          <m:t>ρ≠0</m:t>
        </m:r>
      </m:oMath>
    </w:p>
    <w:p w14:paraId="78C93692" w14:textId="129027A2" w:rsidR="00F03D94" w:rsidRDefault="00F03D94" w:rsidP="00F03D94">
      <w:r>
        <w:lastRenderedPageBreak/>
        <w:t>Decision rule:</w:t>
      </w:r>
      <w:r>
        <w:br/>
        <w:t xml:space="preserve">DW &lt; 1.63: Positive autocorrelation. We </w:t>
      </w:r>
      <w:r w:rsidRPr="00F03D94">
        <w:t>reject the null hypothesis that there is no autocorrelation.</w:t>
      </w:r>
      <w:r>
        <w:br/>
        <w:t xml:space="preserve">DW &gt; 1.72: No autocorrelation. We cannot </w:t>
      </w:r>
      <w:r w:rsidRPr="00F03D94">
        <w:t xml:space="preserve">reject the null hypothesis </w:t>
      </w:r>
      <w:r>
        <w:br/>
        <w:t>1.63 &lt; DW &lt; 1.72: non-conclusive</w:t>
      </w:r>
    </w:p>
    <w:p w14:paraId="23BD34A7" w14:textId="47797CA8" w:rsidR="00EA0332" w:rsidRDefault="00EA0332" w:rsidP="00F03D94">
      <w:r>
        <w:t>Results summary:</w:t>
      </w:r>
    </w:p>
    <w:tbl>
      <w:tblPr>
        <w:tblW w:w="5575" w:type="dxa"/>
        <w:tblLook w:val="04A0" w:firstRow="1" w:lastRow="0" w:firstColumn="1" w:lastColumn="0" w:noHBand="0" w:noVBand="1"/>
      </w:tblPr>
      <w:tblGrid>
        <w:gridCol w:w="1900"/>
        <w:gridCol w:w="1540"/>
        <w:gridCol w:w="2135"/>
      </w:tblGrid>
      <w:tr w:rsidR="00CF6562" w:rsidRPr="00DD4FE3" w14:paraId="032FDB97" w14:textId="77777777" w:rsidTr="00CF6562">
        <w:trPr>
          <w:trHeight w:val="500"/>
        </w:trPr>
        <w:tc>
          <w:tcPr>
            <w:tcW w:w="1900" w:type="dxa"/>
            <w:tcBorders>
              <w:top w:val="single" w:sz="4" w:space="0" w:color="B8C0FF"/>
              <w:left w:val="single" w:sz="4" w:space="0" w:color="B8C0FF"/>
              <w:bottom w:val="single" w:sz="4" w:space="0" w:color="B8C0FF"/>
              <w:right w:val="single" w:sz="4" w:space="0" w:color="B8C0FF"/>
            </w:tcBorders>
            <w:shd w:val="clear" w:color="000000" w:fill="F2F2F2"/>
            <w:noWrap/>
            <w:vAlign w:val="center"/>
            <w:hideMark/>
          </w:tcPr>
          <w:p w14:paraId="45F04CDE" w14:textId="77777777" w:rsidR="00CF6562" w:rsidRPr="00DD4FE3" w:rsidRDefault="00CF6562" w:rsidP="00CF6562">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Stock</w:t>
            </w:r>
          </w:p>
        </w:tc>
        <w:tc>
          <w:tcPr>
            <w:tcW w:w="1540" w:type="dxa"/>
            <w:tcBorders>
              <w:top w:val="single" w:sz="4" w:space="0" w:color="B8C0FF"/>
              <w:left w:val="nil"/>
              <w:bottom w:val="single" w:sz="4" w:space="0" w:color="B8C0FF"/>
              <w:right w:val="single" w:sz="4" w:space="0" w:color="B8C0FF"/>
            </w:tcBorders>
            <w:shd w:val="clear" w:color="000000" w:fill="F2F2F2"/>
            <w:noWrap/>
            <w:vAlign w:val="center"/>
            <w:hideMark/>
          </w:tcPr>
          <w:p w14:paraId="2EC1C461" w14:textId="77777777" w:rsidR="00CF6562" w:rsidRPr="00DD4FE3" w:rsidRDefault="00CF6562" w:rsidP="00CF6562">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DW Statistic</w:t>
            </w:r>
          </w:p>
        </w:tc>
        <w:tc>
          <w:tcPr>
            <w:tcW w:w="2135" w:type="dxa"/>
            <w:tcBorders>
              <w:top w:val="single" w:sz="4" w:space="0" w:color="B8C0FF"/>
              <w:left w:val="nil"/>
              <w:bottom w:val="single" w:sz="4" w:space="0" w:color="B8C0FF"/>
              <w:right w:val="single" w:sz="4" w:space="0" w:color="B8C0FF"/>
            </w:tcBorders>
            <w:shd w:val="clear" w:color="000000" w:fill="F2F2F2"/>
            <w:noWrap/>
            <w:vAlign w:val="center"/>
            <w:hideMark/>
          </w:tcPr>
          <w:p w14:paraId="5A978E02" w14:textId="77777777" w:rsidR="00CF6562" w:rsidRPr="00DD4FE3" w:rsidRDefault="00CF6562" w:rsidP="00CF6562">
            <w:pPr>
              <w:spacing w:after="0" w:line="240" w:lineRule="auto"/>
              <w:jc w:val="center"/>
              <w:rPr>
                <w:rFonts w:ascii="Aptos Narrow" w:eastAsia="Times New Roman" w:hAnsi="Aptos Narrow" w:cs="Times New Roman"/>
                <w:b/>
                <w:bCs/>
                <w:color w:val="000000"/>
                <w:kern w:val="0"/>
                <w:sz w:val="20"/>
                <w:szCs w:val="20"/>
                <w14:ligatures w14:val="none"/>
              </w:rPr>
            </w:pPr>
            <w:r w:rsidRPr="00DD4FE3">
              <w:rPr>
                <w:rFonts w:ascii="Aptos Narrow" w:eastAsia="Times New Roman" w:hAnsi="Aptos Narrow" w:cs="Times New Roman"/>
                <w:b/>
                <w:bCs/>
                <w:color w:val="000000"/>
                <w:kern w:val="0"/>
                <w:sz w:val="20"/>
                <w:szCs w:val="20"/>
                <w14:ligatures w14:val="none"/>
              </w:rPr>
              <w:t>Interpretation</w:t>
            </w:r>
          </w:p>
        </w:tc>
      </w:tr>
      <w:tr w:rsidR="00CF6562" w:rsidRPr="00DD4FE3" w14:paraId="1D5A5B37"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5E07E2CE"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JPM</w:t>
            </w:r>
          </w:p>
        </w:tc>
        <w:tc>
          <w:tcPr>
            <w:tcW w:w="1540" w:type="dxa"/>
            <w:tcBorders>
              <w:top w:val="nil"/>
              <w:left w:val="nil"/>
              <w:bottom w:val="single" w:sz="4" w:space="0" w:color="B8C0FF"/>
              <w:right w:val="single" w:sz="4" w:space="0" w:color="B8C0FF"/>
            </w:tcBorders>
            <w:noWrap/>
            <w:vAlign w:val="center"/>
            <w:hideMark/>
          </w:tcPr>
          <w:p w14:paraId="6F94E675"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2.07</w:t>
            </w:r>
          </w:p>
        </w:tc>
        <w:tc>
          <w:tcPr>
            <w:tcW w:w="2135" w:type="dxa"/>
            <w:tcBorders>
              <w:top w:val="nil"/>
              <w:left w:val="nil"/>
              <w:bottom w:val="single" w:sz="4" w:space="0" w:color="B8C0FF"/>
              <w:right w:val="single" w:sz="4" w:space="0" w:color="B8C0FF"/>
            </w:tcBorders>
            <w:noWrap/>
            <w:vAlign w:val="center"/>
            <w:hideMark/>
          </w:tcPr>
          <w:p w14:paraId="3E59FD62"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13126791"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2E6A12D1"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BAC</w:t>
            </w:r>
          </w:p>
        </w:tc>
        <w:tc>
          <w:tcPr>
            <w:tcW w:w="1540" w:type="dxa"/>
            <w:tcBorders>
              <w:top w:val="nil"/>
              <w:left w:val="nil"/>
              <w:bottom w:val="single" w:sz="4" w:space="0" w:color="B8C0FF"/>
              <w:right w:val="single" w:sz="4" w:space="0" w:color="B8C0FF"/>
            </w:tcBorders>
            <w:noWrap/>
            <w:vAlign w:val="center"/>
            <w:hideMark/>
          </w:tcPr>
          <w:p w14:paraId="36609A7E"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1.925</w:t>
            </w:r>
          </w:p>
        </w:tc>
        <w:tc>
          <w:tcPr>
            <w:tcW w:w="2135" w:type="dxa"/>
            <w:tcBorders>
              <w:top w:val="nil"/>
              <w:left w:val="nil"/>
              <w:bottom w:val="single" w:sz="4" w:space="0" w:color="B8C0FF"/>
              <w:right w:val="single" w:sz="4" w:space="0" w:color="B8C0FF"/>
            </w:tcBorders>
            <w:noWrap/>
            <w:vAlign w:val="center"/>
            <w:hideMark/>
          </w:tcPr>
          <w:p w14:paraId="3313A0F3"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2C46D051"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441BDE9F"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WFC</w:t>
            </w:r>
          </w:p>
        </w:tc>
        <w:tc>
          <w:tcPr>
            <w:tcW w:w="1540" w:type="dxa"/>
            <w:tcBorders>
              <w:top w:val="nil"/>
              <w:left w:val="nil"/>
              <w:bottom w:val="single" w:sz="4" w:space="0" w:color="B8C0FF"/>
              <w:right w:val="single" w:sz="4" w:space="0" w:color="B8C0FF"/>
            </w:tcBorders>
            <w:noWrap/>
            <w:vAlign w:val="center"/>
            <w:hideMark/>
          </w:tcPr>
          <w:p w14:paraId="7C385565"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2.039</w:t>
            </w:r>
          </w:p>
        </w:tc>
        <w:tc>
          <w:tcPr>
            <w:tcW w:w="2135" w:type="dxa"/>
            <w:tcBorders>
              <w:top w:val="nil"/>
              <w:left w:val="nil"/>
              <w:bottom w:val="single" w:sz="4" w:space="0" w:color="B8C0FF"/>
              <w:right w:val="single" w:sz="4" w:space="0" w:color="B8C0FF"/>
            </w:tcBorders>
            <w:noWrap/>
            <w:vAlign w:val="center"/>
            <w:hideMark/>
          </w:tcPr>
          <w:p w14:paraId="18310984"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4F7604BB"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33B27237"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GS</w:t>
            </w:r>
          </w:p>
        </w:tc>
        <w:tc>
          <w:tcPr>
            <w:tcW w:w="1540" w:type="dxa"/>
            <w:tcBorders>
              <w:top w:val="nil"/>
              <w:left w:val="nil"/>
              <w:bottom w:val="single" w:sz="4" w:space="0" w:color="B8C0FF"/>
              <w:right w:val="single" w:sz="4" w:space="0" w:color="B8C0FF"/>
            </w:tcBorders>
            <w:noWrap/>
            <w:vAlign w:val="center"/>
            <w:hideMark/>
          </w:tcPr>
          <w:p w14:paraId="5FD48A0F"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2.002</w:t>
            </w:r>
          </w:p>
        </w:tc>
        <w:tc>
          <w:tcPr>
            <w:tcW w:w="2135" w:type="dxa"/>
            <w:tcBorders>
              <w:top w:val="nil"/>
              <w:left w:val="nil"/>
              <w:bottom w:val="single" w:sz="4" w:space="0" w:color="B8C0FF"/>
              <w:right w:val="single" w:sz="4" w:space="0" w:color="B8C0FF"/>
            </w:tcBorders>
            <w:noWrap/>
            <w:vAlign w:val="center"/>
            <w:hideMark/>
          </w:tcPr>
          <w:p w14:paraId="77C158BB"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6164F6B0"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7DA04B14"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BLK</w:t>
            </w:r>
          </w:p>
        </w:tc>
        <w:tc>
          <w:tcPr>
            <w:tcW w:w="1540" w:type="dxa"/>
            <w:tcBorders>
              <w:top w:val="nil"/>
              <w:left w:val="nil"/>
              <w:bottom w:val="single" w:sz="4" w:space="0" w:color="B8C0FF"/>
              <w:right w:val="single" w:sz="4" w:space="0" w:color="B8C0FF"/>
            </w:tcBorders>
            <w:noWrap/>
            <w:vAlign w:val="center"/>
            <w:hideMark/>
          </w:tcPr>
          <w:p w14:paraId="096D339B"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2.006</w:t>
            </w:r>
          </w:p>
        </w:tc>
        <w:tc>
          <w:tcPr>
            <w:tcW w:w="2135" w:type="dxa"/>
            <w:tcBorders>
              <w:top w:val="nil"/>
              <w:left w:val="nil"/>
              <w:bottom w:val="single" w:sz="4" w:space="0" w:color="B8C0FF"/>
              <w:right w:val="single" w:sz="4" w:space="0" w:color="B8C0FF"/>
            </w:tcBorders>
            <w:noWrap/>
            <w:vAlign w:val="center"/>
            <w:hideMark/>
          </w:tcPr>
          <w:p w14:paraId="3D61862B"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48A35161"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79589A52"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PLD</w:t>
            </w:r>
          </w:p>
        </w:tc>
        <w:tc>
          <w:tcPr>
            <w:tcW w:w="1540" w:type="dxa"/>
            <w:tcBorders>
              <w:top w:val="nil"/>
              <w:left w:val="nil"/>
              <w:bottom w:val="single" w:sz="4" w:space="0" w:color="B8C0FF"/>
              <w:right w:val="single" w:sz="4" w:space="0" w:color="B8C0FF"/>
            </w:tcBorders>
            <w:noWrap/>
            <w:vAlign w:val="center"/>
            <w:hideMark/>
          </w:tcPr>
          <w:p w14:paraId="57253A91"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2.088</w:t>
            </w:r>
          </w:p>
        </w:tc>
        <w:tc>
          <w:tcPr>
            <w:tcW w:w="2135" w:type="dxa"/>
            <w:tcBorders>
              <w:top w:val="nil"/>
              <w:left w:val="nil"/>
              <w:bottom w:val="single" w:sz="4" w:space="0" w:color="B8C0FF"/>
              <w:right w:val="single" w:sz="4" w:space="0" w:color="B8C0FF"/>
            </w:tcBorders>
            <w:noWrap/>
            <w:vAlign w:val="center"/>
            <w:hideMark/>
          </w:tcPr>
          <w:p w14:paraId="4A44B367"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5FA0011D"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3C75E3B6"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AMT</w:t>
            </w:r>
          </w:p>
        </w:tc>
        <w:tc>
          <w:tcPr>
            <w:tcW w:w="1540" w:type="dxa"/>
            <w:tcBorders>
              <w:top w:val="nil"/>
              <w:left w:val="nil"/>
              <w:bottom w:val="single" w:sz="4" w:space="0" w:color="B8C0FF"/>
              <w:right w:val="single" w:sz="4" w:space="0" w:color="B8C0FF"/>
            </w:tcBorders>
            <w:noWrap/>
            <w:vAlign w:val="center"/>
            <w:hideMark/>
          </w:tcPr>
          <w:p w14:paraId="11AD7F0F"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1.94</w:t>
            </w:r>
          </w:p>
        </w:tc>
        <w:tc>
          <w:tcPr>
            <w:tcW w:w="2135" w:type="dxa"/>
            <w:tcBorders>
              <w:top w:val="nil"/>
              <w:left w:val="nil"/>
              <w:bottom w:val="single" w:sz="4" w:space="0" w:color="B8C0FF"/>
              <w:right w:val="single" w:sz="4" w:space="0" w:color="B8C0FF"/>
            </w:tcBorders>
            <w:noWrap/>
            <w:vAlign w:val="center"/>
            <w:hideMark/>
          </w:tcPr>
          <w:p w14:paraId="47F00FEE"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3ADB64FA"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1857A5B5"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SPG</w:t>
            </w:r>
          </w:p>
        </w:tc>
        <w:tc>
          <w:tcPr>
            <w:tcW w:w="1540" w:type="dxa"/>
            <w:tcBorders>
              <w:top w:val="nil"/>
              <w:left w:val="nil"/>
              <w:bottom w:val="single" w:sz="4" w:space="0" w:color="B8C0FF"/>
              <w:right w:val="single" w:sz="4" w:space="0" w:color="B8C0FF"/>
            </w:tcBorders>
            <w:noWrap/>
            <w:vAlign w:val="center"/>
            <w:hideMark/>
          </w:tcPr>
          <w:p w14:paraId="757CC101"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2.078</w:t>
            </w:r>
          </w:p>
        </w:tc>
        <w:tc>
          <w:tcPr>
            <w:tcW w:w="2135" w:type="dxa"/>
            <w:tcBorders>
              <w:top w:val="nil"/>
              <w:left w:val="nil"/>
              <w:bottom w:val="single" w:sz="4" w:space="0" w:color="B8C0FF"/>
              <w:right w:val="single" w:sz="4" w:space="0" w:color="B8C0FF"/>
            </w:tcBorders>
            <w:noWrap/>
            <w:vAlign w:val="center"/>
            <w:hideMark/>
          </w:tcPr>
          <w:p w14:paraId="4E0542AA"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553DB2BC"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0DBD8FE8"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AVB</w:t>
            </w:r>
          </w:p>
        </w:tc>
        <w:tc>
          <w:tcPr>
            <w:tcW w:w="1540" w:type="dxa"/>
            <w:tcBorders>
              <w:top w:val="nil"/>
              <w:left w:val="nil"/>
              <w:bottom w:val="single" w:sz="4" w:space="0" w:color="B8C0FF"/>
              <w:right w:val="single" w:sz="4" w:space="0" w:color="B8C0FF"/>
            </w:tcBorders>
            <w:noWrap/>
            <w:vAlign w:val="center"/>
            <w:hideMark/>
          </w:tcPr>
          <w:p w14:paraId="3C467CE4"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2.087</w:t>
            </w:r>
          </w:p>
        </w:tc>
        <w:tc>
          <w:tcPr>
            <w:tcW w:w="2135" w:type="dxa"/>
            <w:tcBorders>
              <w:top w:val="nil"/>
              <w:left w:val="nil"/>
              <w:bottom w:val="single" w:sz="4" w:space="0" w:color="B8C0FF"/>
              <w:right w:val="single" w:sz="4" w:space="0" w:color="B8C0FF"/>
            </w:tcBorders>
            <w:noWrap/>
            <w:vAlign w:val="center"/>
            <w:hideMark/>
          </w:tcPr>
          <w:p w14:paraId="773206D9"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r w:rsidR="00CF6562" w:rsidRPr="00DD4FE3" w14:paraId="31250AC6" w14:textId="77777777" w:rsidTr="00CF6562">
        <w:trPr>
          <w:trHeight w:val="500"/>
        </w:trPr>
        <w:tc>
          <w:tcPr>
            <w:tcW w:w="1900" w:type="dxa"/>
            <w:tcBorders>
              <w:top w:val="nil"/>
              <w:left w:val="single" w:sz="4" w:space="0" w:color="B8C0FF"/>
              <w:bottom w:val="single" w:sz="4" w:space="0" w:color="B8C0FF"/>
              <w:right w:val="single" w:sz="4" w:space="0" w:color="B8C0FF"/>
            </w:tcBorders>
            <w:shd w:val="clear" w:color="000000" w:fill="F2F2F2"/>
            <w:noWrap/>
            <w:vAlign w:val="center"/>
            <w:hideMark/>
          </w:tcPr>
          <w:p w14:paraId="3AFEB289"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O</w:t>
            </w:r>
          </w:p>
        </w:tc>
        <w:tc>
          <w:tcPr>
            <w:tcW w:w="1540" w:type="dxa"/>
            <w:tcBorders>
              <w:top w:val="nil"/>
              <w:left w:val="nil"/>
              <w:bottom w:val="single" w:sz="4" w:space="0" w:color="B8C0FF"/>
              <w:right w:val="single" w:sz="4" w:space="0" w:color="B8C0FF"/>
            </w:tcBorders>
            <w:noWrap/>
            <w:vAlign w:val="center"/>
            <w:hideMark/>
          </w:tcPr>
          <w:p w14:paraId="5813FC3F"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1.984</w:t>
            </w:r>
          </w:p>
        </w:tc>
        <w:tc>
          <w:tcPr>
            <w:tcW w:w="2135" w:type="dxa"/>
            <w:tcBorders>
              <w:top w:val="nil"/>
              <w:left w:val="nil"/>
              <w:bottom w:val="single" w:sz="4" w:space="0" w:color="B8C0FF"/>
              <w:right w:val="single" w:sz="4" w:space="0" w:color="B8C0FF"/>
            </w:tcBorders>
            <w:noWrap/>
            <w:vAlign w:val="center"/>
            <w:hideMark/>
          </w:tcPr>
          <w:p w14:paraId="11C0EBDC" w14:textId="77777777" w:rsidR="00CF6562" w:rsidRPr="00DD4FE3" w:rsidRDefault="00CF6562" w:rsidP="00CF6562">
            <w:pPr>
              <w:spacing w:after="0" w:line="240" w:lineRule="auto"/>
              <w:jc w:val="center"/>
              <w:rPr>
                <w:rFonts w:ascii="Aptos Narrow" w:eastAsia="Times New Roman" w:hAnsi="Aptos Narrow" w:cs="Times New Roman"/>
                <w:color w:val="000000"/>
                <w:kern w:val="0"/>
                <w:sz w:val="20"/>
                <w:szCs w:val="20"/>
                <w14:ligatures w14:val="none"/>
              </w:rPr>
            </w:pPr>
            <w:r w:rsidRPr="00DD4FE3">
              <w:rPr>
                <w:rFonts w:ascii="Aptos Narrow" w:eastAsia="Times New Roman" w:hAnsi="Aptos Narrow" w:cs="Times New Roman"/>
                <w:color w:val="000000"/>
                <w:kern w:val="0"/>
                <w:sz w:val="20"/>
                <w:szCs w:val="20"/>
                <w14:ligatures w14:val="none"/>
              </w:rPr>
              <w:t>No autocorrelation</w:t>
            </w:r>
          </w:p>
        </w:tc>
      </w:tr>
    </w:tbl>
    <w:p w14:paraId="163DFFE0" w14:textId="77777777" w:rsidR="00CF6562" w:rsidRDefault="00CF6562" w:rsidP="00F03D94"/>
    <w:p w14:paraId="0F1AACF7" w14:textId="25D27DEF" w:rsidR="0034528E" w:rsidRDefault="0034528E" w:rsidP="0034528E">
      <w:r>
        <w:t xml:space="preserve">Statistical Conclusion: For all 10 stocks, the DW statistic are greater than the </w:t>
      </w:r>
      <w:r w:rsidRPr="00F03D94">
        <w:rPr>
          <w:i/>
          <w:iCs/>
        </w:rPr>
        <w:t>d</w:t>
      </w:r>
      <w:r w:rsidRPr="00F03D94">
        <w:rPr>
          <w:i/>
          <w:iCs/>
          <w:vertAlign w:val="subscript"/>
        </w:rPr>
        <w:t>u</w:t>
      </w:r>
      <w:r>
        <w:t xml:space="preserve"> and hence there is no evidence of autocorrelation.</w:t>
      </w:r>
    </w:p>
    <w:p w14:paraId="0C366521" w14:textId="29326F28" w:rsidR="0034528E" w:rsidRDefault="0034528E" w:rsidP="0034528E">
      <w:r w:rsidRPr="00FA4B3F">
        <w:t>Economic</w:t>
      </w:r>
      <w:r>
        <w:t xml:space="preserve"> Interpretation: Daily excess returns do not show residual patterns that persist over time. This supports the reliability of the OLS regression framework for estimating beta.</w:t>
      </w:r>
    </w:p>
    <w:p w14:paraId="5F7B9A5D" w14:textId="23028397" w:rsidR="00E5169E" w:rsidRPr="00E5169E" w:rsidRDefault="00E5169E" w:rsidP="0034528E">
      <w:pPr>
        <w:rPr>
          <w:b/>
          <w:bCs/>
        </w:rPr>
      </w:pPr>
      <w:r w:rsidRPr="00E5169E">
        <w:rPr>
          <w:b/>
          <w:bCs/>
        </w:rPr>
        <w:t>Model Adequacy Conclusion:</w:t>
      </w:r>
    </w:p>
    <w:p w14:paraId="4E0D9FE6" w14:textId="3EA010BE" w:rsidR="00E5169E" w:rsidRDefault="00E5169E" w:rsidP="0034528E">
      <w:r>
        <w:t xml:space="preserve">Overall, the diagnostics indicate that the market model provides a reasonable fit for estimating betas, but with some limitations typical of financial return data. Residual normality is rejected for all stocks, reflecting skewness and fat-tailed behavior that is common in daily equity returns. This does not bias the beta estimates but suggests caution when relying on </w:t>
      </w:r>
      <w:r w:rsidR="00AA05B0">
        <w:t>statistical</w:t>
      </w:r>
      <w:r>
        <w:t xml:space="preserve"> inference</w:t>
      </w:r>
      <w:r w:rsidR="00AA05B0">
        <w:t xml:space="preserve"> based on normality.</w:t>
      </w:r>
      <w:r>
        <w:t xml:space="preserve"> Heteroskedasticity is generally not a concern with most stocks examined, with only </w:t>
      </w:r>
      <w:r>
        <w:lastRenderedPageBreak/>
        <w:t>BLK and PLD showing signs of non-constant variance. For these stocks, robust standard errors may improve inference. Finally, Durbin–Watson statistics show no evidence of autocorrelation for any stock, supporting the assumption of independent residuals. Taken together, the model assumptions hold well enough for beta estimation, and the market model remains appropriate for the purposes of this analysis.</w:t>
      </w:r>
    </w:p>
    <w:p w14:paraId="44160994" w14:textId="58543EA5" w:rsidR="002D7E39" w:rsidRPr="00D01818" w:rsidRDefault="007556A0" w:rsidP="002D7E39">
      <w:pPr>
        <w:pStyle w:val="Heading1"/>
        <w:rPr>
          <w:rFonts w:eastAsiaTheme="minorEastAsia"/>
        </w:rPr>
      </w:pPr>
      <w:bookmarkStart w:id="15" w:name="_Toc214932642"/>
      <w:r>
        <w:rPr>
          <w:rFonts w:eastAsiaTheme="minorEastAsia"/>
        </w:rPr>
        <w:t>6</w:t>
      </w:r>
      <w:r w:rsidR="002D7E39">
        <w:rPr>
          <w:rFonts w:eastAsiaTheme="minorEastAsia"/>
        </w:rPr>
        <w:t>. Conclusion</w:t>
      </w:r>
      <w:bookmarkEnd w:id="15"/>
    </w:p>
    <w:p w14:paraId="40FEFC20" w14:textId="77810122" w:rsidR="004A21AB" w:rsidRDefault="006A50B6" w:rsidP="00D11E9C">
      <w:r>
        <w:t>Through</w:t>
      </w:r>
      <w:r w:rsidR="00C55F09" w:rsidRPr="00C55F09">
        <w:t xml:space="preserve"> both portfolio and stock-level analyses, the results </w:t>
      </w:r>
      <w:r>
        <w:t>show</w:t>
      </w:r>
      <w:r w:rsidR="00C55F09" w:rsidRPr="00C55F09">
        <w:t xml:space="preserve"> </w:t>
      </w:r>
      <w:r>
        <w:t>distinct characteristics</w:t>
      </w:r>
      <w:r w:rsidR="00C55F09" w:rsidRPr="00C55F09">
        <w:t xml:space="preserve"> </w:t>
      </w:r>
      <w:r>
        <w:t xml:space="preserve">of </w:t>
      </w:r>
      <w:r w:rsidR="00C55F09" w:rsidRPr="00C55F09">
        <w:t xml:space="preserve">risk behavior while </w:t>
      </w:r>
      <w:r>
        <w:t>demonstrating</w:t>
      </w:r>
      <w:r w:rsidR="00C55F09" w:rsidRPr="00C55F09">
        <w:t xml:space="preserve"> the usefulness of the market model for estimating systematic risk</w:t>
      </w:r>
      <w:r>
        <w:t>s</w:t>
      </w:r>
      <w:r w:rsidR="00C55F09" w:rsidRPr="00C55F09">
        <w:t xml:space="preserve">. The equal-weighted and optimal portfolios were found to have statistically </w:t>
      </w:r>
      <w:r>
        <w:t>equal</w:t>
      </w:r>
      <w:r w:rsidR="00C55F09" w:rsidRPr="00C55F09">
        <w:t xml:space="preserve"> mean daily returns, but their volatilities </w:t>
      </w:r>
      <w:r>
        <w:t xml:space="preserve">were </w:t>
      </w:r>
      <w:r w:rsidR="00C55F09" w:rsidRPr="00C55F09">
        <w:t>significantly</w:t>
      </w:r>
      <w:r>
        <w:t xml:space="preserve"> </w:t>
      </w:r>
      <w:r w:rsidRPr="00C55F09">
        <w:t>differe</w:t>
      </w:r>
      <w:r>
        <w:t>nt</w:t>
      </w:r>
      <w:r w:rsidR="00C55F09" w:rsidRPr="00C55F09">
        <w:t>, with the optimal portfolio</w:t>
      </w:r>
      <w:r>
        <w:t xml:space="preserve"> proving to be</w:t>
      </w:r>
      <w:r w:rsidR="00C55F09" w:rsidRPr="00C55F09">
        <w:t xml:space="preserve"> </w:t>
      </w:r>
      <w:r>
        <w:t xml:space="preserve">the </w:t>
      </w:r>
      <w:r w:rsidR="00C55F09" w:rsidRPr="00C55F09">
        <w:t xml:space="preserve">more efficient </w:t>
      </w:r>
      <w:r>
        <w:t>of the two, which is expected as per design</w:t>
      </w:r>
      <w:r w:rsidR="00C55F09" w:rsidRPr="00C55F09">
        <w:t xml:space="preserve">. </w:t>
      </w:r>
      <w:r>
        <w:t>For</w:t>
      </w:r>
      <w:r w:rsidR="00C55F09" w:rsidRPr="00C55F09">
        <w:t xml:space="preserve"> the individual stock</w:t>
      </w:r>
      <w:r>
        <w:t>s</w:t>
      </w:r>
      <w:r w:rsidR="00C55F09" w:rsidRPr="00C55F09">
        <w:t xml:space="preserve">, estimated betas </w:t>
      </w:r>
      <w:r>
        <w:t>were in line</w:t>
      </w:r>
      <w:r w:rsidR="00C55F09" w:rsidRPr="00C55F09">
        <w:t xml:space="preserve"> with expectations:</w:t>
      </w:r>
      <w:r>
        <w:t xml:space="preserve"> </w:t>
      </w:r>
      <w:r w:rsidR="00C55F09" w:rsidRPr="00C55F09">
        <w:t xml:space="preserve">financial stocks generally moved closely with the market, while real estate stocks displayed more varied and often lower market sensitivity. Hypothesis tests for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=1</m:t>
        </m:r>
      </m:oMath>
      <w:r w:rsidR="00CD198D" w:rsidRPr="00D11E9C">
        <w:t xml:space="preserve"> </w:t>
      </w:r>
      <w:r w:rsidR="00C55F09" w:rsidRPr="00C55F09">
        <w:t xml:space="preserve">showed that only a subset of stocks behaved like “market-average” assets, emphasizing the importance of sector characteristics in driving systematic risk. </w:t>
      </w:r>
      <w:r w:rsidR="004A1E57">
        <w:t>D</w:t>
      </w:r>
      <w:r w:rsidR="00C55F09" w:rsidRPr="00C55F09">
        <w:t xml:space="preserve">iagnostic tests revealed non-normal residuals and isolated cases of heteroskedasticity, </w:t>
      </w:r>
      <w:r w:rsidR="004A1E57">
        <w:t xml:space="preserve">but </w:t>
      </w:r>
      <w:r w:rsidR="00C55F09" w:rsidRPr="00C55F09">
        <w:t>the absence of autocorrelation and the strong statistical significance of the regressions support the adequacy of the market model for beta estimation in this context. Overall, the analysis provides consistent evidence that systematic risk differs materially across assets</w:t>
      </w:r>
      <w:r w:rsidR="004A1E57">
        <w:t xml:space="preserve"> and industrial </w:t>
      </w:r>
      <w:proofErr w:type="gramStart"/>
      <w:r w:rsidR="004A1E57">
        <w:t>sectors,</w:t>
      </w:r>
      <w:r w:rsidR="00C55F09" w:rsidRPr="00C55F09">
        <w:t xml:space="preserve"> and</w:t>
      </w:r>
      <w:proofErr w:type="gramEnd"/>
      <w:r w:rsidR="00C55F09" w:rsidRPr="00C55F09">
        <w:t xml:space="preserve"> can be measured reliably using excess-return regressions, allowing investors to make more informed decisions about portfolio construction and risk exposure.</w:t>
      </w:r>
      <w:r w:rsidR="004A21AB">
        <w:br w:type="page"/>
      </w:r>
    </w:p>
    <w:p w14:paraId="080501C1" w14:textId="256DC95A" w:rsidR="00F02C08" w:rsidRDefault="0067767D" w:rsidP="00F02C08">
      <w:pPr>
        <w:pStyle w:val="Heading1"/>
      </w:pPr>
      <w:bookmarkStart w:id="16" w:name="_Toc214932643"/>
      <w:r>
        <w:lastRenderedPageBreak/>
        <w:t>References</w:t>
      </w:r>
      <w:bookmarkEnd w:id="16"/>
    </w:p>
    <w:p w14:paraId="58300DBE" w14:textId="472C8D0B" w:rsidR="00004034" w:rsidRDefault="00DB0C41" w:rsidP="00004034">
      <w:pPr>
        <w:pStyle w:val="ListParagraph"/>
        <w:numPr>
          <w:ilvl w:val="0"/>
          <w:numId w:val="12"/>
        </w:numPr>
      </w:pPr>
      <w:r w:rsidRPr="00DB0C41">
        <w:rPr>
          <w:b/>
          <w:bCs/>
        </w:rPr>
        <w:t>ChatGPT.com</w:t>
      </w:r>
      <w:r>
        <w:t xml:space="preserve"> </w:t>
      </w:r>
      <w:r w:rsidR="0099104E" w:rsidRPr="005D23CE">
        <w:t xml:space="preserve">Exploration &amp; Research on </w:t>
      </w:r>
      <w:r w:rsidR="005D23CE" w:rsidRPr="005D23CE">
        <w:t>https://chatgpt.com/</w:t>
      </w:r>
    </w:p>
    <w:p w14:paraId="3388DF60" w14:textId="7BED9418" w:rsidR="00E36ADC" w:rsidRPr="00E36ADC" w:rsidRDefault="00E36ADC" w:rsidP="000951EE">
      <w:pPr>
        <w:pStyle w:val="ListParagraph"/>
        <w:numPr>
          <w:ilvl w:val="0"/>
          <w:numId w:val="12"/>
        </w:numPr>
      </w:pPr>
      <w:r w:rsidRPr="000951EE">
        <w:rPr>
          <w:rStyle w:val="Strong"/>
          <w:rFonts w:ascii="Aptos" w:hAnsi="Aptos"/>
          <w:szCs w:val="22"/>
        </w:rPr>
        <w:t>NASDAQ Data Link</w:t>
      </w:r>
      <w:r w:rsidRPr="00E36ADC">
        <w:t xml:space="preserve">. </w:t>
      </w:r>
      <w:r w:rsidRPr="000951EE">
        <w:rPr>
          <w:rStyle w:val="Emphasis"/>
          <w:rFonts w:ascii="Aptos" w:hAnsi="Aptos"/>
          <w:szCs w:val="22"/>
        </w:rPr>
        <w:t>Historical stock prices for JPM, BAC, WFC, GS, BLK, PLD, AMT, SPG, AVB, and O.</w:t>
      </w:r>
      <w:r w:rsidRPr="00E36ADC">
        <w:t xml:space="preserve"> Retrieved from https://data.nasdaq.com/</w:t>
      </w:r>
    </w:p>
    <w:p w14:paraId="24EE3FDE" w14:textId="073B53FC" w:rsidR="00E36ADC" w:rsidRPr="00E36ADC" w:rsidRDefault="00E36ADC" w:rsidP="000951EE">
      <w:pPr>
        <w:pStyle w:val="ListParagraph"/>
        <w:numPr>
          <w:ilvl w:val="0"/>
          <w:numId w:val="12"/>
        </w:numPr>
      </w:pPr>
      <w:r w:rsidRPr="000951EE">
        <w:rPr>
          <w:rStyle w:val="Strong"/>
          <w:rFonts w:ascii="Aptos" w:hAnsi="Aptos"/>
          <w:szCs w:val="22"/>
        </w:rPr>
        <w:t>Yahoo Finance.</w:t>
      </w:r>
      <w:r w:rsidRPr="00E36ADC">
        <w:t xml:space="preserve"> </w:t>
      </w:r>
      <w:r w:rsidRPr="000951EE">
        <w:rPr>
          <w:rStyle w:val="Emphasis"/>
          <w:rFonts w:ascii="Aptos" w:hAnsi="Aptos"/>
          <w:szCs w:val="22"/>
        </w:rPr>
        <w:t>S&amp;P 500 Index (^GSPC) – Historical Data.</w:t>
      </w:r>
      <w:r w:rsidRPr="00E36ADC">
        <w:t xml:space="preserve"> Retrieved from https://finance.yahoo.com/quote/%5EGSPC/history</w:t>
      </w:r>
    </w:p>
    <w:p w14:paraId="6314E0E4" w14:textId="110FCC5D" w:rsidR="00E36ADC" w:rsidRPr="00E36ADC" w:rsidRDefault="00E36ADC" w:rsidP="000951EE">
      <w:pPr>
        <w:pStyle w:val="ListParagraph"/>
        <w:numPr>
          <w:ilvl w:val="0"/>
          <w:numId w:val="12"/>
        </w:numPr>
      </w:pPr>
      <w:r w:rsidRPr="000951EE">
        <w:rPr>
          <w:rStyle w:val="Strong"/>
          <w:rFonts w:ascii="Aptos" w:hAnsi="Aptos"/>
          <w:szCs w:val="22"/>
        </w:rPr>
        <w:t>Federal Reserve Bank of St. Louis (FRED)</w:t>
      </w:r>
      <w:r w:rsidR="00902AF3">
        <w:rPr>
          <w:rStyle w:val="Strong"/>
          <w:rFonts w:ascii="Aptos" w:hAnsi="Aptos"/>
          <w:szCs w:val="22"/>
        </w:rPr>
        <w:t xml:space="preserve"> and </w:t>
      </w:r>
      <w:r w:rsidR="00902AF3" w:rsidRPr="000951EE">
        <w:rPr>
          <w:rStyle w:val="Strong"/>
          <w:rFonts w:ascii="Aptos" w:hAnsi="Aptos"/>
          <w:szCs w:val="22"/>
        </w:rPr>
        <w:t>Yahoo Finance</w:t>
      </w:r>
      <w:r w:rsidRPr="000951EE">
        <w:rPr>
          <w:rStyle w:val="Strong"/>
          <w:rFonts w:ascii="Aptos" w:hAnsi="Aptos"/>
          <w:szCs w:val="22"/>
        </w:rPr>
        <w:t>.</w:t>
      </w:r>
      <w:r w:rsidRPr="00E36ADC">
        <w:t xml:space="preserve"> </w:t>
      </w:r>
      <w:r w:rsidRPr="000951EE">
        <w:rPr>
          <w:rStyle w:val="Emphasis"/>
          <w:rFonts w:ascii="Aptos" w:hAnsi="Aptos"/>
          <w:szCs w:val="22"/>
        </w:rPr>
        <w:t>13-Week Treasury Bill: Secondary Market Rate (DGS3MO).</w:t>
      </w:r>
      <w:r w:rsidRPr="00E36ADC">
        <w:t xml:space="preserve"> Retrieved from </w:t>
      </w:r>
      <w:r w:rsidR="00902AF3">
        <w:t>Yahoo API</w:t>
      </w:r>
      <w:r w:rsidR="00E10DAC">
        <w:t>.</w:t>
      </w:r>
    </w:p>
    <w:p w14:paraId="33048257" w14:textId="12A79885" w:rsidR="00E36ADC" w:rsidRPr="00E36ADC" w:rsidRDefault="00E36ADC" w:rsidP="000951EE">
      <w:pPr>
        <w:pStyle w:val="ListParagraph"/>
        <w:numPr>
          <w:ilvl w:val="0"/>
          <w:numId w:val="12"/>
        </w:numPr>
      </w:pPr>
      <w:r w:rsidRPr="000951EE">
        <w:rPr>
          <w:rStyle w:val="Strong"/>
          <w:rFonts w:ascii="Aptos" w:hAnsi="Aptos"/>
          <w:szCs w:val="22"/>
        </w:rPr>
        <w:t>S&amp;P Capital IQ Pro.</w:t>
      </w:r>
      <w:r w:rsidRPr="00E36ADC">
        <w:t xml:space="preserve"> </w:t>
      </w:r>
      <w:r w:rsidRPr="000951EE">
        <w:rPr>
          <w:rStyle w:val="Emphasis"/>
          <w:rFonts w:ascii="Aptos" w:hAnsi="Aptos"/>
          <w:szCs w:val="22"/>
        </w:rPr>
        <w:t>Company financials and market fundamentals for selected firms.</w:t>
      </w:r>
      <w:r w:rsidRPr="00E36ADC">
        <w:t xml:space="preserve"> Retrieved via institutional access (</w:t>
      </w:r>
      <w:r w:rsidR="00EA6C28">
        <w:t xml:space="preserve">The </w:t>
      </w:r>
      <w:r w:rsidRPr="00E36ADC">
        <w:t>University of Texas at Dallas).</w:t>
      </w:r>
    </w:p>
    <w:p w14:paraId="4F091294" w14:textId="3FA3F713" w:rsidR="00E36ADC" w:rsidRPr="00E36ADC" w:rsidRDefault="00E36ADC" w:rsidP="000951EE">
      <w:pPr>
        <w:pStyle w:val="ListParagraph"/>
        <w:numPr>
          <w:ilvl w:val="0"/>
          <w:numId w:val="12"/>
        </w:numPr>
      </w:pPr>
      <w:r w:rsidRPr="000951EE">
        <w:rPr>
          <w:rStyle w:val="Strong"/>
          <w:rFonts w:ascii="Aptos" w:hAnsi="Aptos"/>
          <w:szCs w:val="22"/>
        </w:rPr>
        <w:t>BlackRock, Inc.</w:t>
      </w:r>
      <w:r w:rsidRPr="00E36ADC">
        <w:t xml:space="preserve"> </w:t>
      </w:r>
      <w:r w:rsidRPr="000951EE">
        <w:rPr>
          <w:rStyle w:val="Emphasis"/>
          <w:rFonts w:ascii="Aptos" w:hAnsi="Aptos"/>
          <w:szCs w:val="22"/>
        </w:rPr>
        <w:t>Annual Report and Investor Relations Data.</w:t>
      </w:r>
      <w:r w:rsidRPr="00E36ADC">
        <w:t xml:space="preserve"> Retrieved from https://www.blackrock.com/corporate/investor-relations</w:t>
      </w:r>
    </w:p>
    <w:p w14:paraId="2A1AA2D7" w14:textId="0F58D215" w:rsidR="00E36ADC" w:rsidRPr="00E36ADC" w:rsidRDefault="00E36ADC" w:rsidP="000951EE">
      <w:pPr>
        <w:pStyle w:val="ListParagraph"/>
        <w:numPr>
          <w:ilvl w:val="0"/>
          <w:numId w:val="12"/>
        </w:numPr>
      </w:pPr>
      <w:r w:rsidRPr="000951EE">
        <w:rPr>
          <w:rStyle w:val="Strong"/>
          <w:rFonts w:ascii="Aptos" w:hAnsi="Aptos"/>
          <w:szCs w:val="22"/>
        </w:rPr>
        <w:t>Prologis, Inc.</w:t>
      </w:r>
      <w:r w:rsidRPr="00E36ADC">
        <w:t xml:space="preserve"> </w:t>
      </w:r>
      <w:r w:rsidRPr="000951EE">
        <w:rPr>
          <w:rStyle w:val="Emphasis"/>
          <w:rFonts w:ascii="Aptos" w:hAnsi="Aptos"/>
          <w:szCs w:val="22"/>
        </w:rPr>
        <w:t>Investor Relations – Company Overview and Financial Reports.</w:t>
      </w:r>
      <w:r w:rsidRPr="00E36ADC">
        <w:t xml:space="preserve"> Retrieved from https://ir.prologis.com/</w:t>
      </w:r>
    </w:p>
    <w:p w14:paraId="5AE5DB3C" w14:textId="169082D7" w:rsidR="00E36ADC" w:rsidRPr="00E36ADC" w:rsidRDefault="00E36ADC" w:rsidP="000951EE">
      <w:pPr>
        <w:pStyle w:val="ListParagraph"/>
        <w:numPr>
          <w:ilvl w:val="0"/>
          <w:numId w:val="12"/>
        </w:numPr>
      </w:pPr>
      <w:r w:rsidRPr="000951EE">
        <w:rPr>
          <w:rStyle w:val="Strong"/>
          <w:rFonts w:ascii="Aptos" w:hAnsi="Aptos"/>
          <w:szCs w:val="22"/>
        </w:rPr>
        <w:t>AvalonBay Communities, Inc.</w:t>
      </w:r>
      <w:r w:rsidRPr="00E36ADC">
        <w:t xml:space="preserve"> </w:t>
      </w:r>
      <w:r w:rsidRPr="000951EE">
        <w:rPr>
          <w:rStyle w:val="Emphasis"/>
          <w:rFonts w:ascii="Aptos" w:hAnsi="Aptos"/>
          <w:szCs w:val="22"/>
        </w:rPr>
        <w:t>Investor Relations – Company Financials.</w:t>
      </w:r>
      <w:r w:rsidRPr="00E36ADC">
        <w:t xml:space="preserve"> Retrieved from https://investors.avalonbay.com/</w:t>
      </w:r>
    </w:p>
    <w:p w14:paraId="3F18716D" w14:textId="0A453CA0" w:rsidR="00E36ADC" w:rsidRPr="00E36ADC" w:rsidRDefault="00E36ADC" w:rsidP="000951EE">
      <w:pPr>
        <w:pStyle w:val="ListParagraph"/>
        <w:numPr>
          <w:ilvl w:val="0"/>
          <w:numId w:val="12"/>
        </w:numPr>
      </w:pPr>
      <w:r w:rsidRPr="000951EE">
        <w:rPr>
          <w:rStyle w:val="Strong"/>
          <w:rFonts w:ascii="Aptos" w:hAnsi="Aptos"/>
          <w:szCs w:val="22"/>
        </w:rPr>
        <w:t>U.S. Securities and Exchange Commission (SEC).</w:t>
      </w:r>
      <w:r w:rsidRPr="00E36ADC">
        <w:t xml:space="preserve"> </w:t>
      </w:r>
      <w:r w:rsidRPr="000951EE">
        <w:rPr>
          <w:rStyle w:val="Emphasis"/>
          <w:rFonts w:ascii="Aptos" w:hAnsi="Aptos"/>
          <w:szCs w:val="22"/>
        </w:rPr>
        <w:t>EDGAR Company Filings.</w:t>
      </w:r>
      <w:r w:rsidRPr="00E36ADC">
        <w:t xml:space="preserve"> Retrieved from https://www.sec.gov/edgar/searchedgar/companysearch.html</w:t>
      </w:r>
    </w:p>
    <w:p w14:paraId="27C43A44" w14:textId="1D3372C9" w:rsidR="00E36ADC" w:rsidRPr="00E36ADC" w:rsidRDefault="00E36ADC" w:rsidP="000951EE">
      <w:pPr>
        <w:pStyle w:val="ListParagraph"/>
        <w:numPr>
          <w:ilvl w:val="0"/>
          <w:numId w:val="12"/>
        </w:numPr>
      </w:pPr>
      <w:r w:rsidRPr="000951EE">
        <w:rPr>
          <w:rStyle w:val="Strong"/>
          <w:rFonts w:ascii="Aptos" w:hAnsi="Aptos"/>
          <w:szCs w:val="22"/>
        </w:rPr>
        <w:t>Investopedia.</w:t>
      </w:r>
      <w:r w:rsidRPr="00E36ADC">
        <w:t xml:space="preserve"> </w:t>
      </w:r>
      <w:r w:rsidRPr="000951EE">
        <w:rPr>
          <w:rStyle w:val="Emphasis"/>
          <w:rFonts w:ascii="Aptos" w:hAnsi="Aptos"/>
          <w:szCs w:val="22"/>
        </w:rPr>
        <w:t>Sharpe Ratio, Portfolio Diversification, and Modern Portfolio Theory.</w:t>
      </w:r>
      <w:r w:rsidRPr="00E36ADC">
        <w:t xml:space="preserve"> Retrieved from https://www.investopedia.com/</w:t>
      </w:r>
    </w:p>
    <w:p w14:paraId="1565E0E8" w14:textId="5E7217CF" w:rsidR="00577F99" w:rsidRDefault="00E36ADC" w:rsidP="00E43265">
      <w:pPr>
        <w:pStyle w:val="ListParagraph"/>
        <w:numPr>
          <w:ilvl w:val="0"/>
          <w:numId w:val="12"/>
        </w:numPr>
      </w:pPr>
      <w:r w:rsidRPr="000951EE">
        <w:rPr>
          <w:rStyle w:val="Strong"/>
          <w:rFonts w:ascii="Aptos" w:hAnsi="Aptos"/>
          <w:szCs w:val="22"/>
        </w:rPr>
        <w:t>Hull, J. C.</w:t>
      </w:r>
      <w:r w:rsidRPr="00E36ADC">
        <w:t xml:space="preserve"> </w:t>
      </w:r>
      <w:r w:rsidRPr="000951EE">
        <w:rPr>
          <w:rStyle w:val="Emphasis"/>
          <w:rFonts w:ascii="Aptos" w:hAnsi="Aptos"/>
          <w:szCs w:val="22"/>
        </w:rPr>
        <w:t>Options, Futures, and Other Derivatives</w:t>
      </w:r>
      <w:r w:rsidRPr="00E36ADC">
        <w:t xml:space="preserve"> (10th ed.). Pearson Education. </w:t>
      </w:r>
      <w:r w:rsidRPr="000951EE">
        <w:rPr>
          <w:rStyle w:val="Emphasis"/>
          <w:rFonts w:ascii="Aptos" w:hAnsi="Aptos"/>
          <w:szCs w:val="22"/>
        </w:rPr>
        <w:t>(Reference for risk/return and Sharpe ratio concepts.)</w:t>
      </w:r>
    </w:p>
    <w:p w14:paraId="3727BEAD" w14:textId="77777777" w:rsidR="00303BF5" w:rsidRDefault="00303BF5" w:rsidP="00846B7F"/>
    <w:p w14:paraId="0C141BDD" w14:textId="77777777" w:rsidR="00E43265" w:rsidRDefault="00E43265" w:rsidP="00846B7F"/>
    <w:p w14:paraId="15B51FD2" w14:textId="77777777" w:rsidR="00E42878" w:rsidRDefault="00E42878" w:rsidP="00846B7F"/>
    <w:p w14:paraId="6D625EDB" w14:textId="77777777" w:rsidR="00E42878" w:rsidRDefault="00E42878" w:rsidP="00846B7F"/>
    <w:p w14:paraId="338552FE" w14:textId="77777777" w:rsidR="00E42878" w:rsidRDefault="00E42878" w:rsidP="00846B7F"/>
    <w:p w14:paraId="56F9B103" w14:textId="73F93D5D" w:rsidR="00846B7F" w:rsidRDefault="00846B7F" w:rsidP="00846B7F">
      <w:pPr>
        <w:pStyle w:val="Heading1"/>
      </w:pPr>
      <w:bookmarkStart w:id="17" w:name="_Toc214932644"/>
      <w:r>
        <w:lastRenderedPageBreak/>
        <w:t>Appendix</w:t>
      </w:r>
      <w:bookmarkEnd w:id="17"/>
    </w:p>
    <w:p w14:paraId="77F5667C" w14:textId="77777777" w:rsidR="00121890" w:rsidRDefault="00121890" w:rsidP="00BA72F9">
      <w:pPr>
        <w:pStyle w:val="ListParagraph"/>
        <w:numPr>
          <w:ilvl w:val="0"/>
          <w:numId w:val="13"/>
        </w:numPr>
      </w:pPr>
      <w:r>
        <w:t xml:space="preserve">Link to GitHub where our code is available: </w:t>
      </w:r>
      <w:hyperlink r:id="rId10" w:tgtFrame="_blank" w:tooltip="https://github.com/priyadarshanparida/market-model-fin6307" w:history="1">
        <w:r>
          <w:rPr>
            <w:rStyle w:val="Hyperlink"/>
          </w:rPr>
          <w:t>https://github.com/priyadarshanparida/market-model-fin6307</w:t>
        </w:r>
      </w:hyperlink>
      <w:r>
        <w:t xml:space="preserve"> </w:t>
      </w:r>
    </w:p>
    <w:p w14:paraId="3DFCEF9F" w14:textId="6B4597B5" w:rsidR="00D0344C" w:rsidRDefault="009D4B07" w:rsidP="00BA72F9">
      <w:pPr>
        <w:pStyle w:val="ListParagraph"/>
        <w:numPr>
          <w:ilvl w:val="0"/>
          <w:numId w:val="13"/>
        </w:numPr>
      </w:pPr>
      <w:r>
        <w:t>Refer</w:t>
      </w:r>
      <w:r w:rsidR="00D0344C">
        <w:t xml:space="preserve"> “</w:t>
      </w:r>
      <w:r w:rsidR="00121890">
        <w:t>Group6_Project2_Code_FIN 6307.501.pdf</w:t>
      </w:r>
      <w:r w:rsidR="00D0344C">
        <w:t xml:space="preserve">” for </w:t>
      </w:r>
      <w:r w:rsidR="00121890">
        <w:t xml:space="preserve">PDF export of the </w:t>
      </w:r>
      <w:proofErr w:type="spellStart"/>
      <w:r w:rsidR="00121890">
        <w:t>Jupyter</w:t>
      </w:r>
      <w:proofErr w:type="spellEnd"/>
      <w:r w:rsidR="00121890">
        <w:t xml:space="preserve"> Notebook file meant for code review</w:t>
      </w:r>
    </w:p>
    <w:p w14:paraId="47F3C25C" w14:textId="0B218227" w:rsidR="00BA72F9" w:rsidRDefault="009D4B07" w:rsidP="00BA72F9">
      <w:pPr>
        <w:pStyle w:val="ListParagraph"/>
        <w:numPr>
          <w:ilvl w:val="0"/>
          <w:numId w:val="13"/>
        </w:numPr>
      </w:pPr>
      <w:r>
        <w:t>Refer</w:t>
      </w:r>
      <w:r w:rsidR="00D0344C">
        <w:t xml:space="preserve"> “</w:t>
      </w:r>
      <w:r w:rsidR="00121890">
        <w:t>Group6_Project2_Code_Package_FIN 6307.501.zip</w:t>
      </w:r>
      <w:r w:rsidR="00D0344C">
        <w:t xml:space="preserve">” for </w:t>
      </w:r>
      <w:r w:rsidR="00121890">
        <w:t>c</w:t>
      </w:r>
      <w:r w:rsidR="00121890">
        <w:t>omplete code (</w:t>
      </w:r>
      <w:proofErr w:type="spellStart"/>
      <w:r w:rsidR="00121890">
        <w:t>Jupyter</w:t>
      </w:r>
      <w:proofErr w:type="spellEnd"/>
      <w:r w:rsidR="00121890">
        <w:t xml:space="preserve"> Notebook) along input dataset, and output files packaged together in case you intend to run the code and review the output</w:t>
      </w:r>
    </w:p>
    <w:p w14:paraId="200601AB" w14:textId="478B6D48" w:rsidR="00775282" w:rsidRDefault="00775282" w:rsidP="00BA72F9">
      <w:pPr>
        <w:pStyle w:val="ListParagraph"/>
        <w:numPr>
          <w:ilvl w:val="0"/>
          <w:numId w:val="13"/>
        </w:numPr>
      </w:pPr>
      <w:r w:rsidRPr="00775282">
        <w:t>Stock Selection and Company Introduction</w:t>
      </w:r>
      <w:r>
        <w:t>:</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1279"/>
        <w:gridCol w:w="2255"/>
        <w:gridCol w:w="841"/>
        <w:gridCol w:w="4975"/>
      </w:tblGrid>
      <w:tr w:rsidR="00775282" w:rsidRPr="00735919" w14:paraId="6C2A92CC" w14:textId="77777777" w:rsidTr="00E02D26">
        <w:trPr>
          <w:trHeight w:val="432"/>
          <w:tblHeader/>
          <w:jc w:val="center"/>
        </w:trPr>
        <w:tc>
          <w:tcPr>
            <w:tcW w:w="0" w:type="auto"/>
            <w:vAlign w:val="center"/>
            <w:hideMark/>
          </w:tcPr>
          <w:p w14:paraId="29BDFFC4" w14:textId="77777777" w:rsidR="00775282" w:rsidRPr="00735919" w:rsidRDefault="00775282" w:rsidP="00E02D26">
            <w:pPr>
              <w:spacing w:after="0" w:line="240" w:lineRule="auto"/>
              <w:rPr>
                <w:rFonts w:ascii="Aptos" w:hAnsi="Aptos"/>
                <w:b/>
                <w:bCs/>
                <w:sz w:val="20"/>
                <w:szCs w:val="20"/>
              </w:rPr>
            </w:pPr>
            <w:r w:rsidRPr="00735919">
              <w:rPr>
                <w:rFonts w:ascii="Aptos" w:hAnsi="Aptos"/>
                <w:b/>
                <w:bCs/>
                <w:sz w:val="20"/>
                <w:szCs w:val="20"/>
              </w:rPr>
              <w:t>Sector</w:t>
            </w:r>
          </w:p>
        </w:tc>
        <w:tc>
          <w:tcPr>
            <w:tcW w:w="0" w:type="auto"/>
            <w:vAlign w:val="center"/>
            <w:hideMark/>
          </w:tcPr>
          <w:p w14:paraId="7909CB68" w14:textId="77777777" w:rsidR="00775282" w:rsidRPr="00735919" w:rsidRDefault="00775282" w:rsidP="00E02D26">
            <w:pPr>
              <w:spacing w:after="0" w:line="240" w:lineRule="auto"/>
              <w:rPr>
                <w:rFonts w:ascii="Aptos" w:hAnsi="Aptos"/>
                <w:b/>
                <w:bCs/>
                <w:sz w:val="20"/>
                <w:szCs w:val="20"/>
              </w:rPr>
            </w:pPr>
            <w:r w:rsidRPr="00735919">
              <w:rPr>
                <w:rFonts w:ascii="Aptos" w:hAnsi="Aptos"/>
                <w:b/>
                <w:bCs/>
                <w:sz w:val="20"/>
                <w:szCs w:val="20"/>
              </w:rPr>
              <w:t>Company</w:t>
            </w:r>
          </w:p>
        </w:tc>
        <w:tc>
          <w:tcPr>
            <w:tcW w:w="0" w:type="auto"/>
            <w:vAlign w:val="center"/>
            <w:hideMark/>
          </w:tcPr>
          <w:p w14:paraId="07CD4062" w14:textId="77777777" w:rsidR="00775282" w:rsidRPr="00735919" w:rsidRDefault="00775282" w:rsidP="00E02D26">
            <w:pPr>
              <w:spacing w:after="0" w:line="240" w:lineRule="auto"/>
              <w:rPr>
                <w:rFonts w:ascii="Aptos" w:hAnsi="Aptos"/>
                <w:b/>
                <w:bCs/>
                <w:sz w:val="20"/>
                <w:szCs w:val="20"/>
              </w:rPr>
            </w:pPr>
            <w:r w:rsidRPr="00735919">
              <w:rPr>
                <w:rFonts w:ascii="Aptos" w:hAnsi="Aptos"/>
                <w:b/>
                <w:bCs/>
                <w:sz w:val="20"/>
                <w:szCs w:val="20"/>
              </w:rPr>
              <w:t>Ticker</w:t>
            </w:r>
          </w:p>
        </w:tc>
        <w:tc>
          <w:tcPr>
            <w:tcW w:w="0" w:type="auto"/>
            <w:vAlign w:val="center"/>
            <w:hideMark/>
          </w:tcPr>
          <w:p w14:paraId="682B9CC8" w14:textId="77777777" w:rsidR="00775282" w:rsidRPr="00735919" w:rsidRDefault="00775282" w:rsidP="00E02D26">
            <w:pPr>
              <w:spacing w:after="0" w:line="240" w:lineRule="auto"/>
              <w:rPr>
                <w:rFonts w:ascii="Aptos" w:hAnsi="Aptos"/>
                <w:b/>
                <w:bCs/>
                <w:sz w:val="20"/>
                <w:szCs w:val="20"/>
              </w:rPr>
            </w:pPr>
            <w:r>
              <w:rPr>
                <w:rFonts w:ascii="Aptos" w:hAnsi="Aptos"/>
                <w:b/>
                <w:bCs/>
                <w:sz w:val="20"/>
                <w:szCs w:val="20"/>
              </w:rPr>
              <w:t>Introduction</w:t>
            </w:r>
          </w:p>
        </w:tc>
      </w:tr>
      <w:tr w:rsidR="00775282" w:rsidRPr="00735919" w14:paraId="1677786E" w14:textId="77777777" w:rsidTr="00E02D26">
        <w:trPr>
          <w:jc w:val="center"/>
        </w:trPr>
        <w:tc>
          <w:tcPr>
            <w:tcW w:w="0" w:type="auto"/>
            <w:vMerge w:val="restart"/>
            <w:vAlign w:val="center"/>
            <w:hideMark/>
          </w:tcPr>
          <w:p w14:paraId="384E9CC3" w14:textId="77777777" w:rsidR="00775282" w:rsidRPr="00735919" w:rsidRDefault="00775282" w:rsidP="00E02D26">
            <w:pPr>
              <w:spacing w:after="0" w:line="240" w:lineRule="auto"/>
              <w:rPr>
                <w:rFonts w:ascii="Aptos" w:hAnsi="Aptos"/>
                <w:sz w:val="20"/>
                <w:szCs w:val="20"/>
              </w:rPr>
            </w:pPr>
            <w:r w:rsidRPr="00735919">
              <w:rPr>
                <w:rFonts w:ascii="Aptos" w:hAnsi="Aptos"/>
                <w:b/>
                <w:bCs/>
                <w:sz w:val="20"/>
                <w:szCs w:val="20"/>
              </w:rPr>
              <w:t>Financials</w:t>
            </w:r>
          </w:p>
        </w:tc>
        <w:tc>
          <w:tcPr>
            <w:tcW w:w="0" w:type="auto"/>
            <w:vAlign w:val="center"/>
            <w:hideMark/>
          </w:tcPr>
          <w:p w14:paraId="3AE0BA09"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JPMorgan Chase &amp; Co.</w:t>
            </w:r>
          </w:p>
        </w:tc>
        <w:tc>
          <w:tcPr>
            <w:tcW w:w="0" w:type="auto"/>
            <w:vAlign w:val="center"/>
            <w:hideMark/>
          </w:tcPr>
          <w:p w14:paraId="5A4DB2E6"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JPM</w:t>
            </w:r>
          </w:p>
        </w:tc>
        <w:tc>
          <w:tcPr>
            <w:tcW w:w="0" w:type="auto"/>
            <w:vAlign w:val="center"/>
            <w:hideMark/>
          </w:tcPr>
          <w:p w14:paraId="71D51444"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Leading U.S. bank; large balance sheet sensitive to rate spreads.</w:t>
            </w:r>
          </w:p>
        </w:tc>
      </w:tr>
      <w:tr w:rsidR="00775282" w:rsidRPr="00735919" w14:paraId="1BAD6E4C" w14:textId="77777777" w:rsidTr="00E02D26">
        <w:trPr>
          <w:jc w:val="center"/>
        </w:trPr>
        <w:tc>
          <w:tcPr>
            <w:tcW w:w="0" w:type="auto"/>
            <w:vMerge/>
            <w:vAlign w:val="center"/>
            <w:hideMark/>
          </w:tcPr>
          <w:p w14:paraId="0053D407"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2AF9CFA2"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Bank of America Corp.</w:t>
            </w:r>
          </w:p>
        </w:tc>
        <w:tc>
          <w:tcPr>
            <w:tcW w:w="0" w:type="auto"/>
            <w:vAlign w:val="center"/>
            <w:hideMark/>
          </w:tcPr>
          <w:p w14:paraId="4C9F5172"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BAC</w:t>
            </w:r>
          </w:p>
        </w:tc>
        <w:tc>
          <w:tcPr>
            <w:tcW w:w="0" w:type="auto"/>
            <w:vAlign w:val="center"/>
            <w:hideMark/>
          </w:tcPr>
          <w:p w14:paraId="1704513E"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Retail and commercial exposure; strong net-interest income growth.</w:t>
            </w:r>
          </w:p>
        </w:tc>
      </w:tr>
      <w:tr w:rsidR="00775282" w:rsidRPr="00735919" w14:paraId="030F83E4" w14:textId="77777777" w:rsidTr="00E02D26">
        <w:trPr>
          <w:jc w:val="center"/>
        </w:trPr>
        <w:tc>
          <w:tcPr>
            <w:tcW w:w="0" w:type="auto"/>
            <w:vMerge/>
            <w:vAlign w:val="center"/>
            <w:hideMark/>
          </w:tcPr>
          <w:p w14:paraId="676D2AFB"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6216C310"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Wells Fargo &amp; Co.</w:t>
            </w:r>
          </w:p>
        </w:tc>
        <w:tc>
          <w:tcPr>
            <w:tcW w:w="0" w:type="auto"/>
            <w:vAlign w:val="center"/>
            <w:hideMark/>
          </w:tcPr>
          <w:p w14:paraId="1E461B86"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WFC</w:t>
            </w:r>
          </w:p>
        </w:tc>
        <w:tc>
          <w:tcPr>
            <w:tcW w:w="0" w:type="auto"/>
            <w:vAlign w:val="center"/>
            <w:hideMark/>
          </w:tcPr>
          <w:p w14:paraId="029AADF0"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Major mortgage lender; affected by consumer-rate changes.</w:t>
            </w:r>
          </w:p>
        </w:tc>
      </w:tr>
      <w:tr w:rsidR="00775282" w:rsidRPr="00735919" w14:paraId="24781156" w14:textId="77777777" w:rsidTr="00E02D26">
        <w:trPr>
          <w:jc w:val="center"/>
        </w:trPr>
        <w:tc>
          <w:tcPr>
            <w:tcW w:w="0" w:type="auto"/>
            <w:vMerge/>
            <w:vAlign w:val="center"/>
            <w:hideMark/>
          </w:tcPr>
          <w:p w14:paraId="0543820C"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09E0C406"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Goldman Sachs Group Inc.</w:t>
            </w:r>
          </w:p>
        </w:tc>
        <w:tc>
          <w:tcPr>
            <w:tcW w:w="0" w:type="auto"/>
            <w:vAlign w:val="center"/>
            <w:hideMark/>
          </w:tcPr>
          <w:p w14:paraId="0ECCD8D6"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GS</w:t>
            </w:r>
          </w:p>
        </w:tc>
        <w:tc>
          <w:tcPr>
            <w:tcW w:w="0" w:type="auto"/>
            <w:vAlign w:val="center"/>
            <w:hideMark/>
          </w:tcPr>
          <w:p w14:paraId="63A74E6A"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Investment bank: earnings tied to market and policy cycles.</w:t>
            </w:r>
          </w:p>
        </w:tc>
      </w:tr>
      <w:tr w:rsidR="00775282" w:rsidRPr="00735919" w14:paraId="0AC75A7C" w14:textId="77777777" w:rsidTr="00E02D26">
        <w:trPr>
          <w:jc w:val="center"/>
        </w:trPr>
        <w:tc>
          <w:tcPr>
            <w:tcW w:w="0" w:type="auto"/>
            <w:vMerge/>
            <w:vAlign w:val="center"/>
            <w:hideMark/>
          </w:tcPr>
          <w:p w14:paraId="2D3DE3B7"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3A55A44B"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BlackRock Inc.</w:t>
            </w:r>
          </w:p>
        </w:tc>
        <w:tc>
          <w:tcPr>
            <w:tcW w:w="0" w:type="auto"/>
            <w:vAlign w:val="center"/>
            <w:hideMark/>
          </w:tcPr>
          <w:p w14:paraId="028CAFA9"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BLK</w:t>
            </w:r>
          </w:p>
        </w:tc>
        <w:tc>
          <w:tcPr>
            <w:tcW w:w="0" w:type="auto"/>
            <w:vAlign w:val="center"/>
            <w:hideMark/>
          </w:tcPr>
          <w:p w14:paraId="6A3B94C6"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Global asset manager; reflects investor flows responding to rate expectations.</w:t>
            </w:r>
          </w:p>
        </w:tc>
      </w:tr>
      <w:tr w:rsidR="00775282" w:rsidRPr="00735919" w14:paraId="5EE47ACD" w14:textId="77777777" w:rsidTr="00E02D26">
        <w:trPr>
          <w:jc w:val="center"/>
        </w:trPr>
        <w:tc>
          <w:tcPr>
            <w:tcW w:w="0" w:type="auto"/>
            <w:vMerge w:val="restart"/>
            <w:vAlign w:val="center"/>
            <w:hideMark/>
          </w:tcPr>
          <w:p w14:paraId="1CE6F667" w14:textId="77777777" w:rsidR="00775282" w:rsidRPr="00735919" w:rsidRDefault="00775282" w:rsidP="00E02D26">
            <w:pPr>
              <w:spacing w:after="0" w:line="240" w:lineRule="auto"/>
              <w:rPr>
                <w:rFonts w:ascii="Aptos" w:hAnsi="Aptos"/>
                <w:sz w:val="20"/>
                <w:szCs w:val="20"/>
              </w:rPr>
            </w:pPr>
            <w:r w:rsidRPr="00735919">
              <w:rPr>
                <w:rFonts w:ascii="Aptos" w:hAnsi="Aptos"/>
                <w:b/>
                <w:bCs/>
                <w:sz w:val="20"/>
                <w:szCs w:val="20"/>
              </w:rPr>
              <w:t>Real Estate</w:t>
            </w:r>
          </w:p>
        </w:tc>
        <w:tc>
          <w:tcPr>
            <w:tcW w:w="0" w:type="auto"/>
            <w:vAlign w:val="center"/>
            <w:hideMark/>
          </w:tcPr>
          <w:p w14:paraId="63879F76"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Prologis Inc.</w:t>
            </w:r>
          </w:p>
        </w:tc>
        <w:tc>
          <w:tcPr>
            <w:tcW w:w="0" w:type="auto"/>
            <w:vAlign w:val="center"/>
            <w:hideMark/>
          </w:tcPr>
          <w:p w14:paraId="64FD6E19"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PLD</w:t>
            </w:r>
          </w:p>
        </w:tc>
        <w:tc>
          <w:tcPr>
            <w:tcW w:w="0" w:type="auto"/>
            <w:vAlign w:val="center"/>
            <w:hideMark/>
          </w:tcPr>
          <w:p w14:paraId="69759510"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Industrial/logistics REIT; valuations linked to financing costs.</w:t>
            </w:r>
          </w:p>
        </w:tc>
      </w:tr>
      <w:tr w:rsidR="00775282" w:rsidRPr="00735919" w14:paraId="163C1DBE" w14:textId="77777777" w:rsidTr="00E02D26">
        <w:trPr>
          <w:jc w:val="center"/>
        </w:trPr>
        <w:tc>
          <w:tcPr>
            <w:tcW w:w="0" w:type="auto"/>
            <w:vMerge/>
            <w:vAlign w:val="center"/>
            <w:hideMark/>
          </w:tcPr>
          <w:p w14:paraId="7E47EB34"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281716D7"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American Tower Corp.</w:t>
            </w:r>
          </w:p>
        </w:tc>
        <w:tc>
          <w:tcPr>
            <w:tcW w:w="0" w:type="auto"/>
            <w:vAlign w:val="center"/>
            <w:hideMark/>
          </w:tcPr>
          <w:p w14:paraId="18D3EDC8"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AMT</w:t>
            </w:r>
          </w:p>
        </w:tc>
        <w:tc>
          <w:tcPr>
            <w:tcW w:w="0" w:type="auto"/>
            <w:vAlign w:val="center"/>
            <w:hideMark/>
          </w:tcPr>
          <w:p w14:paraId="1555C390"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Telecom infrastructure REIT; capital-intensive, debt-sensitive model.</w:t>
            </w:r>
          </w:p>
        </w:tc>
      </w:tr>
      <w:tr w:rsidR="00775282" w:rsidRPr="00735919" w14:paraId="5B552552" w14:textId="77777777" w:rsidTr="00E02D26">
        <w:trPr>
          <w:jc w:val="center"/>
        </w:trPr>
        <w:tc>
          <w:tcPr>
            <w:tcW w:w="0" w:type="auto"/>
            <w:vMerge/>
            <w:vAlign w:val="center"/>
            <w:hideMark/>
          </w:tcPr>
          <w:p w14:paraId="1B4DBEDE"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10A01102"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Simon Property Group Inc.</w:t>
            </w:r>
          </w:p>
        </w:tc>
        <w:tc>
          <w:tcPr>
            <w:tcW w:w="0" w:type="auto"/>
            <w:vAlign w:val="center"/>
            <w:hideMark/>
          </w:tcPr>
          <w:p w14:paraId="67B942B4"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SPG</w:t>
            </w:r>
          </w:p>
        </w:tc>
        <w:tc>
          <w:tcPr>
            <w:tcW w:w="0" w:type="auto"/>
            <w:vAlign w:val="center"/>
            <w:hideMark/>
          </w:tcPr>
          <w:p w14:paraId="4940F072"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Retail REIT. Interest rates influence consumer activity and property values.</w:t>
            </w:r>
          </w:p>
        </w:tc>
      </w:tr>
      <w:tr w:rsidR="00775282" w:rsidRPr="00735919" w14:paraId="72339F88" w14:textId="77777777" w:rsidTr="00E02D26">
        <w:trPr>
          <w:jc w:val="center"/>
        </w:trPr>
        <w:tc>
          <w:tcPr>
            <w:tcW w:w="0" w:type="auto"/>
            <w:vMerge/>
            <w:vAlign w:val="center"/>
            <w:hideMark/>
          </w:tcPr>
          <w:p w14:paraId="6C85A7CF"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5E83950D"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AvalonBay Communities Inc.</w:t>
            </w:r>
          </w:p>
        </w:tc>
        <w:tc>
          <w:tcPr>
            <w:tcW w:w="0" w:type="auto"/>
            <w:vAlign w:val="center"/>
            <w:hideMark/>
          </w:tcPr>
          <w:p w14:paraId="78FA0071"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AVB</w:t>
            </w:r>
          </w:p>
        </w:tc>
        <w:tc>
          <w:tcPr>
            <w:tcW w:w="0" w:type="auto"/>
            <w:vAlign w:val="center"/>
            <w:hideMark/>
          </w:tcPr>
          <w:p w14:paraId="29EFDE65"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Residential REIT. Higher mortgage rates shift demand toward rentals.</w:t>
            </w:r>
          </w:p>
        </w:tc>
      </w:tr>
      <w:tr w:rsidR="00775282" w:rsidRPr="00735919" w14:paraId="3993790F" w14:textId="77777777" w:rsidTr="00E02D26">
        <w:trPr>
          <w:jc w:val="center"/>
        </w:trPr>
        <w:tc>
          <w:tcPr>
            <w:tcW w:w="0" w:type="auto"/>
            <w:vMerge/>
            <w:vAlign w:val="center"/>
            <w:hideMark/>
          </w:tcPr>
          <w:p w14:paraId="417C1240" w14:textId="77777777" w:rsidR="00775282" w:rsidRPr="00735919" w:rsidRDefault="00775282" w:rsidP="00E02D26">
            <w:pPr>
              <w:spacing w:after="0" w:line="240" w:lineRule="auto"/>
              <w:rPr>
                <w:rFonts w:ascii="Aptos" w:hAnsi="Aptos"/>
                <w:sz w:val="20"/>
                <w:szCs w:val="20"/>
              </w:rPr>
            </w:pPr>
          </w:p>
        </w:tc>
        <w:tc>
          <w:tcPr>
            <w:tcW w:w="0" w:type="auto"/>
            <w:vAlign w:val="center"/>
            <w:hideMark/>
          </w:tcPr>
          <w:p w14:paraId="4FD5062E"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Realty Income Corp.</w:t>
            </w:r>
          </w:p>
        </w:tc>
        <w:tc>
          <w:tcPr>
            <w:tcW w:w="0" w:type="auto"/>
            <w:vAlign w:val="center"/>
            <w:hideMark/>
          </w:tcPr>
          <w:p w14:paraId="3A5ADFE3"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O</w:t>
            </w:r>
          </w:p>
        </w:tc>
        <w:tc>
          <w:tcPr>
            <w:tcW w:w="0" w:type="auto"/>
            <w:vAlign w:val="center"/>
            <w:hideMark/>
          </w:tcPr>
          <w:p w14:paraId="4B4BE4C0" w14:textId="77777777" w:rsidR="00775282" w:rsidRPr="00735919" w:rsidRDefault="00775282" w:rsidP="00E02D26">
            <w:pPr>
              <w:spacing w:after="0" w:line="240" w:lineRule="auto"/>
              <w:rPr>
                <w:rFonts w:ascii="Aptos" w:hAnsi="Aptos"/>
                <w:sz w:val="20"/>
                <w:szCs w:val="20"/>
              </w:rPr>
            </w:pPr>
            <w:r w:rsidRPr="00735919">
              <w:rPr>
                <w:rFonts w:ascii="Aptos" w:hAnsi="Aptos"/>
                <w:sz w:val="20"/>
                <w:szCs w:val="20"/>
              </w:rPr>
              <w:t>High-dividend REIT. Performance tracks Treasury yields closely.</w:t>
            </w:r>
          </w:p>
        </w:tc>
      </w:tr>
    </w:tbl>
    <w:p w14:paraId="12E1230A" w14:textId="77777777" w:rsidR="00936BEC" w:rsidRPr="00BA72F9" w:rsidRDefault="00936BEC" w:rsidP="00775282">
      <w:pPr>
        <w:ind w:left="360"/>
      </w:pPr>
    </w:p>
    <w:sectPr w:rsidR="00936BEC" w:rsidRPr="00BA72F9" w:rsidSect="00BC5A36">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B9028" w14:textId="77777777" w:rsidR="00760128" w:rsidRDefault="00760128" w:rsidP="00BC5A36">
      <w:pPr>
        <w:spacing w:after="0" w:line="240" w:lineRule="auto"/>
      </w:pPr>
      <w:r>
        <w:separator/>
      </w:r>
    </w:p>
  </w:endnote>
  <w:endnote w:type="continuationSeparator" w:id="0">
    <w:p w14:paraId="572DE902" w14:textId="77777777" w:rsidR="00760128" w:rsidRDefault="00760128" w:rsidP="00BC5A36">
      <w:pPr>
        <w:spacing w:after="0" w:line="240" w:lineRule="auto"/>
      </w:pPr>
      <w:r>
        <w:continuationSeparator/>
      </w:r>
    </w:p>
  </w:endnote>
  <w:endnote w:type="continuationNotice" w:id="1">
    <w:p w14:paraId="12CC1DC6" w14:textId="77777777" w:rsidR="00760128" w:rsidRDefault="007601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8B87" w14:textId="7C26B9CD" w:rsidR="00BC5A36" w:rsidRDefault="00BC5A36" w:rsidP="00BC5A36">
    <w:pPr>
      <w:pStyle w:val="Footer"/>
      <w:jc w:val="center"/>
    </w:pPr>
    <w:r>
      <w:rPr>
        <w:noProof/>
      </w:rPr>
      <w:drawing>
        <wp:inline distT="0" distB="0" distL="0" distR="0" wp14:anchorId="74B2F05F" wp14:editId="0FBC52F1">
          <wp:extent cx="274320" cy="205740"/>
          <wp:effectExtent l="0" t="0" r="0" b="0"/>
          <wp:docPr id="1423250224" name="Picture 1" descr="A logo with orang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74320" cy="20574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92DA" w14:textId="23140F7B" w:rsidR="00BC5A36" w:rsidRDefault="00BC5A36" w:rsidP="00563C81">
    <w:pPr>
      <w:pStyle w:val="Footer"/>
      <w:jc w:val="center"/>
    </w:pPr>
    <w:r w:rsidRPr="00941D8E">
      <w:rPr>
        <w:noProof/>
      </w:rPr>
      <w:drawing>
        <wp:inline distT="0" distB="0" distL="0" distR="0" wp14:anchorId="53A29FCC" wp14:editId="1AC1EC37">
          <wp:extent cx="4572000" cy="403351"/>
          <wp:effectExtent l="0" t="0" r="0" b="3175"/>
          <wp:docPr id="70190574" name="Picture 1" descr="A black background with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7541" name="Picture 1" descr="A black background with orange letters&#10;&#10;Description automatically generated"/>
                  <pic:cNvPicPr/>
                </pic:nvPicPr>
                <pic:blipFill rotWithShape="1">
                  <a:blip r:embed="rId1"/>
                  <a:srcRect t="25759" b="23488"/>
                  <a:stretch/>
                </pic:blipFill>
                <pic:spPr bwMode="auto">
                  <a:xfrm>
                    <a:off x="0" y="0"/>
                    <a:ext cx="4572000" cy="40335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DAF0" w14:textId="77777777" w:rsidR="00760128" w:rsidRDefault="00760128" w:rsidP="00BC5A36">
      <w:pPr>
        <w:spacing w:after="0" w:line="240" w:lineRule="auto"/>
      </w:pPr>
      <w:r>
        <w:separator/>
      </w:r>
    </w:p>
  </w:footnote>
  <w:footnote w:type="continuationSeparator" w:id="0">
    <w:p w14:paraId="226F3369" w14:textId="77777777" w:rsidR="00760128" w:rsidRDefault="00760128" w:rsidP="00BC5A36">
      <w:pPr>
        <w:spacing w:after="0" w:line="240" w:lineRule="auto"/>
      </w:pPr>
      <w:r>
        <w:continuationSeparator/>
      </w:r>
    </w:p>
  </w:footnote>
  <w:footnote w:type="continuationNotice" w:id="1">
    <w:p w14:paraId="60F9691B" w14:textId="77777777" w:rsidR="00760128" w:rsidRDefault="0076012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65B"/>
    <w:multiLevelType w:val="multilevel"/>
    <w:tmpl w:val="ED2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A65C5"/>
    <w:multiLevelType w:val="hybridMultilevel"/>
    <w:tmpl w:val="ED8C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D5671"/>
    <w:multiLevelType w:val="hybridMultilevel"/>
    <w:tmpl w:val="8FF08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814B7"/>
    <w:multiLevelType w:val="multilevel"/>
    <w:tmpl w:val="C7CA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34055"/>
    <w:multiLevelType w:val="multilevel"/>
    <w:tmpl w:val="9F1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44751"/>
    <w:multiLevelType w:val="multilevel"/>
    <w:tmpl w:val="7754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543A7"/>
    <w:multiLevelType w:val="multilevel"/>
    <w:tmpl w:val="60E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F795A"/>
    <w:multiLevelType w:val="multilevel"/>
    <w:tmpl w:val="A492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7417A"/>
    <w:multiLevelType w:val="hybridMultilevel"/>
    <w:tmpl w:val="4008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7A6A97"/>
    <w:multiLevelType w:val="hybridMultilevel"/>
    <w:tmpl w:val="BFF8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F5A4C"/>
    <w:multiLevelType w:val="hybridMultilevel"/>
    <w:tmpl w:val="C0A40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630573"/>
    <w:multiLevelType w:val="multilevel"/>
    <w:tmpl w:val="9AE24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B60D3"/>
    <w:multiLevelType w:val="hybridMultilevel"/>
    <w:tmpl w:val="88C2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967D47"/>
    <w:multiLevelType w:val="hybridMultilevel"/>
    <w:tmpl w:val="AF328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B9E1E54"/>
    <w:multiLevelType w:val="multilevel"/>
    <w:tmpl w:val="8C6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273CC"/>
    <w:multiLevelType w:val="hybridMultilevel"/>
    <w:tmpl w:val="4948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6F23C1"/>
    <w:multiLevelType w:val="hybridMultilevel"/>
    <w:tmpl w:val="5902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51772"/>
    <w:multiLevelType w:val="hybridMultilevel"/>
    <w:tmpl w:val="1CE61BEA"/>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8" w15:restartNumberingAfterBreak="0">
    <w:nsid w:val="5A565272"/>
    <w:multiLevelType w:val="hybridMultilevel"/>
    <w:tmpl w:val="2D8843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602C3512"/>
    <w:multiLevelType w:val="multilevel"/>
    <w:tmpl w:val="724E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81E5D"/>
    <w:multiLevelType w:val="hybridMultilevel"/>
    <w:tmpl w:val="1398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4F5303"/>
    <w:multiLevelType w:val="hybridMultilevel"/>
    <w:tmpl w:val="DF1A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1C18A2"/>
    <w:multiLevelType w:val="multilevel"/>
    <w:tmpl w:val="8CA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A539A"/>
    <w:multiLevelType w:val="multilevel"/>
    <w:tmpl w:val="F8D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52CC1"/>
    <w:multiLevelType w:val="hybridMultilevel"/>
    <w:tmpl w:val="570E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1F5A56"/>
    <w:multiLevelType w:val="hybridMultilevel"/>
    <w:tmpl w:val="18FA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655964"/>
    <w:multiLevelType w:val="multilevel"/>
    <w:tmpl w:val="2226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A0CC8"/>
    <w:multiLevelType w:val="hybridMultilevel"/>
    <w:tmpl w:val="942E3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901558"/>
    <w:multiLevelType w:val="hybridMultilevel"/>
    <w:tmpl w:val="12EE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558718">
    <w:abstractNumId w:val="27"/>
  </w:num>
  <w:num w:numId="2" w16cid:durableId="724835801">
    <w:abstractNumId w:val="8"/>
  </w:num>
  <w:num w:numId="3" w16cid:durableId="1259099203">
    <w:abstractNumId w:val="15"/>
  </w:num>
  <w:num w:numId="4" w16cid:durableId="1685789257">
    <w:abstractNumId w:val="2"/>
  </w:num>
  <w:num w:numId="5" w16cid:durableId="1604190410">
    <w:abstractNumId w:val="28"/>
  </w:num>
  <w:num w:numId="6" w16cid:durableId="135612626">
    <w:abstractNumId w:val="24"/>
  </w:num>
  <w:num w:numId="7" w16cid:durableId="730544821">
    <w:abstractNumId w:val="21"/>
  </w:num>
  <w:num w:numId="8" w16cid:durableId="1604266265">
    <w:abstractNumId w:val="20"/>
  </w:num>
  <w:num w:numId="9" w16cid:durableId="876552847">
    <w:abstractNumId w:val="25"/>
  </w:num>
  <w:num w:numId="10" w16cid:durableId="1805540650">
    <w:abstractNumId w:val="18"/>
  </w:num>
  <w:num w:numId="11" w16cid:durableId="155997057">
    <w:abstractNumId w:val="10"/>
  </w:num>
  <w:num w:numId="12" w16cid:durableId="976107548">
    <w:abstractNumId w:val="16"/>
  </w:num>
  <w:num w:numId="13" w16cid:durableId="88430407">
    <w:abstractNumId w:val="1"/>
  </w:num>
  <w:num w:numId="14" w16cid:durableId="1949850356">
    <w:abstractNumId w:val="14"/>
  </w:num>
  <w:num w:numId="15" w16cid:durableId="765155368">
    <w:abstractNumId w:val="0"/>
  </w:num>
  <w:num w:numId="16" w16cid:durableId="27918599">
    <w:abstractNumId w:val="19"/>
  </w:num>
  <w:num w:numId="17" w16cid:durableId="1522819629">
    <w:abstractNumId w:val="22"/>
  </w:num>
  <w:num w:numId="18" w16cid:durableId="275799406">
    <w:abstractNumId w:val="11"/>
  </w:num>
  <w:num w:numId="19" w16cid:durableId="712929338">
    <w:abstractNumId w:val="4"/>
  </w:num>
  <w:num w:numId="20" w16cid:durableId="761798212">
    <w:abstractNumId w:val="17"/>
  </w:num>
  <w:num w:numId="21" w16cid:durableId="1507985052">
    <w:abstractNumId w:val="7"/>
  </w:num>
  <w:num w:numId="22" w16cid:durableId="1676302128">
    <w:abstractNumId w:val="3"/>
  </w:num>
  <w:num w:numId="23" w16cid:durableId="224724564">
    <w:abstractNumId w:val="23"/>
  </w:num>
  <w:num w:numId="24" w16cid:durableId="1829587277">
    <w:abstractNumId w:val="26"/>
  </w:num>
  <w:num w:numId="25" w16cid:durableId="1469282249">
    <w:abstractNumId w:val="5"/>
  </w:num>
  <w:num w:numId="26" w16cid:durableId="529339861">
    <w:abstractNumId w:val="6"/>
  </w:num>
  <w:num w:numId="27" w16cid:durableId="684984298">
    <w:abstractNumId w:val="9"/>
  </w:num>
  <w:num w:numId="28" w16cid:durableId="940455650">
    <w:abstractNumId w:val="13"/>
  </w:num>
  <w:num w:numId="29" w16cid:durableId="81221209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8AB"/>
    <w:rsid w:val="0000139C"/>
    <w:rsid w:val="00002C57"/>
    <w:rsid w:val="00004034"/>
    <w:rsid w:val="00006505"/>
    <w:rsid w:val="00010E8F"/>
    <w:rsid w:val="00011778"/>
    <w:rsid w:val="0001352F"/>
    <w:rsid w:val="00013B59"/>
    <w:rsid w:val="0001528A"/>
    <w:rsid w:val="000203E9"/>
    <w:rsid w:val="00021EC6"/>
    <w:rsid w:val="00022988"/>
    <w:rsid w:val="00024A96"/>
    <w:rsid w:val="00026D8E"/>
    <w:rsid w:val="00033478"/>
    <w:rsid w:val="00034B54"/>
    <w:rsid w:val="00036060"/>
    <w:rsid w:val="0003639E"/>
    <w:rsid w:val="00037002"/>
    <w:rsid w:val="000374DF"/>
    <w:rsid w:val="00037B0B"/>
    <w:rsid w:val="00037CB9"/>
    <w:rsid w:val="00037D21"/>
    <w:rsid w:val="0004002D"/>
    <w:rsid w:val="00041283"/>
    <w:rsid w:val="00042732"/>
    <w:rsid w:val="0004394D"/>
    <w:rsid w:val="00043C74"/>
    <w:rsid w:val="00044BE2"/>
    <w:rsid w:val="00045408"/>
    <w:rsid w:val="00052064"/>
    <w:rsid w:val="00052F6B"/>
    <w:rsid w:val="0005411F"/>
    <w:rsid w:val="00055B17"/>
    <w:rsid w:val="00057A72"/>
    <w:rsid w:val="000611A3"/>
    <w:rsid w:val="000616C9"/>
    <w:rsid w:val="00061F42"/>
    <w:rsid w:val="00061F87"/>
    <w:rsid w:val="000647FE"/>
    <w:rsid w:val="00064A3B"/>
    <w:rsid w:val="000652C0"/>
    <w:rsid w:val="0006693B"/>
    <w:rsid w:val="00067170"/>
    <w:rsid w:val="000709D4"/>
    <w:rsid w:val="00072120"/>
    <w:rsid w:val="00072AC3"/>
    <w:rsid w:val="00072B23"/>
    <w:rsid w:val="0007392B"/>
    <w:rsid w:val="00074DA8"/>
    <w:rsid w:val="00082DEB"/>
    <w:rsid w:val="000846CB"/>
    <w:rsid w:val="000846E3"/>
    <w:rsid w:val="00084A1E"/>
    <w:rsid w:val="00084B1F"/>
    <w:rsid w:val="00085ACF"/>
    <w:rsid w:val="000865DF"/>
    <w:rsid w:val="00086AD4"/>
    <w:rsid w:val="0009349A"/>
    <w:rsid w:val="00093921"/>
    <w:rsid w:val="0009481A"/>
    <w:rsid w:val="00094923"/>
    <w:rsid w:val="000951EE"/>
    <w:rsid w:val="0009637F"/>
    <w:rsid w:val="000A1260"/>
    <w:rsid w:val="000A1AFC"/>
    <w:rsid w:val="000A44DE"/>
    <w:rsid w:val="000A68B9"/>
    <w:rsid w:val="000A6F39"/>
    <w:rsid w:val="000A7269"/>
    <w:rsid w:val="000A7FD2"/>
    <w:rsid w:val="000B1E95"/>
    <w:rsid w:val="000B25A8"/>
    <w:rsid w:val="000B2B23"/>
    <w:rsid w:val="000B31DF"/>
    <w:rsid w:val="000B33D9"/>
    <w:rsid w:val="000B3935"/>
    <w:rsid w:val="000B39CF"/>
    <w:rsid w:val="000B4105"/>
    <w:rsid w:val="000B65E0"/>
    <w:rsid w:val="000B6936"/>
    <w:rsid w:val="000B7165"/>
    <w:rsid w:val="000B73E0"/>
    <w:rsid w:val="000B78D1"/>
    <w:rsid w:val="000B7B41"/>
    <w:rsid w:val="000B7D55"/>
    <w:rsid w:val="000B7EE2"/>
    <w:rsid w:val="000C45DD"/>
    <w:rsid w:val="000C4B19"/>
    <w:rsid w:val="000C738E"/>
    <w:rsid w:val="000C75ED"/>
    <w:rsid w:val="000D08D8"/>
    <w:rsid w:val="000D0B7C"/>
    <w:rsid w:val="000D3503"/>
    <w:rsid w:val="000D507C"/>
    <w:rsid w:val="000E2778"/>
    <w:rsid w:val="000E3215"/>
    <w:rsid w:val="000E3775"/>
    <w:rsid w:val="000E4E74"/>
    <w:rsid w:val="000E53DD"/>
    <w:rsid w:val="000E5811"/>
    <w:rsid w:val="000E6FC5"/>
    <w:rsid w:val="000E7F9E"/>
    <w:rsid w:val="000F0E03"/>
    <w:rsid w:val="000F25D6"/>
    <w:rsid w:val="000F439F"/>
    <w:rsid w:val="000F5B78"/>
    <w:rsid w:val="000F7BA8"/>
    <w:rsid w:val="00101094"/>
    <w:rsid w:val="0010214D"/>
    <w:rsid w:val="001040C6"/>
    <w:rsid w:val="001046CD"/>
    <w:rsid w:val="00105489"/>
    <w:rsid w:val="00105F16"/>
    <w:rsid w:val="00106524"/>
    <w:rsid w:val="00111D36"/>
    <w:rsid w:val="00112908"/>
    <w:rsid w:val="001150F3"/>
    <w:rsid w:val="00116778"/>
    <w:rsid w:val="00117FAC"/>
    <w:rsid w:val="00120402"/>
    <w:rsid w:val="001207A6"/>
    <w:rsid w:val="00121890"/>
    <w:rsid w:val="0012449C"/>
    <w:rsid w:val="00124DF7"/>
    <w:rsid w:val="00131768"/>
    <w:rsid w:val="001317A1"/>
    <w:rsid w:val="00132409"/>
    <w:rsid w:val="00132D4C"/>
    <w:rsid w:val="001334DD"/>
    <w:rsid w:val="00134E36"/>
    <w:rsid w:val="00137D54"/>
    <w:rsid w:val="00137F53"/>
    <w:rsid w:val="001402DF"/>
    <w:rsid w:val="00140DF5"/>
    <w:rsid w:val="00142305"/>
    <w:rsid w:val="001428E1"/>
    <w:rsid w:val="00144142"/>
    <w:rsid w:val="00144A42"/>
    <w:rsid w:val="00145EFC"/>
    <w:rsid w:val="001464D5"/>
    <w:rsid w:val="00146905"/>
    <w:rsid w:val="00150332"/>
    <w:rsid w:val="001514C6"/>
    <w:rsid w:val="001546E1"/>
    <w:rsid w:val="001562AF"/>
    <w:rsid w:val="00156CEC"/>
    <w:rsid w:val="00160281"/>
    <w:rsid w:val="00160CAB"/>
    <w:rsid w:val="0016116D"/>
    <w:rsid w:val="0016237A"/>
    <w:rsid w:val="00164C05"/>
    <w:rsid w:val="00164DB6"/>
    <w:rsid w:val="00165643"/>
    <w:rsid w:val="001720ED"/>
    <w:rsid w:val="0017357D"/>
    <w:rsid w:val="00174DB2"/>
    <w:rsid w:val="0017516C"/>
    <w:rsid w:val="00182A66"/>
    <w:rsid w:val="001857D7"/>
    <w:rsid w:val="00185B5A"/>
    <w:rsid w:val="00187A94"/>
    <w:rsid w:val="001910B7"/>
    <w:rsid w:val="001910F9"/>
    <w:rsid w:val="00191CEA"/>
    <w:rsid w:val="00193227"/>
    <w:rsid w:val="001942A9"/>
    <w:rsid w:val="001956FF"/>
    <w:rsid w:val="00195E33"/>
    <w:rsid w:val="00197500"/>
    <w:rsid w:val="00197FA4"/>
    <w:rsid w:val="001A0AAF"/>
    <w:rsid w:val="001A121F"/>
    <w:rsid w:val="001A1782"/>
    <w:rsid w:val="001A1826"/>
    <w:rsid w:val="001A5E59"/>
    <w:rsid w:val="001B0722"/>
    <w:rsid w:val="001B4556"/>
    <w:rsid w:val="001B6480"/>
    <w:rsid w:val="001B70B1"/>
    <w:rsid w:val="001C1B86"/>
    <w:rsid w:val="001C1C84"/>
    <w:rsid w:val="001C1E7B"/>
    <w:rsid w:val="001C343E"/>
    <w:rsid w:val="001C356F"/>
    <w:rsid w:val="001C4205"/>
    <w:rsid w:val="001C459C"/>
    <w:rsid w:val="001C759C"/>
    <w:rsid w:val="001D552A"/>
    <w:rsid w:val="001D5D8D"/>
    <w:rsid w:val="001D613D"/>
    <w:rsid w:val="001D6D97"/>
    <w:rsid w:val="001E0AA6"/>
    <w:rsid w:val="001E0AAA"/>
    <w:rsid w:val="001E410E"/>
    <w:rsid w:val="001E65C1"/>
    <w:rsid w:val="001E721A"/>
    <w:rsid w:val="001E7D51"/>
    <w:rsid w:val="001F1235"/>
    <w:rsid w:val="001F1593"/>
    <w:rsid w:val="001F1A02"/>
    <w:rsid w:val="001F2F8E"/>
    <w:rsid w:val="002005AE"/>
    <w:rsid w:val="00201DD2"/>
    <w:rsid w:val="002020DE"/>
    <w:rsid w:val="00205258"/>
    <w:rsid w:val="00211EE0"/>
    <w:rsid w:val="0021285D"/>
    <w:rsid w:val="00212BEF"/>
    <w:rsid w:val="00216813"/>
    <w:rsid w:val="0022003D"/>
    <w:rsid w:val="00221DD9"/>
    <w:rsid w:val="00221FA2"/>
    <w:rsid w:val="0022216C"/>
    <w:rsid w:val="00224060"/>
    <w:rsid w:val="00224E1D"/>
    <w:rsid w:val="002254ED"/>
    <w:rsid w:val="002259A5"/>
    <w:rsid w:val="00225D4D"/>
    <w:rsid w:val="00231999"/>
    <w:rsid w:val="00231B7B"/>
    <w:rsid w:val="0023399A"/>
    <w:rsid w:val="00233B86"/>
    <w:rsid w:val="00235AE9"/>
    <w:rsid w:val="002378B6"/>
    <w:rsid w:val="00241EC3"/>
    <w:rsid w:val="002424F1"/>
    <w:rsid w:val="0024283B"/>
    <w:rsid w:val="0024328F"/>
    <w:rsid w:val="00244622"/>
    <w:rsid w:val="002447AE"/>
    <w:rsid w:val="00246DD8"/>
    <w:rsid w:val="00247ABD"/>
    <w:rsid w:val="0025288C"/>
    <w:rsid w:val="00252A39"/>
    <w:rsid w:val="00252F0C"/>
    <w:rsid w:val="00252FAF"/>
    <w:rsid w:val="002539DB"/>
    <w:rsid w:val="00254EC8"/>
    <w:rsid w:val="00256E7A"/>
    <w:rsid w:val="0025761A"/>
    <w:rsid w:val="00257AB0"/>
    <w:rsid w:val="0026096C"/>
    <w:rsid w:val="00261587"/>
    <w:rsid w:val="00262054"/>
    <w:rsid w:val="002628CE"/>
    <w:rsid w:val="002631E8"/>
    <w:rsid w:val="002637FE"/>
    <w:rsid w:val="00263CB5"/>
    <w:rsid w:val="00264B59"/>
    <w:rsid w:val="00265A49"/>
    <w:rsid w:val="002669E1"/>
    <w:rsid w:val="00272FAE"/>
    <w:rsid w:val="00273F5D"/>
    <w:rsid w:val="00274BCE"/>
    <w:rsid w:val="00275298"/>
    <w:rsid w:val="00280ACE"/>
    <w:rsid w:val="002828C5"/>
    <w:rsid w:val="002859B4"/>
    <w:rsid w:val="00287DB8"/>
    <w:rsid w:val="002947DF"/>
    <w:rsid w:val="00294B5F"/>
    <w:rsid w:val="002957AB"/>
    <w:rsid w:val="002A276A"/>
    <w:rsid w:val="002A2E2B"/>
    <w:rsid w:val="002A452D"/>
    <w:rsid w:val="002A4B00"/>
    <w:rsid w:val="002A55C5"/>
    <w:rsid w:val="002A5B71"/>
    <w:rsid w:val="002A608A"/>
    <w:rsid w:val="002A65B1"/>
    <w:rsid w:val="002A7AF3"/>
    <w:rsid w:val="002B0397"/>
    <w:rsid w:val="002B1221"/>
    <w:rsid w:val="002B1236"/>
    <w:rsid w:val="002B181D"/>
    <w:rsid w:val="002B2853"/>
    <w:rsid w:val="002B2C06"/>
    <w:rsid w:val="002B3794"/>
    <w:rsid w:val="002C0368"/>
    <w:rsid w:val="002C2910"/>
    <w:rsid w:val="002C4179"/>
    <w:rsid w:val="002C49C9"/>
    <w:rsid w:val="002C4AFF"/>
    <w:rsid w:val="002C4BF0"/>
    <w:rsid w:val="002C52E6"/>
    <w:rsid w:val="002C76F5"/>
    <w:rsid w:val="002D018C"/>
    <w:rsid w:val="002D1195"/>
    <w:rsid w:val="002D1F49"/>
    <w:rsid w:val="002D23FC"/>
    <w:rsid w:val="002D313D"/>
    <w:rsid w:val="002D3984"/>
    <w:rsid w:val="002D449C"/>
    <w:rsid w:val="002D488E"/>
    <w:rsid w:val="002D599F"/>
    <w:rsid w:val="002D688F"/>
    <w:rsid w:val="002D7E39"/>
    <w:rsid w:val="002D7F6E"/>
    <w:rsid w:val="002E0C8C"/>
    <w:rsid w:val="002E0CDA"/>
    <w:rsid w:val="002E1115"/>
    <w:rsid w:val="002E22BF"/>
    <w:rsid w:val="002E2850"/>
    <w:rsid w:val="002E342F"/>
    <w:rsid w:val="002E3840"/>
    <w:rsid w:val="002E3EE9"/>
    <w:rsid w:val="002E4741"/>
    <w:rsid w:val="002E5259"/>
    <w:rsid w:val="002E533F"/>
    <w:rsid w:val="002E621D"/>
    <w:rsid w:val="002E626D"/>
    <w:rsid w:val="002E763B"/>
    <w:rsid w:val="002F2232"/>
    <w:rsid w:val="002F2625"/>
    <w:rsid w:val="002F2EAC"/>
    <w:rsid w:val="002F335A"/>
    <w:rsid w:val="002F3D8F"/>
    <w:rsid w:val="002F43CA"/>
    <w:rsid w:val="002F58C8"/>
    <w:rsid w:val="002F5EEC"/>
    <w:rsid w:val="003004F8"/>
    <w:rsid w:val="00301B00"/>
    <w:rsid w:val="00303BF5"/>
    <w:rsid w:val="00306F53"/>
    <w:rsid w:val="00307B0B"/>
    <w:rsid w:val="0031017B"/>
    <w:rsid w:val="00310E5E"/>
    <w:rsid w:val="003136F4"/>
    <w:rsid w:val="003140A0"/>
    <w:rsid w:val="003149A2"/>
    <w:rsid w:val="00315EBF"/>
    <w:rsid w:val="003161F9"/>
    <w:rsid w:val="00316AF4"/>
    <w:rsid w:val="00316F1D"/>
    <w:rsid w:val="00320FA1"/>
    <w:rsid w:val="00321316"/>
    <w:rsid w:val="003232F2"/>
    <w:rsid w:val="00323970"/>
    <w:rsid w:val="00324A9B"/>
    <w:rsid w:val="00324FDF"/>
    <w:rsid w:val="003313E4"/>
    <w:rsid w:val="00331FC8"/>
    <w:rsid w:val="00333AC3"/>
    <w:rsid w:val="00335605"/>
    <w:rsid w:val="00335E60"/>
    <w:rsid w:val="00340DF0"/>
    <w:rsid w:val="0034351D"/>
    <w:rsid w:val="0034528E"/>
    <w:rsid w:val="00346E3E"/>
    <w:rsid w:val="00351E94"/>
    <w:rsid w:val="00353579"/>
    <w:rsid w:val="00357F02"/>
    <w:rsid w:val="00364866"/>
    <w:rsid w:val="00364E90"/>
    <w:rsid w:val="00370183"/>
    <w:rsid w:val="003706D4"/>
    <w:rsid w:val="00371E72"/>
    <w:rsid w:val="00372A87"/>
    <w:rsid w:val="00375BE9"/>
    <w:rsid w:val="0038011E"/>
    <w:rsid w:val="00382138"/>
    <w:rsid w:val="0038371A"/>
    <w:rsid w:val="00384AA0"/>
    <w:rsid w:val="00385942"/>
    <w:rsid w:val="00386DB2"/>
    <w:rsid w:val="00386F12"/>
    <w:rsid w:val="00390702"/>
    <w:rsid w:val="00390A85"/>
    <w:rsid w:val="00392064"/>
    <w:rsid w:val="003938A1"/>
    <w:rsid w:val="003939B6"/>
    <w:rsid w:val="00393B70"/>
    <w:rsid w:val="003954EB"/>
    <w:rsid w:val="00395732"/>
    <w:rsid w:val="0039616B"/>
    <w:rsid w:val="00396F15"/>
    <w:rsid w:val="00397F1B"/>
    <w:rsid w:val="003A08A2"/>
    <w:rsid w:val="003A11E8"/>
    <w:rsid w:val="003A1B2A"/>
    <w:rsid w:val="003A1E3D"/>
    <w:rsid w:val="003A4149"/>
    <w:rsid w:val="003A4BE5"/>
    <w:rsid w:val="003A68DC"/>
    <w:rsid w:val="003A7B62"/>
    <w:rsid w:val="003B0C49"/>
    <w:rsid w:val="003B14CC"/>
    <w:rsid w:val="003B393D"/>
    <w:rsid w:val="003B3C72"/>
    <w:rsid w:val="003B46F9"/>
    <w:rsid w:val="003B4A4D"/>
    <w:rsid w:val="003B573C"/>
    <w:rsid w:val="003B7161"/>
    <w:rsid w:val="003C1896"/>
    <w:rsid w:val="003C1D50"/>
    <w:rsid w:val="003C2900"/>
    <w:rsid w:val="003C2E31"/>
    <w:rsid w:val="003C34CD"/>
    <w:rsid w:val="003C35E1"/>
    <w:rsid w:val="003C4011"/>
    <w:rsid w:val="003C58F2"/>
    <w:rsid w:val="003C75E8"/>
    <w:rsid w:val="003C7FE5"/>
    <w:rsid w:val="003D1EE4"/>
    <w:rsid w:val="003D271A"/>
    <w:rsid w:val="003D319C"/>
    <w:rsid w:val="003D5A5C"/>
    <w:rsid w:val="003D5C61"/>
    <w:rsid w:val="003D777A"/>
    <w:rsid w:val="003E0032"/>
    <w:rsid w:val="003E02BB"/>
    <w:rsid w:val="003E362F"/>
    <w:rsid w:val="003E386E"/>
    <w:rsid w:val="003E3961"/>
    <w:rsid w:val="003E525D"/>
    <w:rsid w:val="003E7514"/>
    <w:rsid w:val="003F1A88"/>
    <w:rsid w:val="003F2A60"/>
    <w:rsid w:val="003F2A8A"/>
    <w:rsid w:val="003F4292"/>
    <w:rsid w:val="003F5005"/>
    <w:rsid w:val="003F5982"/>
    <w:rsid w:val="003F76A4"/>
    <w:rsid w:val="00401121"/>
    <w:rsid w:val="00402167"/>
    <w:rsid w:val="004031A9"/>
    <w:rsid w:val="004045BF"/>
    <w:rsid w:val="00404F14"/>
    <w:rsid w:val="00405693"/>
    <w:rsid w:val="00405A19"/>
    <w:rsid w:val="00406957"/>
    <w:rsid w:val="0040735B"/>
    <w:rsid w:val="00407461"/>
    <w:rsid w:val="004126C9"/>
    <w:rsid w:val="004130B8"/>
    <w:rsid w:val="004139A1"/>
    <w:rsid w:val="00417847"/>
    <w:rsid w:val="00421988"/>
    <w:rsid w:val="0042202C"/>
    <w:rsid w:val="00422BB3"/>
    <w:rsid w:val="004237CB"/>
    <w:rsid w:val="00423BED"/>
    <w:rsid w:val="00424568"/>
    <w:rsid w:val="004258E2"/>
    <w:rsid w:val="00425A5E"/>
    <w:rsid w:val="0042620E"/>
    <w:rsid w:val="00426E01"/>
    <w:rsid w:val="0042796E"/>
    <w:rsid w:val="0043121F"/>
    <w:rsid w:val="00431C9B"/>
    <w:rsid w:val="00432E45"/>
    <w:rsid w:val="00433C67"/>
    <w:rsid w:val="00435A14"/>
    <w:rsid w:val="004372CA"/>
    <w:rsid w:val="004409D1"/>
    <w:rsid w:val="00440A9F"/>
    <w:rsid w:val="00442480"/>
    <w:rsid w:val="00443720"/>
    <w:rsid w:val="004443E0"/>
    <w:rsid w:val="0045024C"/>
    <w:rsid w:val="00452C87"/>
    <w:rsid w:val="004532CB"/>
    <w:rsid w:val="00453EDD"/>
    <w:rsid w:val="0045461B"/>
    <w:rsid w:val="00454661"/>
    <w:rsid w:val="0045537A"/>
    <w:rsid w:val="00455F02"/>
    <w:rsid w:val="00461738"/>
    <w:rsid w:val="00464065"/>
    <w:rsid w:val="00464E5D"/>
    <w:rsid w:val="004650A5"/>
    <w:rsid w:val="00465B56"/>
    <w:rsid w:val="00465F29"/>
    <w:rsid w:val="00465FE4"/>
    <w:rsid w:val="0046661B"/>
    <w:rsid w:val="0047145C"/>
    <w:rsid w:val="00471D3D"/>
    <w:rsid w:val="0047227F"/>
    <w:rsid w:val="004743B7"/>
    <w:rsid w:val="00476449"/>
    <w:rsid w:val="004768BF"/>
    <w:rsid w:val="00476D05"/>
    <w:rsid w:val="00480049"/>
    <w:rsid w:val="0048038C"/>
    <w:rsid w:val="0048244B"/>
    <w:rsid w:val="0048302B"/>
    <w:rsid w:val="00485C11"/>
    <w:rsid w:val="004861E7"/>
    <w:rsid w:val="00486C90"/>
    <w:rsid w:val="00490ABA"/>
    <w:rsid w:val="00490EAB"/>
    <w:rsid w:val="00493461"/>
    <w:rsid w:val="004940BE"/>
    <w:rsid w:val="004958E9"/>
    <w:rsid w:val="00495CDE"/>
    <w:rsid w:val="004A1E57"/>
    <w:rsid w:val="004A21AB"/>
    <w:rsid w:val="004A50C1"/>
    <w:rsid w:val="004A6C31"/>
    <w:rsid w:val="004A7170"/>
    <w:rsid w:val="004A743F"/>
    <w:rsid w:val="004B14F3"/>
    <w:rsid w:val="004B1BB0"/>
    <w:rsid w:val="004B3B99"/>
    <w:rsid w:val="004B59B7"/>
    <w:rsid w:val="004B62AA"/>
    <w:rsid w:val="004B66EB"/>
    <w:rsid w:val="004B6D22"/>
    <w:rsid w:val="004C1173"/>
    <w:rsid w:val="004C12C7"/>
    <w:rsid w:val="004C1706"/>
    <w:rsid w:val="004C3B51"/>
    <w:rsid w:val="004C3BC4"/>
    <w:rsid w:val="004C5CF7"/>
    <w:rsid w:val="004C61C7"/>
    <w:rsid w:val="004C75F7"/>
    <w:rsid w:val="004D107F"/>
    <w:rsid w:val="004D21CF"/>
    <w:rsid w:val="004D306C"/>
    <w:rsid w:val="004D39E8"/>
    <w:rsid w:val="004D49B6"/>
    <w:rsid w:val="004D73DF"/>
    <w:rsid w:val="004E1844"/>
    <w:rsid w:val="004E2FB7"/>
    <w:rsid w:val="004E43E1"/>
    <w:rsid w:val="004E449E"/>
    <w:rsid w:val="004F017D"/>
    <w:rsid w:val="004F037E"/>
    <w:rsid w:val="004F0489"/>
    <w:rsid w:val="004F095C"/>
    <w:rsid w:val="004F3A41"/>
    <w:rsid w:val="004F4908"/>
    <w:rsid w:val="004F4FAA"/>
    <w:rsid w:val="004F530B"/>
    <w:rsid w:val="004F535D"/>
    <w:rsid w:val="004F6B58"/>
    <w:rsid w:val="004F6DF6"/>
    <w:rsid w:val="004F6ED8"/>
    <w:rsid w:val="004F709E"/>
    <w:rsid w:val="00504AE7"/>
    <w:rsid w:val="00504DF1"/>
    <w:rsid w:val="0050505C"/>
    <w:rsid w:val="00505155"/>
    <w:rsid w:val="0050663F"/>
    <w:rsid w:val="005066EA"/>
    <w:rsid w:val="005077D0"/>
    <w:rsid w:val="00507979"/>
    <w:rsid w:val="00512946"/>
    <w:rsid w:val="0051366A"/>
    <w:rsid w:val="00514766"/>
    <w:rsid w:val="00514830"/>
    <w:rsid w:val="00514D05"/>
    <w:rsid w:val="00515EC7"/>
    <w:rsid w:val="00520CC2"/>
    <w:rsid w:val="00521ADF"/>
    <w:rsid w:val="00522D11"/>
    <w:rsid w:val="00524E97"/>
    <w:rsid w:val="00525210"/>
    <w:rsid w:val="00532156"/>
    <w:rsid w:val="005328A6"/>
    <w:rsid w:val="00533670"/>
    <w:rsid w:val="005360AA"/>
    <w:rsid w:val="005367EF"/>
    <w:rsid w:val="00541AFF"/>
    <w:rsid w:val="00541B27"/>
    <w:rsid w:val="00541B96"/>
    <w:rsid w:val="00543049"/>
    <w:rsid w:val="005442B4"/>
    <w:rsid w:val="0054638C"/>
    <w:rsid w:val="0055190B"/>
    <w:rsid w:val="00551E11"/>
    <w:rsid w:val="0055239F"/>
    <w:rsid w:val="00554405"/>
    <w:rsid w:val="00555B32"/>
    <w:rsid w:val="0055665B"/>
    <w:rsid w:val="0056051D"/>
    <w:rsid w:val="00560959"/>
    <w:rsid w:val="00560B62"/>
    <w:rsid w:val="00563C81"/>
    <w:rsid w:val="005653FB"/>
    <w:rsid w:val="0056565D"/>
    <w:rsid w:val="0056658C"/>
    <w:rsid w:val="005668CC"/>
    <w:rsid w:val="0056753B"/>
    <w:rsid w:val="00567C22"/>
    <w:rsid w:val="00567D72"/>
    <w:rsid w:val="005704D3"/>
    <w:rsid w:val="00571A11"/>
    <w:rsid w:val="00572F3F"/>
    <w:rsid w:val="00572F58"/>
    <w:rsid w:val="0057520A"/>
    <w:rsid w:val="00577F99"/>
    <w:rsid w:val="00577F9B"/>
    <w:rsid w:val="00580100"/>
    <w:rsid w:val="00582E1F"/>
    <w:rsid w:val="0058445E"/>
    <w:rsid w:val="00585456"/>
    <w:rsid w:val="00585927"/>
    <w:rsid w:val="00585C05"/>
    <w:rsid w:val="00590683"/>
    <w:rsid w:val="00590720"/>
    <w:rsid w:val="005908FF"/>
    <w:rsid w:val="0059172C"/>
    <w:rsid w:val="00592379"/>
    <w:rsid w:val="005938A2"/>
    <w:rsid w:val="0059558D"/>
    <w:rsid w:val="005A188C"/>
    <w:rsid w:val="005A237D"/>
    <w:rsid w:val="005A3200"/>
    <w:rsid w:val="005A386C"/>
    <w:rsid w:val="005A3B32"/>
    <w:rsid w:val="005A3BD5"/>
    <w:rsid w:val="005A3D0B"/>
    <w:rsid w:val="005A55D8"/>
    <w:rsid w:val="005A6BA3"/>
    <w:rsid w:val="005A7737"/>
    <w:rsid w:val="005B124D"/>
    <w:rsid w:val="005B16AA"/>
    <w:rsid w:val="005B2B13"/>
    <w:rsid w:val="005B471F"/>
    <w:rsid w:val="005B50CC"/>
    <w:rsid w:val="005B78F3"/>
    <w:rsid w:val="005C0F85"/>
    <w:rsid w:val="005C39C2"/>
    <w:rsid w:val="005C3C92"/>
    <w:rsid w:val="005C46FC"/>
    <w:rsid w:val="005C4E37"/>
    <w:rsid w:val="005C5816"/>
    <w:rsid w:val="005C6B7F"/>
    <w:rsid w:val="005C6E53"/>
    <w:rsid w:val="005C78F8"/>
    <w:rsid w:val="005D05F8"/>
    <w:rsid w:val="005D07CB"/>
    <w:rsid w:val="005D0DB3"/>
    <w:rsid w:val="005D23CE"/>
    <w:rsid w:val="005D477A"/>
    <w:rsid w:val="005D55BD"/>
    <w:rsid w:val="005D6522"/>
    <w:rsid w:val="005D6D92"/>
    <w:rsid w:val="005E1420"/>
    <w:rsid w:val="005E1B6D"/>
    <w:rsid w:val="005E2374"/>
    <w:rsid w:val="005E27E8"/>
    <w:rsid w:val="005E40E4"/>
    <w:rsid w:val="005E6193"/>
    <w:rsid w:val="005E6B96"/>
    <w:rsid w:val="005E6BF7"/>
    <w:rsid w:val="005F169D"/>
    <w:rsid w:val="005F2135"/>
    <w:rsid w:val="005F2C41"/>
    <w:rsid w:val="005F3300"/>
    <w:rsid w:val="005F4819"/>
    <w:rsid w:val="005F4C4F"/>
    <w:rsid w:val="005F4E2C"/>
    <w:rsid w:val="005F5CE4"/>
    <w:rsid w:val="005F6C39"/>
    <w:rsid w:val="005F6F9F"/>
    <w:rsid w:val="005F72EB"/>
    <w:rsid w:val="005F789E"/>
    <w:rsid w:val="006006FE"/>
    <w:rsid w:val="00601C55"/>
    <w:rsid w:val="00601E2B"/>
    <w:rsid w:val="00602E6B"/>
    <w:rsid w:val="00603272"/>
    <w:rsid w:val="006045E9"/>
    <w:rsid w:val="0060525E"/>
    <w:rsid w:val="00607A35"/>
    <w:rsid w:val="00610AC0"/>
    <w:rsid w:val="00610B0F"/>
    <w:rsid w:val="00610C7B"/>
    <w:rsid w:val="006110B1"/>
    <w:rsid w:val="00611657"/>
    <w:rsid w:val="00611FEE"/>
    <w:rsid w:val="0061245A"/>
    <w:rsid w:val="00614255"/>
    <w:rsid w:val="00614C19"/>
    <w:rsid w:val="00614E46"/>
    <w:rsid w:val="00616873"/>
    <w:rsid w:val="006169E8"/>
    <w:rsid w:val="00622233"/>
    <w:rsid w:val="00622557"/>
    <w:rsid w:val="00623464"/>
    <w:rsid w:val="00624B34"/>
    <w:rsid w:val="00624D01"/>
    <w:rsid w:val="0063122F"/>
    <w:rsid w:val="006328AA"/>
    <w:rsid w:val="0063355B"/>
    <w:rsid w:val="00637ED3"/>
    <w:rsid w:val="0064055E"/>
    <w:rsid w:val="0064139E"/>
    <w:rsid w:val="006441A8"/>
    <w:rsid w:val="00644AD9"/>
    <w:rsid w:val="00645543"/>
    <w:rsid w:val="00646F26"/>
    <w:rsid w:val="00647A6C"/>
    <w:rsid w:val="00650B63"/>
    <w:rsid w:val="00652EF5"/>
    <w:rsid w:val="00654371"/>
    <w:rsid w:val="006607C9"/>
    <w:rsid w:val="006612A5"/>
    <w:rsid w:val="00662C09"/>
    <w:rsid w:val="00663E97"/>
    <w:rsid w:val="006671FD"/>
    <w:rsid w:val="00670C7F"/>
    <w:rsid w:val="00670EDF"/>
    <w:rsid w:val="00672AF1"/>
    <w:rsid w:val="006757BF"/>
    <w:rsid w:val="0067767D"/>
    <w:rsid w:val="006802F7"/>
    <w:rsid w:val="00680574"/>
    <w:rsid w:val="0068345B"/>
    <w:rsid w:val="00685AB4"/>
    <w:rsid w:val="00686E09"/>
    <w:rsid w:val="00691ADC"/>
    <w:rsid w:val="00692118"/>
    <w:rsid w:val="00693B3C"/>
    <w:rsid w:val="006969E9"/>
    <w:rsid w:val="00696AE4"/>
    <w:rsid w:val="006A2739"/>
    <w:rsid w:val="006A3617"/>
    <w:rsid w:val="006A4DDF"/>
    <w:rsid w:val="006A50B6"/>
    <w:rsid w:val="006A7158"/>
    <w:rsid w:val="006B1169"/>
    <w:rsid w:val="006B2907"/>
    <w:rsid w:val="006B493C"/>
    <w:rsid w:val="006B4BB6"/>
    <w:rsid w:val="006B727B"/>
    <w:rsid w:val="006B7E25"/>
    <w:rsid w:val="006C0963"/>
    <w:rsid w:val="006C134C"/>
    <w:rsid w:val="006C1CE0"/>
    <w:rsid w:val="006C278C"/>
    <w:rsid w:val="006C55B8"/>
    <w:rsid w:val="006C5764"/>
    <w:rsid w:val="006C6725"/>
    <w:rsid w:val="006C69F8"/>
    <w:rsid w:val="006D0149"/>
    <w:rsid w:val="006D0C34"/>
    <w:rsid w:val="006D17F6"/>
    <w:rsid w:val="006D26EC"/>
    <w:rsid w:val="006D59B7"/>
    <w:rsid w:val="006D7B00"/>
    <w:rsid w:val="006E064D"/>
    <w:rsid w:val="006E11E7"/>
    <w:rsid w:val="006E1823"/>
    <w:rsid w:val="006E5BDE"/>
    <w:rsid w:val="006E5CDD"/>
    <w:rsid w:val="006F0D72"/>
    <w:rsid w:val="006F0D79"/>
    <w:rsid w:val="006F117B"/>
    <w:rsid w:val="006F1534"/>
    <w:rsid w:val="006F2671"/>
    <w:rsid w:val="006F3C54"/>
    <w:rsid w:val="006F51EA"/>
    <w:rsid w:val="006F65FE"/>
    <w:rsid w:val="00702936"/>
    <w:rsid w:val="00702AB2"/>
    <w:rsid w:val="00706CE6"/>
    <w:rsid w:val="00707AA0"/>
    <w:rsid w:val="00710111"/>
    <w:rsid w:val="007128CC"/>
    <w:rsid w:val="00715B98"/>
    <w:rsid w:val="00716115"/>
    <w:rsid w:val="007169BF"/>
    <w:rsid w:val="00717237"/>
    <w:rsid w:val="00717F30"/>
    <w:rsid w:val="00720FFF"/>
    <w:rsid w:val="00722F7A"/>
    <w:rsid w:val="007250CD"/>
    <w:rsid w:val="007254E7"/>
    <w:rsid w:val="00725CE8"/>
    <w:rsid w:val="00727F8C"/>
    <w:rsid w:val="00730F3B"/>
    <w:rsid w:val="007334BA"/>
    <w:rsid w:val="00735919"/>
    <w:rsid w:val="00735D97"/>
    <w:rsid w:val="00736DA2"/>
    <w:rsid w:val="0074028E"/>
    <w:rsid w:val="00743C54"/>
    <w:rsid w:val="00743FEE"/>
    <w:rsid w:val="00745521"/>
    <w:rsid w:val="007469A0"/>
    <w:rsid w:val="0074703D"/>
    <w:rsid w:val="0075002D"/>
    <w:rsid w:val="007503D2"/>
    <w:rsid w:val="00753107"/>
    <w:rsid w:val="007538F8"/>
    <w:rsid w:val="00753CCE"/>
    <w:rsid w:val="007556A0"/>
    <w:rsid w:val="00755A38"/>
    <w:rsid w:val="00756A2C"/>
    <w:rsid w:val="00760128"/>
    <w:rsid w:val="00760895"/>
    <w:rsid w:val="00760B80"/>
    <w:rsid w:val="00760FA3"/>
    <w:rsid w:val="0076103E"/>
    <w:rsid w:val="0076157A"/>
    <w:rsid w:val="007625DC"/>
    <w:rsid w:val="00763388"/>
    <w:rsid w:val="00766A04"/>
    <w:rsid w:val="00766FFE"/>
    <w:rsid w:val="00770D2E"/>
    <w:rsid w:val="00770FAF"/>
    <w:rsid w:val="00771524"/>
    <w:rsid w:val="00771E16"/>
    <w:rsid w:val="00772999"/>
    <w:rsid w:val="00772F81"/>
    <w:rsid w:val="00775282"/>
    <w:rsid w:val="00776253"/>
    <w:rsid w:val="00776402"/>
    <w:rsid w:val="00777087"/>
    <w:rsid w:val="007804F2"/>
    <w:rsid w:val="00783973"/>
    <w:rsid w:val="00786E22"/>
    <w:rsid w:val="00790737"/>
    <w:rsid w:val="0079388A"/>
    <w:rsid w:val="00793F20"/>
    <w:rsid w:val="00794395"/>
    <w:rsid w:val="007956AC"/>
    <w:rsid w:val="00797724"/>
    <w:rsid w:val="007A0D9E"/>
    <w:rsid w:val="007A3A61"/>
    <w:rsid w:val="007A5E35"/>
    <w:rsid w:val="007A6517"/>
    <w:rsid w:val="007A692D"/>
    <w:rsid w:val="007A6B30"/>
    <w:rsid w:val="007A7B48"/>
    <w:rsid w:val="007A7F9A"/>
    <w:rsid w:val="007B2425"/>
    <w:rsid w:val="007B38C5"/>
    <w:rsid w:val="007C11C4"/>
    <w:rsid w:val="007C32D3"/>
    <w:rsid w:val="007C4D22"/>
    <w:rsid w:val="007C70D8"/>
    <w:rsid w:val="007D059B"/>
    <w:rsid w:val="007D13AA"/>
    <w:rsid w:val="007D1F5F"/>
    <w:rsid w:val="007D3C91"/>
    <w:rsid w:val="007D3E83"/>
    <w:rsid w:val="007D7C1D"/>
    <w:rsid w:val="007E221B"/>
    <w:rsid w:val="007E2C11"/>
    <w:rsid w:val="007E3B7D"/>
    <w:rsid w:val="007E55A7"/>
    <w:rsid w:val="007E5CA9"/>
    <w:rsid w:val="007E616B"/>
    <w:rsid w:val="007F0BB0"/>
    <w:rsid w:val="007F16B5"/>
    <w:rsid w:val="007F1976"/>
    <w:rsid w:val="007F1C5B"/>
    <w:rsid w:val="007F2632"/>
    <w:rsid w:val="007F2CAA"/>
    <w:rsid w:val="007F30A0"/>
    <w:rsid w:val="007F621C"/>
    <w:rsid w:val="007F777A"/>
    <w:rsid w:val="007F784F"/>
    <w:rsid w:val="007F7938"/>
    <w:rsid w:val="007F7A78"/>
    <w:rsid w:val="00803150"/>
    <w:rsid w:val="008041C2"/>
    <w:rsid w:val="00804CA6"/>
    <w:rsid w:val="00804FFE"/>
    <w:rsid w:val="00805A40"/>
    <w:rsid w:val="00806771"/>
    <w:rsid w:val="00806CA3"/>
    <w:rsid w:val="00807F86"/>
    <w:rsid w:val="00811321"/>
    <w:rsid w:val="00811329"/>
    <w:rsid w:val="00811567"/>
    <w:rsid w:val="00811856"/>
    <w:rsid w:val="00811A5A"/>
    <w:rsid w:val="0081208B"/>
    <w:rsid w:val="00813BCF"/>
    <w:rsid w:val="00814124"/>
    <w:rsid w:val="008146FA"/>
    <w:rsid w:val="0081611D"/>
    <w:rsid w:val="0082078F"/>
    <w:rsid w:val="00822E65"/>
    <w:rsid w:val="008245EF"/>
    <w:rsid w:val="00824ED1"/>
    <w:rsid w:val="008264C9"/>
    <w:rsid w:val="00826723"/>
    <w:rsid w:val="00826B62"/>
    <w:rsid w:val="00826FF8"/>
    <w:rsid w:val="00830626"/>
    <w:rsid w:val="00831E70"/>
    <w:rsid w:val="008367FB"/>
    <w:rsid w:val="00836FDA"/>
    <w:rsid w:val="00837D25"/>
    <w:rsid w:val="008441C6"/>
    <w:rsid w:val="00844990"/>
    <w:rsid w:val="00844CC3"/>
    <w:rsid w:val="00846B7F"/>
    <w:rsid w:val="00846F6B"/>
    <w:rsid w:val="00847967"/>
    <w:rsid w:val="00852E9B"/>
    <w:rsid w:val="0085454E"/>
    <w:rsid w:val="00854E12"/>
    <w:rsid w:val="0085720A"/>
    <w:rsid w:val="008630CB"/>
    <w:rsid w:val="00865776"/>
    <w:rsid w:val="00865EFD"/>
    <w:rsid w:val="008668B9"/>
    <w:rsid w:val="00867176"/>
    <w:rsid w:val="0087118E"/>
    <w:rsid w:val="00871975"/>
    <w:rsid w:val="0087294A"/>
    <w:rsid w:val="0087346D"/>
    <w:rsid w:val="00876EF8"/>
    <w:rsid w:val="0087748D"/>
    <w:rsid w:val="00880598"/>
    <w:rsid w:val="008806BB"/>
    <w:rsid w:val="0088302E"/>
    <w:rsid w:val="008834F9"/>
    <w:rsid w:val="008850B2"/>
    <w:rsid w:val="00885261"/>
    <w:rsid w:val="00885DD3"/>
    <w:rsid w:val="00886D7A"/>
    <w:rsid w:val="00887DD2"/>
    <w:rsid w:val="00891CD7"/>
    <w:rsid w:val="00892B57"/>
    <w:rsid w:val="008964BB"/>
    <w:rsid w:val="008969A2"/>
    <w:rsid w:val="008A0EB6"/>
    <w:rsid w:val="008A1790"/>
    <w:rsid w:val="008A273E"/>
    <w:rsid w:val="008A354F"/>
    <w:rsid w:val="008A438A"/>
    <w:rsid w:val="008A5129"/>
    <w:rsid w:val="008A5254"/>
    <w:rsid w:val="008A69D0"/>
    <w:rsid w:val="008B0286"/>
    <w:rsid w:val="008B0D0B"/>
    <w:rsid w:val="008B130C"/>
    <w:rsid w:val="008B2654"/>
    <w:rsid w:val="008B26D7"/>
    <w:rsid w:val="008B48CA"/>
    <w:rsid w:val="008B4902"/>
    <w:rsid w:val="008B4C93"/>
    <w:rsid w:val="008B6238"/>
    <w:rsid w:val="008B75A3"/>
    <w:rsid w:val="008B7DD3"/>
    <w:rsid w:val="008C14FB"/>
    <w:rsid w:val="008C2035"/>
    <w:rsid w:val="008C2AA8"/>
    <w:rsid w:val="008C2E40"/>
    <w:rsid w:val="008C547C"/>
    <w:rsid w:val="008C5B5E"/>
    <w:rsid w:val="008C6777"/>
    <w:rsid w:val="008C6A17"/>
    <w:rsid w:val="008C7292"/>
    <w:rsid w:val="008C7499"/>
    <w:rsid w:val="008D0646"/>
    <w:rsid w:val="008D4D4C"/>
    <w:rsid w:val="008D53CD"/>
    <w:rsid w:val="008D5D27"/>
    <w:rsid w:val="008D5E04"/>
    <w:rsid w:val="008E0264"/>
    <w:rsid w:val="008E0DB2"/>
    <w:rsid w:val="008E132A"/>
    <w:rsid w:val="008E27B6"/>
    <w:rsid w:val="008E3191"/>
    <w:rsid w:val="008E638A"/>
    <w:rsid w:val="008F091A"/>
    <w:rsid w:val="008F2282"/>
    <w:rsid w:val="008F25F5"/>
    <w:rsid w:val="008F3F9A"/>
    <w:rsid w:val="008F4895"/>
    <w:rsid w:val="008F52B5"/>
    <w:rsid w:val="008F5B71"/>
    <w:rsid w:val="008F60E3"/>
    <w:rsid w:val="008F64D1"/>
    <w:rsid w:val="008F6BFF"/>
    <w:rsid w:val="00900710"/>
    <w:rsid w:val="0090098D"/>
    <w:rsid w:val="00900D0D"/>
    <w:rsid w:val="00900FD4"/>
    <w:rsid w:val="00901D5F"/>
    <w:rsid w:val="00902AF3"/>
    <w:rsid w:val="00903A69"/>
    <w:rsid w:val="009052FD"/>
    <w:rsid w:val="00910777"/>
    <w:rsid w:val="00911A09"/>
    <w:rsid w:val="00911B30"/>
    <w:rsid w:val="009126E4"/>
    <w:rsid w:val="00914568"/>
    <w:rsid w:val="009146FA"/>
    <w:rsid w:val="00916C47"/>
    <w:rsid w:val="0092066E"/>
    <w:rsid w:val="009215DC"/>
    <w:rsid w:val="00921DFA"/>
    <w:rsid w:val="00921F7D"/>
    <w:rsid w:val="00926022"/>
    <w:rsid w:val="00926350"/>
    <w:rsid w:val="009271F4"/>
    <w:rsid w:val="00927FEE"/>
    <w:rsid w:val="00930432"/>
    <w:rsid w:val="0093137C"/>
    <w:rsid w:val="00932036"/>
    <w:rsid w:val="00932DC8"/>
    <w:rsid w:val="00936BEC"/>
    <w:rsid w:val="009409FA"/>
    <w:rsid w:val="00941350"/>
    <w:rsid w:val="00942ED7"/>
    <w:rsid w:val="009434E4"/>
    <w:rsid w:val="00944972"/>
    <w:rsid w:val="00944A01"/>
    <w:rsid w:val="00944CC7"/>
    <w:rsid w:val="009460E0"/>
    <w:rsid w:val="009461C2"/>
    <w:rsid w:val="0094769C"/>
    <w:rsid w:val="00947861"/>
    <w:rsid w:val="00947C36"/>
    <w:rsid w:val="00950353"/>
    <w:rsid w:val="00954948"/>
    <w:rsid w:val="00954AB5"/>
    <w:rsid w:val="00955B0F"/>
    <w:rsid w:val="009577EB"/>
    <w:rsid w:val="009613A9"/>
    <w:rsid w:val="00961FE6"/>
    <w:rsid w:val="0096224E"/>
    <w:rsid w:val="0096565A"/>
    <w:rsid w:val="009658AD"/>
    <w:rsid w:val="00965D4D"/>
    <w:rsid w:val="00967524"/>
    <w:rsid w:val="009708AB"/>
    <w:rsid w:val="00970FD0"/>
    <w:rsid w:val="00972063"/>
    <w:rsid w:val="00972D61"/>
    <w:rsid w:val="009777F6"/>
    <w:rsid w:val="00977AA7"/>
    <w:rsid w:val="00977ACE"/>
    <w:rsid w:val="00977D5A"/>
    <w:rsid w:val="009825BC"/>
    <w:rsid w:val="00982CED"/>
    <w:rsid w:val="009834C2"/>
    <w:rsid w:val="0098360D"/>
    <w:rsid w:val="00985E99"/>
    <w:rsid w:val="00987270"/>
    <w:rsid w:val="0098784C"/>
    <w:rsid w:val="00990B28"/>
    <w:rsid w:val="0099104E"/>
    <w:rsid w:val="00991C77"/>
    <w:rsid w:val="00995E8E"/>
    <w:rsid w:val="00996215"/>
    <w:rsid w:val="00996BB7"/>
    <w:rsid w:val="009A0833"/>
    <w:rsid w:val="009A12A6"/>
    <w:rsid w:val="009A1345"/>
    <w:rsid w:val="009A2BD9"/>
    <w:rsid w:val="009A3165"/>
    <w:rsid w:val="009A3671"/>
    <w:rsid w:val="009A3BEE"/>
    <w:rsid w:val="009A4676"/>
    <w:rsid w:val="009A6053"/>
    <w:rsid w:val="009B0F5D"/>
    <w:rsid w:val="009B1668"/>
    <w:rsid w:val="009B307D"/>
    <w:rsid w:val="009B6454"/>
    <w:rsid w:val="009B6F39"/>
    <w:rsid w:val="009C0111"/>
    <w:rsid w:val="009C15AD"/>
    <w:rsid w:val="009C290D"/>
    <w:rsid w:val="009C3F33"/>
    <w:rsid w:val="009C560A"/>
    <w:rsid w:val="009C5A81"/>
    <w:rsid w:val="009C5E64"/>
    <w:rsid w:val="009C60BB"/>
    <w:rsid w:val="009D0BE2"/>
    <w:rsid w:val="009D0C86"/>
    <w:rsid w:val="009D0D76"/>
    <w:rsid w:val="009D1C19"/>
    <w:rsid w:val="009D1CA4"/>
    <w:rsid w:val="009D1E57"/>
    <w:rsid w:val="009D256F"/>
    <w:rsid w:val="009D3106"/>
    <w:rsid w:val="009D324B"/>
    <w:rsid w:val="009D3777"/>
    <w:rsid w:val="009D40D2"/>
    <w:rsid w:val="009D4B07"/>
    <w:rsid w:val="009D60DE"/>
    <w:rsid w:val="009D7EFE"/>
    <w:rsid w:val="009E0FAB"/>
    <w:rsid w:val="009E24BC"/>
    <w:rsid w:val="009E2B52"/>
    <w:rsid w:val="009E2B73"/>
    <w:rsid w:val="009E3B48"/>
    <w:rsid w:val="009E5EB6"/>
    <w:rsid w:val="009F1D7C"/>
    <w:rsid w:val="009F2CBC"/>
    <w:rsid w:val="009F2E7E"/>
    <w:rsid w:val="009F348F"/>
    <w:rsid w:val="009F3738"/>
    <w:rsid w:val="009F4D8A"/>
    <w:rsid w:val="009F7967"/>
    <w:rsid w:val="00A01D49"/>
    <w:rsid w:val="00A02DBC"/>
    <w:rsid w:val="00A02ED3"/>
    <w:rsid w:val="00A0310C"/>
    <w:rsid w:val="00A0349B"/>
    <w:rsid w:val="00A04170"/>
    <w:rsid w:val="00A052ED"/>
    <w:rsid w:val="00A05C39"/>
    <w:rsid w:val="00A06A0D"/>
    <w:rsid w:val="00A10EB6"/>
    <w:rsid w:val="00A123C4"/>
    <w:rsid w:val="00A131C7"/>
    <w:rsid w:val="00A13C19"/>
    <w:rsid w:val="00A13F0F"/>
    <w:rsid w:val="00A1529C"/>
    <w:rsid w:val="00A17054"/>
    <w:rsid w:val="00A20B26"/>
    <w:rsid w:val="00A21302"/>
    <w:rsid w:val="00A21982"/>
    <w:rsid w:val="00A24B99"/>
    <w:rsid w:val="00A265D2"/>
    <w:rsid w:val="00A27F54"/>
    <w:rsid w:val="00A30AE8"/>
    <w:rsid w:val="00A30D61"/>
    <w:rsid w:val="00A3347D"/>
    <w:rsid w:val="00A34009"/>
    <w:rsid w:val="00A43350"/>
    <w:rsid w:val="00A47651"/>
    <w:rsid w:val="00A47D1E"/>
    <w:rsid w:val="00A51774"/>
    <w:rsid w:val="00A52C04"/>
    <w:rsid w:val="00A540EB"/>
    <w:rsid w:val="00A5753F"/>
    <w:rsid w:val="00A60241"/>
    <w:rsid w:val="00A613E6"/>
    <w:rsid w:val="00A62938"/>
    <w:rsid w:val="00A64B48"/>
    <w:rsid w:val="00A64F16"/>
    <w:rsid w:val="00A671DA"/>
    <w:rsid w:val="00A67868"/>
    <w:rsid w:val="00A703DF"/>
    <w:rsid w:val="00A724DB"/>
    <w:rsid w:val="00A75D69"/>
    <w:rsid w:val="00A769C2"/>
    <w:rsid w:val="00A835A2"/>
    <w:rsid w:val="00A83912"/>
    <w:rsid w:val="00A840F5"/>
    <w:rsid w:val="00A84993"/>
    <w:rsid w:val="00A86175"/>
    <w:rsid w:val="00A86F04"/>
    <w:rsid w:val="00A874C1"/>
    <w:rsid w:val="00A87A5D"/>
    <w:rsid w:val="00A9153C"/>
    <w:rsid w:val="00A91F51"/>
    <w:rsid w:val="00A91FDD"/>
    <w:rsid w:val="00A922E8"/>
    <w:rsid w:val="00A9330F"/>
    <w:rsid w:val="00A93DB8"/>
    <w:rsid w:val="00A94207"/>
    <w:rsid w:val="00A95809"/>
    <w:rsid w:val="00A95A00"/>
    <w:rsid w:val="00A96C23"/>
    <w:rsid w:val="00A975AD"/>
    <w:rsid w:val="00A97AC2"/>
    <w:rsid w:val="00AA0285"/>
    <w:rsid w:val="00AA0473"/>
    <w:rsid w:val="00AA05B0"/>
    <w:rsid w:val="00AA1147"/>
    <w:rsid w:val="00AA1ED9"/>
    <w:rsid w:val="00AA61AB"/>
    <w:rsid w:val="00AB17E7"/>
    <w:rsid w:val="00AB1EE0"/>
    <w:rsid w:val="00AB2952"/>
    <w:rsid w:val="00AB4C0A"/>
    <w:rsid w:val="00AB4F49"/>
    <w:rsid w:val="00AB59D0"/>
    <w:rsid w:val="00AB6DB8"/>
    <w:rsid w:val="00AB6F0F"/>
    <w:rsid w:val="00AB6FC2"/>
    <w:rsid w:val="00AB78FA"/>
    <w:rsid w:val="00AC0F40"/>
    <w:rsid w:val="00AC478F"/>
    <w:rsid w:val="00AD1B45"/>
    <w:rsid w:val="00AD2014"/>
    <w:rsid w:val="00AD240A"/>
    <w:rsid w:val="00AD292F"/>
    <w:rsid w:val="00AD29A2"/>
    <w:rsid w:val="00AD3779"/>
    <w:rsid w:val="00AD3E39"/>
    <w:rsid w:val="00AD44DA"/>
    <w:rsid w:val="00AE067B"/>
    <w:rsid w:val="00AE2EC1"/>
    <w:rsid w:val="00AE34F4"/>
    <w:rsid w:val="00AE5531"/>
    <w:rsid w:val="00AE633B"/>
    <w:rsid w:val="00AE6986"/>
    <w:rsid w:val="00AE69B5"/>
    <w:rsid w:val="00AE73E4"/>
    <w:rsid w:val="00AE75F6"/>
    <w:rsid w:val="00AF1664"/>
    <w:rsid w:val="00AF2CAD"/>
    <w:rsid w:val="00AF3C7E"/>
    <w:rsid w:val="00AF3E36"/>
    <w:rsid w:val="00AF421C"/>
    <w:rsid w:val="00AF4247"/>
    <w:rsid w:val="00AF439B"/>
    <w:rsid w:val="00AF49EA"/>
    <w:rsid w:val="00AF4D87"/>
    <w:rsid w:val="00AF6B09"/>
    <w:rsid w:val="00AF6CA5"/>
    <w:rsid w:val="00AF7DC6"/>
    <w:rsid w:val="00B01015"/>
    <w:rsid w:val="00B019B2"/>
    <w:rsid w:val="00B03A51"/>
    <w:rsid w:val="00B075D7"/>
    <w:rsid w:val="00B07EBF"/>
    <w:rsid w:val="00B10CAB"/>
    <w:rsid w:val="00B119FB"/>
    <w:rsid w:val="00B12012"/>
    <w:rsid w:val="00B13E3F"/>
    <w:rsid w:val="00B14499"/>
    <w:rsid w:val="00B17851"/>
    <w:rsid w:val="00B215CA"/>
    <w:rsid w:val="00B2180A"/>
    <w:rsid w:val="00B24E7D"/>
    <w:rsid w:val="00B24F2E"/>
    <w:rsid w:val="00B25A5A"/>
    <w:rsid w:val="00B26624"/>
    <w:rsid w:val="00B26CC6"/>
    <w:rsid w:val="00B27070"/>
    <w:rsid w:val="00B2750C"/>
    <w:rsid w:val="00B32777"/>
    <w:rsid w:val="00B328AF"/>
    <w:rsid w:val="00B32C0A"/>
    <w:rsid w:val="00B3449B"/>
    <w:rsid w:val="00B34D58"/>
    <w:rsid w:val="00B356D9"/>
    <w:rsid w:val="00B358FB"/>
    <w:rsid w:val="00B36B73"/>
    <w:rsid w:val="00B36F3A"/>
    <w:rsid w:val="00B37A43"/>
    <w:rsid w:val="00B4252A"/>
    <w:rsid w:val="00B43714"/>
    <w:rsid w:val="00B43AD4"/>
    <w:rsid w:val="00B43C51"/>
    <w:rsid w:val="00B45330"/>
    <w:rsid w:val="00B50A66"/>
    <w:rsid w:val="00B51EB2"/>
    <w:rsid w:val="00B52691"/>
    <w:rsid w:val="00B53386"/>
    <w:rsid w:val="00B53556"/>
    <w:rsid w:val="00B5574C"/>
    <w:rsid w:val="00B575C2"/>
    <w:rsid w:val="00B6289C"/>
    <w:rsid w:val="00B64164"/>
    <w:rsid w:val="00B6483E"/>
    <w:rsid w:val="00B67194"/>
    <w:rsid w:val="00B72508"/>
    <w:rsid w:val="00B72ED2"/>
    <w:rsid w:val="00B7320E"/>
    <w:rsid w:val="00B73345"/>
    <w:rsid w:val="00B735AB"/>
    <w:rsid w:val="00B77300"/>
    <w:rsid w:val="00B77E55"/>
    <w:rsid w:val="00B811F1"/>
    <w:rsid w:val="00B8240E"/>
    <w:rsid w:val="00B83C74"/>
    <w:rsid w:val="00B843C6"/>
    <w:rsid w:val="00B868BB"/>
    <w:rsid w:val="00B909F6"/>
    <w:rsid w:val="00B90D01"/>
    <w:rsid w:val="00B917F9"/>
    <w:rsid w:val="00B946C5"/>
    <w:rsid w:val="00B96152"/>
    <w:rsid w:val="00B97CFE"/>
    <w:rsid w:val="00BA0AC5"/>
    <w:rsid w:val="00BA1E11"/>
    <w:rsid w:val="00BA2122"/>
    <w:rsid w:val="00BA4F0B"/>
    <w:rsid w:val="00BA59B5"/>
    <w:rsid w:val="00BA5EB1"/>
    <w:rsid w:val="00BA65E9"/>
    <w:rsid w:val="00BA72F9"/>
    <w:rsid w:val="00BA73E3"/>
    <w:rsid w:val="00BA79CA"/>
    <w:rsid w:val="00BA7F71"/>
    <w:rsid w:val="00BB0126"/>
    <w:rsid w:val="00BB10D0"/>
    <w:rsid w:val="00BB1453"/>
    <w:rsid w:val="00BB42A7"/>
    <w:rsid w:val="00BB472C"/>
    <w:rsid w:val="00BB4B7A"/>
    <w:rsid w:val="00BB5AA8"/>
    <w:rsid w:val="00BB7781"/>
    <w:rsid w:val="00BB7944"/>
    <w:rsid w:val="00BC048F"/>
    <w:rsid w:val="00BC2CB1"/>
    <w:rsid w:val="00BC50EB"/>
    <w:rsid w:val="00BC5216"/>
    <w:rsid w:val="00BC5A36"/>
    <w:rsid w:val="00BC78AD"/>
    <w:rsid w:val="00BD0278"/>
    <w:rsid w:val="00BD0638"/>
    <w:rsid w:val="00BD2EE9"/>
    <w:rsid w:val="00BD488B"/>
    <w:rsid w:val="00BD49C8"/>
    <w:rsid w:val="00BE047B"/>
    <w:rsid w:val="00BE20EB"/>
    <w:rsid w:val="00BE2435"/>
    <w:rsid w:val="00BE2E10"/>
    <w:rsid w:val="00BE2E9A"/>
    <w:rsid w:val="00BE4EA4"/>
    <w:rsid w:val="00BE5B2E"/>
    <w:rsid w:val="00BF3ACB"/>
    <w:rsid w:val="00BF4F26"/>
    <w:rsid w:val="00BF716D"/>
    <w:rsid w:val="00BF7430"/>
    <w:rsid w:val="00C01356"/>
    <w:rsid w:val="00C0168A"/>
    <w:rsid w:val="00C0212B"/>
    <w:rsid w:val="00C027B0"/>
    <w:rsid w:val="00C02CB4"/>
    <w:rsid w:val="00C03FE8"/>
    <w:rsid w:val="00C07734"/>
    <w:rsid w:val="00C1001E"/>
    <w:rsid w:val="00C1280A"/>
    <w:rsid w:val="00C12DA0"/>
    <w:rsid w:val="00C159ED"/>
    <w:rsid w:val="00C1781A"/>
    <w:rsid w:val="00C211BA"/>
    <w:rsid w:val="00C21DC8"/>
    <w:rsid w:val="00C22252"/>
    <w:rsid w:val="00C23283"/>
    <w:rsid w:val="00C23AC9"/>
    <w:rsid w:val="00C257E9"/>
    <w:rsid w:val="00C2637C"/>
    <w:rsid w:val="00C30446"/>
    <w:rsid w:val="00C3110E"/>
    <w:rsid w:val="00C31113"/>
    <w:rsid w:val="00C31B90"/>
    <w:rsid w:val="00C32D4F"/>
    <w:rsid w:val="00C33764"/>
    <w:rsid w:val="00C346A9"/>
    <w:rsid w:val="00C351DD"/>
    <w:rsid w:val="00C376AD"/>
    <w:rsid w:val="00C407EE"/>
    <w:rsid w:val="00C415E6"/>
    <w:rsid w:val="00C41FAE"/>
    <w:rsid w:val="00C469E3"/>
    <w:rsid w:val="00C47837"/>
    <w:rsid w:val="00C47CDC"/>
    <w:rsid w:val="00C47FB6"/>
    <w:rsid w:val="00C507FA"/>
    <w:rsid w:val="00C50AEC"/>
    <w:rsid w:val="00C51F97"/>
    <w:rsid w:val="00C52509"/>
    <w:rsid w:val="00C52F6B"/>
    <w:rsid w:val="00C54639"/>
    <w:rsid w:val="00C55F09"/>
    <w:rsid w:val="00C56215"/>
    <w:rsid w:val="00C640C8"/>
    <w:rsid w:val="00C64D17"/>
    <w:rsid w:val="00C65FD8"/>
    <w:rsid w:val="00C66949"/>
    <w:rsid w:val="00C7379D"/>
    <w:rsid w:val="00C747CB"/>
    <w:rsid w:val="00C75251"/>
    <w:rsid w:val="00C75B75"/>
    <w:rsid w:val="00C769F0"/>
    <w:rsid w:val="00C76D4D"/>
    <w:rsid w:val="00C7786D"/>
    <w:rsid w:val="00C8142E"/>
    <w:rsid w:val="00C81574"/>
    <w:rsid w:val="00C8157D"/>
    <w:rsid w:val="00C833C0"/>
    <w:rsid w:val="00C83BA5"/>
    <w:rsid w:val="00C863ED"/>
    <w:rsid w:val="00C906BC"/>
    <w:rsid w:val="00C90755"/>
    <w:rsid w:val="00C93AFE"/>
    <w:rsid w:val="00C946CF"/>
    <w:rsid w:val="00C94C76"/>
    <w:rsid w:val="00C97DD4"/>
    <w:rsid w:val="00CA03EA"/>
    <w:rsid w:val="00CA0F22"/>
    <w:rsid w:val="00CA15ED"/>
    <w:rsid w:val="00CA339D"/>
    <w:rsid w:val="00CA3E79"/>
    <w:rsid w:val="00CA57FD"/>
    <w:rsid w:val="00CA6366"/>
    <w:rsid w:val="00CA7528"/>
    <w:rsid w:val="00CB616D"/>
    <w:rsid w:val="00CB6442"/>
    <w:rsid w:val="00CC2245"/>
    <w:rsid w:val="00CC4F9F"/>
    <w:rsid w:val="00CC58DF"/>
    <w:rsid w:val="00CC7F9F"/>
    <w:rsid w:val="00CD0738"/>
    <w:rsid w:val="00CD198D"/>
    <w:rsid w:val="00CD1E47"/>
    <w:rsid w:val="00CD2287"/>
    <w:rsid w:val="00CD2610"/>
    <w:rsid w:val="00CD411C"/>
    <w:rsid w:val="00CD540F"/>
    <w:rsid w:val="00CD7BE3"/>
    <w:rsid w:val="00CD7E49"/>
    <w:rsid w:val="00CE1B15"/>
    <w:rsid w:val="00CE648A"/>
    <w:rsid w:val="00CE64F2"/>
    <w:rsid w:val="00CE6603"/>
    <w:rsid w:val="00CE77CA"/>
    <w:rsid w:val="00CF21E8"/>
    <w:rsid w:val="00CF31EB"/>
    <w:rsid w:val="00CF35DD"/>
    <w:rsid w:val="00CF49F8"/>
    <w:rsid w:val="00CF5376"/>
    <w:rsid w:val="00CF5412"/>
    <w:rsid w:val="00CF5610"/>
    <w:rsid w:val="00CF6241"/>
    <w:rsid w:val="00CF6562"/>
    <w:rsid w:val="00D001F3"/>
    <w:rsid w:val="00D0097A"/>
    <w:rsid w:val="00D00BF7"/>
    <w:rsid w:val="00D01818"/>
    <w:rsid w:val="00D02638"/>
    <w:rsid w:val="00D02FC3"/>
    <w:rsid w:val="00D03203"/>
    <w:rsid w:val="00D0344C"/>
    <w:rsid w:val="00D03694"/>
    <w:rsid w:val="00D048D8"/>
    <w:rsid w:val="00D054C7"/>
    <w:rsid w:val="00D0569B"/>
    <w:rsid w:val="00D10898"/>
    <w:rsid w:val="00D11E9C"/>
    <w:rsid w:val="00D12AB1"/>
    <w:rsid w:val="00D131D0"/>
    <w:rsid w:val="00D13AB7"/>
    <w:rsid w:val="00D14142"/>
    <w:rsid w:val="00D20F64"/>
    <w:rsid w:val="00D2304F"/>
    <w:rsid w:val="00D23241"/>
    <w:rsid w:val="00D23FF0"/>
    <w:rsid w:val="00D249F8"/>
    <w:rsid w:val="00D2699A"/>
    <w:rsid w:val="00D270BD"/>
    <w:rsid w:val="00D2766D"/>
    <w:rsid w:val="00D276B6"/>
    <w:rsid w:val="00D27D58"/>
    <w:rsid w:val="00D3013D"/>
    <w:rsid w:val="00D31008"/>
    <w:rsid w:val="00D3115C"/>
    <w:rsid w:val="00D31ACB"/>
    <w:rsid w:val="00D37117"/>
    <w:rsid w:val="00D37EB8"/>
    <w:rsid w:val="00D40930"/>
    <w:rsid w:val="00D40E03"/>
    <w:rsid w:val="00D40FD2"/>
    <w:rsid w:val="00D42925"/>
    <w:rsid w:val="00D42CFA"/>
    <w:rsid w:val="00D4435A"/>
    <w:rsid w:val="00D44F4E"/>
    <w:rsid w:val="00D46A03"/>
    <w:rsid w:val="00D50053"/>
    <w:rsid w:val="00D50308"/>
    <w:rsid w:val="00D52108"/>
    <w:rsid w:val="00D525F0"/>
    <w:rsid w:val="00D53F93"/>
    <w:rsid w:val="00D542B6"/>
    <w:rsid w:val="00D57D7A"/>
    <w:rsid w:val="00D614E0"/>
    <w:rsid w:val="00D61838"/>
    <w:rsid w:val="00D6198C"/>
    <w:rsid w:val="00D620DE"/>
    <w:rsid w:val="00D62CA1"/>
    <w:rsid w:val="00D63512"/>
    <w:rsid w:val="00D6352A"/>
    <w:rsid w:val="00D637C3"/>
    <w:rsid w:val="00D64A75"/>
    <w:rsid w:val="00D655C1"/>
    <w:rsid w:val="00D675AB"/>
    <w:rsid w:val="00D73165"/>
    <w:rsid w:val="00D75D42"/>
    <w:rsid w:val="00D80EDA"/>
    <w:rsid w:val="00D84118"/>
    <w:rsid w:val="00D86102"/>
    <w:rsid w:val="00D8631D"/>
    <w:rsid w:val="00D86BD4"/>
    <w:rsid w:val="00D87277"/>
    <w:rsid w:val="00D87763"/>
    <w:rsid w:val="00D904DF"/>
    <w:rsid w:val="00D91EAB"/>
    <w:rsid w:val="00D92FA3"/>
    <w:rsid w:val="00D94970"/>
    <w:rsid w:val="00D960E1"/>
    <w:rsid w:val="00D97C66"/>
    <w:rsid w:val="00DA0084"/>
    <w:rsid w:val="00DA3979"/>
    <w:rsid w:val="00DA60A9"/>
    <w:rsid w:val="00DA60AA"/>
    <w:rsid w:val="00DA7EE0"/>
    <w:rsid w:val="00DB0C41"/>
    <w:rsid w:val="00DB2FAF"/>
    <w:rsid w:val="00DB3574"/>
    <w:rsid w:val="00DB3E8D"/>
    <w:rsid w:val="00DB3FE8"/>
    <w:rsid w:val="00DB56F7"/>
    <w:rsid w:val="00DB6B13"/>
    <w:rsid w:val="00DB6B56"/>
    <w:rsid w:val="00DB6C61"/>
    <w:rsid w:val="00DC16E7"/>
    <w:rsid w:val="00DD0CC7"/>
    <w:rsid w:val="00DD3024"/>
    <w:rsid w:val="00DD3862"/>
    <w:rsid w:val="00DD4FE3"/>
    <w:rsid w:val="00DE0F2C"/>
    <w:rsid w:val="00DE2EF5"/>
    <w:rsid w:val="00DE3B05"/>
    <w:rsid w:val="00DE4A99"/>
    <w:rsid w:val="00DE58BE"/>
    <w:rsid w:val="00DE5AB6"/>
    <w:rsid w:val="00DE6A68"/>
    <w:rsid w:val="00DF01C7"/>
    <w:rsid w:val="00DF0551"/>
    <w:rsid w:val="00DF2634"/>
    <w:rsid w:val="00DF3CE3"/>
    <w:rsid w:val="00DF4FF5"/>
    <w:rsid w:val="00DF6411"/>
    <w:rsid w:val="00E03A67"/>
    <w:rsid w:val="00E04585"/>
    <w:rsid w:val="00E04A4B"/>
    <w:rsid w:val="00E04C6A"/>
    <w:rsid w:val="00E06137"/>
    <w:rsid w:val="00E0683B"/>
    <w:rsid w:val="00E068FD"/>
    <w:rsid w:val="00E07764"/>
    <w:rsid w:val="00E07EC0"/>
    <w:rsid w:val="00E10DAC"/>
    <w:rsid w:val="00E12D47"/>
    <w:rsid w:val="00E143A0"/>
    <w:rsid w:val="00E14662"/>
    <w:rsid w:val="00E14D91"/>
    <w:rsid w:val="00E16B4F"/>
    <w:rsid w:val="00E21DEF"/>
    <w:rsid w:val="00E21FA6"/>
    <w:rsid w:val="00E30530"/>
    <w:rsid w:val="00E314A1"/>
    <w:rsid w:val="00E3242F"/>
    <w:rsid w:val="00E3301D"/>
    <w:rsid w:val="00E33A75"/>
    <w:rsid w:val="00E347A2"/>
    <w:rsid w:val="00E35151"/>
    <w:rsid w:val="00E3543B"/>
    <w:rsid w:val="00E36ADC"/>
    <w:rsid w:val="00E36F8F"/>
    <w:rsid w:val="00E41103"/>
    <w:rsid w:val="00E41C6A"/>
    <w:rsid w:val="00E41DD8"/>
    <w:rsid w:val="00E42878"/>
    <w:rsid w:val="00E43265"/>
    <w:rsid w:val="00E46012"/>
    <w:rsid w:val="00E46EC6"/>
    <w:rsid w:val="00E50609"/>
    <w:rsid w:val="00E5169E"/>
    <w:rsid w:val="00E52971"/>
    <w:rsid w:val="00E534FD"/>
    <w:rsid w:val="00E55A50"/>
    <w:rsid w:val="00E64193"/>
    <w:rsid w:val="00E658F6"/>
    <w:rsid w:val="00E70A61"/>
    <w:rsid w:val="00E7160B"/>
    <w:rsid w:val="00E71E40"/>
    <w:rsid w:val="00E72544"/>
    <w:rsid w:val="00E72C41"/>
    <w:rsid w:val="00E74B72"/>
    <w:rsid w:val="00E74BC9"/>
    <w:rsid w:val="00E75040"/>
    <w:rsid w:val="00E769F9"/>
    <w:rsid w:val="00E773E8"/>
    <w:rsid w:val="00E811A4"/>
    <w:rsid w:val="00E8125E"/>
    <w:rsid w:val="00E85D63"/>
    <w:rsid w:val="00E8782E"/>
    <w:rsid w:val="00E87E7B"/>
    <w:rsid w:val="00E90509"/>
    <w:rsid w:val="00E916A9"/>
    <w:rsid w:val="00E9246B"/>
    <w:rsid w:val="00E9285C"/>
    <w:rsid w:val="00E94AFB"/>
    <w:rsid w:val="00E954A8"/>
    <w:rsid w:val="00E95813"/>
    <w:rsid w:val="00E96844"/>
    <w:rsid w:val="00E97115"/>
    <w:rsid w:val="00E97D73"/>
    <w:rsid w:val="00EA0332"/>
    <w:rsid w:val="00EA2E96"/>
    <w:rsid w:val="00EA4408"/>
    <w:rsid w:val="00EA4E46"/>
    <w:rsid w:val="00EA5ED0"/>
    <w:rsid w:val="00EA683C"/>
    <w:rsid w:val="00EA6BB0"/>
    <w:rsid w:val="00EA6C28"/>
    <w:rsid w:val="00EB0EF5"/>
    <w:rsid w:val="00EB4EBA"/>
    <w:rsid w:val="00EB7352"/>
    <w:rsid w:val="00EB7ED2"/>
    <w:rsid w:val="00EC160D"/>
    <w:rsid w:val="00EC307D"/>
    <w:rsid w:val="00EC5BBA"/>
    <w:rsid w:val="00EC757F"/>
    <w:rsid w:val="00EC7DC0"/>
    <w:rsid w:val="00ED0AA1"/>
    <w:rsid w:val="00ED1058"/>
    <w:rsid w:val="00ED1D2D"/>
    <w:rsid w:val="00ED262C"/>
    <w:rsid w:val="00ED30B7"/>
    <w:rsid w:val="00ED365B"/>
    <w:rsid w:val="00ED3E4C"/>
    <w:rsid w:val="00ED4AC9"/>
    <w:rsid w:val="00ED6413"/>
    <w:rsid w:val="00ED755D"/>
    <w:rsid w:val="00ED7DFA"/>
    <w:rsid w:val="00EE0870"/>
    <w:rsid w:val="00EE52B8"/>
    <w:rsid w:val="00EE671F"/>
    <w:rsid w:val="00EE67EE"/>
    <w:rsid w:val="00EF098B"/>
    <w:rsid w:val="00EF1643"/>
    <w:rsid w:val="00EF3954"/>
    <w:rsid w:val="00EF4BE3"/>
    <w:rsid w:val="00EF4DBF"/>
    <w:rsid w:val="00EF4E95"/>
    <w:rsid w:val="00EF7690"/>
    <w:rsid w:val="00F00297"/>
    <w:rsid w:val="00F0153B"/>
    <w:rsid w:val="00F01E65"/>
    <w:rsid w:val="00F0251F"/>
    <w:rsid w:val="00F02C08"/>
    <w:rsid w:val="00F03D94"/>
    <w:rsid w:val="00F06345"/>
    <w:rsid w:val="00F07706"/>
    <w:rsid w:val="00F11F55"/>
    <w:rsid w:val="00F11FC0"/>
    <w:rsid w:val="00F12324"/>
    <w:rsid w:val="00F12422"/>
    <w:rsid w:val="00F12B49"/>
    <w:rsid w:val="00F1349A"/>
    <w:rsid w:val="00F1457C"/>
    <w:rsid w:val="00F16A7A"/>
    <w:rsid w:val="00F2403C"/>
    <w:rsid w:val="00F24762"/>
    <w:rsid w:val="00F24AEE"/>
    <w:rsid w:val="00F24BEF"/>
    <w:rsid w:val="00F24DDF"/>
    <w:rsid w:val="00F255AA"/>
    <w:rsid w:val="00F3139C"/>
    <w:rsid w:val="00F32560"/>
    <w:rsid w:val="00F3276F"/>
    <w:rsid w:val="00F339F4"/>
    <w:rsid w:val="00F33D0B"/>
    <w:rsid w:val="00F35F3F"/>
    <w:rsid w:val="00F36D6B"/>
    <w:rsid w:val="00F3743C"/>
    <w:rsid w:val="00F40653"/>
    <w:rsid w:val="00F42F50"/>
    <w:rsid w:val="00F446B1"/>
    <w:rsid w:val="00F458AD"/>
    <w:rsid w:val="00F50035"/>
    <w:rsid w:val="00F511A5"/>
    <w:rsid w:val="00F513A7"/>
    <w:rsid w:val="00F51A2D"/>
    <w:rsid w:val="00F5268E"/>
    <w:rsid w:val="00F52E29"/>
    <w:rsid w:val="00F5354E"/>
    <w:rsid w:val="00F54980"/>
    <w:rsid w:val="00F54C09"/>
    <w:rsid w:val="00F559F0"/>
    <w:rsid w:val="00F5699B"/>
    <w:rsid w:val="00F61DC1"/>
    <w:rsid w:val="00F63EFE"/>
    <w:rsid w:val="00F641AC"/>
    <w:rsid w:val="00F65C28"/>
    <w:rsid w:val="00F67735"/>
    <w:rsid w:val="00F70136"/>
    <w:rsid w:val="00F7020D"/>
    <w:rsid w:val="00F70997"/>
    <w:rsid w:val="00F70B61"/>
    <w:rsid w:val="00F71FF8"/>
    <w:rsid w:val="00F72675"/>
    <w:rsid w:val="00F745F6"/>
    <w:rsid w:val="00F74779"/>
    <w:rsid w:val="00F763EE"/>
    <w:rsid w:val="00F766A2"/>
    <w:rsid w:val="00F7733D"/>
    <w:rsid w:val="00F77A67"/>
    <w:rsid w:val="00F80D7C"/>
    <w:rsid w:val="00F81A9D"/>
    <w:rsid w:val="00F83270"/>
    <w:rsid w:val="00F84C4B"/>
    <w:rsid w:val="00F8776B"/>
    <w:rsid w:val="00F90740"/>
    <w:rsid w:val="00F92E63"/>
    <w:rsid w:val="00F94C33"/>
    <w:rsid w:val="00F95A98"/>
    <w:rsid w:val="00F96CF3"/>
    <w:rsid w:val="00F973BD"/>
    <w:rsid w:val="00FA04B3"/>
    <w:rsid w:val="00FA06E5"/>
    <w:rsid w:val="00FA0746"/>
    <w:rsid w:val="00FA1896"/>
    <w:rsid w:val="00FA202F"/>
    <w:rsid w:val="00FA2917"/>
    <w:rsid w:val="00FA3428"/>
    <w:rsid w:val="00FA3BED"/>
    <w:rsid w:val="00FA408C"/>
    <w:rsid w:val="00FA4B3F"/>
    <w:rsid w:val="00FA4F1D"/>
    <w:rsid w:val="00FA506E"/>
    <w:rsid w:val="00FA56F7"/>
    <w:rsid w:val="00FA620B"/>
    <w:rsid w:val="00FA6F94"/>
    <w:rsid w:val="00FB00E7"/>
    <w:rsid w:val="00FB01D9"/>
    <w:rsid w:val="00FB1506"/>
    <w:rsid w:val="00FB1625"/>
    <w:rsid w:val="00FB1C91"/>
    <w:rsid w:val="00FB3708"/>
    <w:rsid w:val="00FB3BDF"/>
    <w:rsid w:val="00FB5A9C"/>
    <w:rsid w:val="00FB6614"/>
    <w:rsid w:val="00FB6FAD"/>
    <w:rsid w:val="00FB727D"/>
    <w:rsid w:val="00FC0E8A"/>
    <w:rsid w:val="00FC4B35"/>
    <w:rsid w:val="00FC5E12"/>
    <w:rsid w:val="00FD0153"/>
    <w:rsid w:val="00FD0CC5"/>
    <w:rsid w:val="00FD2E5B"/>
    <w:rsid w:val="00FD3453"/>
    <w:rsid w:val="00FD51EF"/>
    <w:rsid w:val="00FD5A6B"/>
    <w:rsid w:val="00FD6A8A"/>
    <w:rsid w:val="00FD6BDF"/>
    <w:rsid w:val="00FD6F86"/>
    <w:rsid w:val="00FD7380"/>
    <w:rsid w:val="00FE342E"/>
    <w:rsid w:val="00FE3520"/>
    <w:rsid w:val="00FE428E"/>
    <w:rsid w:val="00FE5FC5"/>
    <w:rsid w:val="00FE6636"/>
    <w:rsid w:val="00FE7A52"/>
    <w:rsid w:val="00FF1685"/>
    <w:rsid w:val="00FF3598"/>
    <w:rsid w:val="00FF4634"/>
    <w:rsid w:val="00FF51EA"/>
    <w:rsid w:val="00FF5476"/>
    <w:rsid w:val="00FF5673"/>
    <w:rsid w:val="00FF5CCA"/>
    <w:rsid w:val="00FF62AF"/>
    <w:rsid w:val="00FF657B"/>
    <w:rsid w:val="00FF6743"/>
    <w:rsid w:val="00FF6EA5"/>
    <w:rsid w:val="00FF789A"/>
    <w:rsid w:val="016C37CC"/>
    <w:rsid w:val="034660DC"/>
    <w:rsid w:val="0514FDFF"/>
    <w:rsid w:val="05B3D0BD"/>
    <w:rsid w:val="090D6C11"/>
    <w:rsid w:val="0A5C285A"/>
    <w:rsid w:val="0C46A52D"/>
    <w:rsid w:val="0CEE13A5"/>
    <w:rsid w:val="12E6383E"/>
    <w:rsid w:val="14DCF3ED"/>
    <w:rsid w:val="15E9A94C"/>
    <w:rsid w:val="1AA1800D"/>
    <w:rsid w:val="1B0265CF"/>
    <w:rsid w:val="1B615F14"/>
    <w:rsid w:val="1C88CF83"/>
    <w:rsid w:val="1E1161FF"/>
    <w:rsid w:val="1F4705F1"/>
    <w:rsid w:val="21BFF327"/>
    <w:rsid w:val="23B45BED"/>
    <w:rsid w:val="24003A64"/>
    <w:rsid w:val="2B141EEB"/>
    <w:rsid w:val="2D25565B"/>
    <w:rsid w:val="316C34D9"/>
    <w:rsid w:val="367F519B"/>
    <w:rsid w:val="394F370E"/>
    <w:rsid w:val="3A4AAAFF"/>
    <w:rsid w:val="3B69B607"/>
    <w:rsid w:val="4212BBE7"/>
    <w:rsid w:val="454C38F5"/>
    <w:rsid w:val="46E30114"/>
    <w:rsid w:val="491418D9"/>
    <w:rsid w:val="4B90F60D"/>
    <w:rsid w:val="4D5EA8DF"/>
    <w:rsid w:val="51C5165D"/>
    <w:rsid w:val="52BDD39D"/>
    <w:rsid w:val="5535D316"/>
    <w:rsid w:val="5979F2C0"/>
    <w:rsid w:val="5DE7D8E4"/>
    <w:rsid w:val="5E705CCC"/>
    <w:rsid w:val="5E9BD30E"/>
    <w:rsid w:val="6067CDF7"/>
    <w:rsid w:val="61DC762F"/>
    <w:rsid w:val="628E189F"/>
    <w:rsid w:val="6453B46D"/>
    <w:rsid w:val="66E0386C"/>
    <w:rsid w:val="7346EF61"/>
    <w:rsid w:val="734A50CC"/>
    <w:rsid w:val="761DBA73"/>
    <w:rsid w:val="763648BA"/>
    <w:rsid w:val="7870FC46"/>
    <w:rsid w:val="7E26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F87D"/>
  <w15:chartTrackingRefBased/>
  <w15:docId w15:val="{AEC8B88F-81D4-4474-AD3B-89A0F95E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921"/>
    <w:pPr>
      <w:spacing w:after="120" w:line="360" w:lineRule="auto"/>
    </w:pPr>
    <w:rPr>
      <w:sz w:val="22"/>
    </w:rPr>
  </w:style>
  <w:style w:type="paragraph" w:styleId="Heading1">
    <w:name w:val="heading 1"/>
    <w:basedOn w:val="Normal"/>
    <w:next w:val="Normal"/>
    <w:link w:val="Heading1Char"/>
    <w:uiPriority w:val="9"/>
    <w:qFormat/>
    <w:rsid w:val="00235AE9"/>
    <w:pPr>
      <w:keepNext/>
      <w:keepLines/>
      <w:spacing w:before="360" w:after="80"/>
      <w:outlineLvl w:val="0"/>
    </w:pPr>
    <w:rPr>
      <w:rFonts w:asciiTheme="majorHAnsi" w:eastAsiaTheme="majorEastAsia" w:hAnsiTheme="majorHAnsi" w:cstheme="majorBidi"/>
      <w:color w:val="215E99" w:themeColor="text2" w:themeTint="BF"/>
      <w:sz w:val="32"/>
      <w:szCs w:val="40"/>
    </w:rPr>
  </w:style>
  <w:style w:type="paragraph" w:styleId="Heading2">
    <w:name w:val="heading 2"/>
    <w:basedOn w:val="Normal"/>
    <w:next w:val="Normal"/>
    <w:link w:val="Heading2Char"/>
    <w:uiPriority w:val="9"/>
    <w:unhideWhenUsed/>
    <w:qFormat/>
    <w:rsid w:val="00811856"/>
    <w:pPr>
      <w:keepNext/>
      <w:keepLines/>
      <w:spacing w:before="160" w:after="80"/>
      <w:outlineLvl w:val="1"/>
    </w:pPr>
    <w:rPr>
      <w:rFonts w:asciiTheme="majorHAnsi" w:eastAsiaTheme="majorEastAsia" w:hAnsiTheme="majorHAnsi" w:cstheme="majorBidi"/>
      <w:color w:val="215E99" w:themeColor="text2" w:themeTint="BF"/>
      <w:sz w:val="28"/>
      <w:szCs w:val="32"/>
    </w:rPr>
  </w:style>
  <w:style w:type="paragraph" w:styleId="Heading3">
    <w:name w:val="heading 3"/>
    <w:basedOn w:val="Normal"/>
    <w:next w:val="Normal"/>
    <w:link w:val="Heading3Char"/>
    <w:uiPriority w:val="9"/>
    <w:unhideWhenUsed/>
    <w:qFormat/>
    <w:rsid w:val="00970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E9"/>
    <w:rPr>
      <w:rFonts w:asciiTheme="majorHAnsi" w:eastAsiaTheme="majorEastAsia" w:hAnsiTheme="majorHAnsi" w:cstheme="majorBidi"/>
      <w:color w:val="215E99" w:themeColor="text2" w:themeTint="BF"/>
      <w:sz w:val="32"/>
      <w:szCs w:val="40"/>
    </w:rPr>
  </w:style>
  <w:style w:type="character" w:customStyle="1" w:styleId="Heading2Char">
    <w:name w:val="Heading 2 Char"/>
    <w:basedOn w:val="DefaultParagraphFont"/>
    <w:link w:val="Heading2"/>
    <w:uiPriority w:val="9"/>
    <w:rsid w:val="00811856"/>
    <w:rPr>
      <w:rFonts w:asciiTheme="majorHAnsi" w:eastAsiaTheme="majorEastAsia" w:hAnsiTheme="majorHAnsi" w:cstheme="majorBidi"/>
      <w:color w:val="215E99" w:themeColor="text2" w:themeTint="BF"/>
      <w:sz w:val="28"/>
      <w:szCs w:val="32"/>
    </w:rPr>
  </w:style>
  <w:style w:type="character" w:customStyle="1" w:styleId="Heading3Char">
    <w:name w:val="Heading 3 Char"/>
    <w:basedOn w:val="DefaultParagraphFont"/>
    <w:link w:val="Heading3"/>
    <w:uiPriority w:val="9"/>
    <w:rsid w:val="00970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8AB"/>
    <w:rPr>
      <w:rFonts w:eastAsiaTheme="majorEastAsia" w:cstheme="majorBidi"/>
      <w:color w:val="272727" w:themeColor="text1" w:themeTint="D8"/>
    </w:rPr>
  </w:style>
  <w:style w:type="paragraph" w:styleId="Title">
    <w:name w:val="Title"/>
    <w:basedOn w:val="Normal"/>
    <w:next w:val="Normal"/>
    <w:link w:val="TitleChar"/>
    <w:uiPriority w:val="10"/>
    <w:qFormat/>
    <w:rsid w:val="0097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8AB"/>
    <w:pPr>
      <w:spacing w:before="160"/>
      <w:jc w:val="center"/>
    </w:pPr>
    <w:rPr>
      <w:i/>
      <w:iCs/>
      <w:color w:val="404040" w:themeColor="text1" w:themeTint="BF"/>
    </w:rPr>
  </w:style>
  <w:style w:type="character" w:customStyle="1" w:styleId="QuoteChar">
    <w:name w:val="Quote Char"/>
    <w:basedOn w:val="DefaultParagraphFont"/>
    <w:link w:val="Quote"/>
    <w:uiPriority w:val="29"/>
    <w:rsid w:val="009708AB"/>
    <w:rPr>
      <w:i/>
      <w:iCs/>
      <w:color w:val="404040" w:themeColor="text1" w:themeTint="BF"/>
    </w:rPr>
  </w:style>
  <w:style w:type="paragraph" w:styleId="ListParagraph">
    <w:name w:val="List Paragraph"/>
    <w:basedOn w:val="Normal"/>
    <w:uiPriority w:val="34"/>
    <w:qFormat/>
    <w:rsid w:val="009708AB"/>
    <w:pPr>
      <w:ind w:left="720"/>
      <w:contextualSpacing/>
    </w:pPr>
  </w:style>
  <w:style w:type="character" w:styleId="IntenseEmphasis">
    <w:name w:val="Intense Emphasis"/>
    <w:basedOn w:val="DefaultParagraphFont"/>
    <w:uiPriority w:val="21"/>
    <w:qFormat/>
    <w:rsid w:val="009708AB"/>
    <w:rPr>
      <w:i/>
      <w:iCs/>
      <w:color w:val="0F4761" w:themeColor="accent1" w:themeShade="BF"/>
    </w:rPr>
  </w:style>
  <w:style w:type="paragraph" w:styleId="IntenseQuote">
    <w:name w:val="Intense Quote"/>
    <w:basedOn w:val="Normal"/>
    <w:next w:val="Normal"/>
    <w:link w:val="IntenseQuoteChar"/>
    <w:uiPriority w:val="30"/>
    <w:qFormat/>
    <w:rsid w:val="0097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8AB"/>
    <w:rPr>
      <w:i/>
      <w:iCs/>
      <w:color w:val="0F4761" w:themeColor="accent1" w:themeShade="BF"/>
    </w:rPr>
  </w:style>
  <w:style w:type="character" w:styleId="IntenseReference">
    <w:name w:val="Intense Reference"/>
    <w:basedOn w:val="DefaultParagraphFont"/>
    <w:uiPriority w:val="32"/>
    <w:qFormat/>
    <w:rsid w:val="009708AB"/>
    <w:rPr>
      <w:b/>
      <w:bCs/>
      <w:smallCaps/>
      <w:color w:val="0F4761" w:themeColor="accent1" w:themeShade="BF"/>
      <w:spacing w:val="5"/>
    </w:rPr>
  </w:style>
  <w:style w:type="paragraph" w:styleId="Header">
    <w:name w:val="header"/>
    <w:basedOn w:val="Normal"/>
    <w:link w:val="HeaderChar"/>
    <w:uiPriority w:val="99"/>
    <w:unhideWhenUsed/>
    <w:rsid w:val="00BC5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A36"/>
  </w:style>
  <w:style w:type="paragraph" w:styleId="Footer">
    <w:name w:val="footer"/>
    <w:basedOn w:val="Normal"/>
    <w:link w:val="FooterChar"/>
    <w:uiPriority w:val="99"/>
    <w:unhideWhenUsed/>
    <w:rsid w:val="00BC5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A36"/>
  </w:style>
  <w:style w:type="paragraph" w:customStyle="1" w:styleId="Title1">
    <w:name w:val="Title 1"/>
    <w:autoRedefine/>
    <w:qFormat/>
    <w:rsid w:val="00D40930"/>
    <w:pPr>
      <w:spacing w:after="240" w:line="240" w:lineRule="auto"/>
      <w:jc w:val="center"/>
    </w:pPr>
    <w:rPr>
      <w:rFonts w:asciiTheme="majorHAnsi" w:eastAsiaTheme="majorEastAsia" w:hAnsiTheme="majorHAnsi" w:cstheme="minorHAnsi"/>
      <w:b/>
      <w:bCs/>
      <w:color w:val="215E99" w:themeColor="text2" w:themeTint="BF"/>
      <w:kern w:val="0"/>
      <w:sz w:val="44"/>
      <w:szCs w:val="56"/>
      <w14:ligatures w14:val="none"/>
    </w:rPr>
  </w:style>
  <w:style w:type="paragraph" w:customStyle="1" w:styleId="Subtitle1">
    <w:name w:val="Subtitle 1"/>
    <w:basedOn w:val="NoSpacing"/>
    <w:autoRedefine/>
    <w:qFormat/>
    <w:rsid w:val="00AA1147"/>
    <w:pPr>
      <w:spacing w:before="120" w:after="240"/>
      <w:ind w:left="-1350"/>
      <w:jc w:val="center"/>
    </w:pPr>
    <w:rPr>
      <w:rFonts w:asciiTheme="majorHAnsi" w:eastAsiaTheme="majorEastAsia" w:hAnsiTheme="majorHAnsi" w:cstheme="majorBidi"/>
      <w:noProof/>
      <w:color w:val="215E99" w:themeColor="text2" w:themeTint="BF"/>
      <w:kern w:val="0"/>
      <w:sz w:val="28"/>
      <w:szCs w:val="44"/>
      <w:lang w:val="en-ZA"/>
      <w14:ligatures w14:val="none"/>
    </w:rPr>
  </w:style>
  <w:style w:type="character" w:styleId="Strong">
    <w:name w:val="Strong"/>
    <w:basedOn w:val="DefaultParagraphFont"/>
    <w:uiPriority w:val="22"/>
    <w:qFormat/>
    <w:rsid w:val="00BC5A36"/>
    <w:rPr>
      <w:b/>
      <w:bCs/>
    </w:rPr>
  </w:style>
  <w:style w:type="paragraph" w:styleId="NoSpacing">
    <w:name w:val="No Spacing"/>
    <w:uiPriority w:val="1"/>
    <w:qFormat/>
    <w:rsid w:val="00BC5A36"/>
    <w:pPr>
      <w:spacing w:after="0" w:line="240" w:lineRule="auto"/>
    </w:pPr>
  </w:style>
  <w:style w:type="paragraph" w:styleId="TOCHeading">
    <w:name w:val="TOC Heading"/>
    <w:basedOn w:val="Heading1"/>
    <w:next w:val="Normal"/>
    <w:uiPriority w:val="39"/>
    <w:unhideWhenUsed/>
    <w:qFormat/>
    <w:rsid w:val="00306F5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74B72"/>
    <w:pPr>
      <w:spacing w:before="120" w:after="0"/>
    </w:pPr>
    <w:rPr>
      <w:b/>
      <w:bCs/>
      <w:i/>
      <w:iCs/>
      <w:sz w:val="24"/>
    </w:rPr>
  </w:style>
  <w:style w:type="character" w:styleId="Hyperlink">
    <w:name w:val="Hyperlink"/>
    <w:basedOn w:val="DefaultParagraphFont"/>
    <w:uiPriority w:val="99"/>
    <w:unhideWhenUsed/>
    <w:rsid w:val="00306F53"/>
    <w:rPr>
      <w:color w:val="467886" w:themeColor="hyperlink"/>
      <w:u w:val="single"/>
    </w:rPr>
  </w:style>
  <w:style w:type="paragraph" w:styleId="TOC2">
    <w:name w:val="toc 2"/>
    <w:basedOn w:val="Normal"/>
    <w:next w:val="Normal"/>
    <w:autoRedefine/>
    <w:uiPriority w:val="39"/>
    <w:unhideWhenUsed/>
    <w:rsid w:val="00306F53"/>
    <w:pPr>
      <w:spacing w:before="120" w:after="0"/>
      <w:ind w:left="220"/>
    </w:pPr>
    <w:rPr>
      <w:b/>
      <w:bCs/>
      <w:szCs w:val="22"/>
    </w:rPr>
  </w:style>
  <w:style w:type="paragraph" w:styleId="TOC3">
    <w:name w:val="toc 3"/>
    <w:basedOn w:val="Normal"/>
    <w:next w:val="Normal"/>
    <w:autoRedefine/>
    <w:uiPriority w:val="39"/>
    <w:unhideWhenUsed/>
    <w:rsid w:val="00306F53"/>
    <w:pPr>
      <w:spacing w:after="0"/>
      <w:ind w:left="440"/>
    </w:pPr>
    <w:rPr>
      <w:sz w:val="20"/>
      <w:szCs w:val="20"/>
    </w:rPr>
  </w:style>
  <w:style w:type="paragraph" w:styleId="TOC4">
    <w:name w:val="toc 4"/>
    <w:basedOn w:val="Normal"/>
    <w:next w:val="Normal"/>
    <w:autoRedefine/>
    <w:uiPriority w:val="39"/>
    <w:semiHidden/>
    <w:unhideWhenUsed/>
    <w:rsid w:val="00306F53"/>
    <w:pPr>
      <w:spacing w:after="0"/>
      <w:ind w:left="660"/>
    </w:pPr>
    <w:rPr>
      <w:sz w:val="20"/>
      <w:szCs w:val="20"/>
    </w:rPr>
  </w:style>
  <w:style w:type="paragraph" w:styleId="TOC5">
    <w:name w:val="toc 5"/>
    <w:basedOn w:val="Normal"/>
    <w:next w:val="Normal"/>
    <w:autoRedefine/>
    <w:uiPriority w:val="39"/>
    <w:semiHidden/>
    <w:unhideWhenUsed/>
    <w:rsid w:val="00306F53"/>
    <w:pPr>
      <w:spacing w:after="0"/>
      <w:ind w:left="880"/>
    </w:pPr>
    <w:rPr>
      <w:sz w:val="20"/>
      <w:szCs w:val="20"/>
    </w:rPr>
  </w:style>
  <w:style w:type="paragraph" w:styleId="TOC6">
    <w:name w:val="toc 6"/>
    <w:basedOn w:val="Normal"/>
    <w:next w:val="Normal"/>
    <w:autoRedefine/>
    <w:uiPriority w:val="39"/>
    <w:semiHidden/>
    <w:unhideWhenUsed/>
    <w:rsid w:val="00306F53"/>
    <w:pPr>
      <w:spacing w:after="0"/>
      <w:ind w:left="1100"/>
    </w:pPr>
    <w:rPr>
      <w:sz w:val="20"/>
      <w:szCs w:val="20"/>
    </w:rPr>
  </w:style>
  <w:style w:type="paragraph" w:styleId="TOC7">
    <w:name w:val="toc 7"/>
    <w:basedOn w:val="Normal"/>
    <w:next w:val="Normal"/>
    <w:autoRedefine/>
    <w:uiPriority w:val="39"/>
    <w:semiHidden/>
    <w:unhideWhenUsed/>
    <w:rsid w:val="00306F53"/>
    <w:pPr>
      <w:spacing w:after="0"/>
      <w:ind w:left="1320"/>
    </w:pPr>
    <w:rPr>
      <w:sz w:val="20"/>
      <w:szCs w:val="20"/>
    </w:rPr>
  </w:style>
  <w:style w:type="paragraph" w:styleId="TOC8">
    <w:name w:val="toc 8"/>
    <w:basedOn w:val="Normal"/>
    <w:next w:val="Normal"/>
    <w:autoRedefine/>
    <w:uiPriority w:val="39"/>
    <w:semiHidden/>
    <w:unhideWhenUsed/>
    <w:rsid w:val="00306F53"/>
    <w:pPr>
      <w:spacing w:after="0"/>
      <w:ind w:left="1540"/>
    </w:pPr>
    <w:rPr>
      <w:sz w:val="20"/>
      <w:szCs w:val="20"/>
    </w:rPr>
  </w:style>
  <w:style w:type="paragraph" w:styleId="TOC9">
    <w:name w:val="toc 9"/>
    <w:basedOn w:val="Normal"/>
    <w:next w:val="Normal"/>
    <w:autoRedefine/>
    <w:uiPriority w:val="39"/>
    <w:semiHidden/>
    <w:unhideWhenUsed/>
    <w:rsid w:val="00306F53"/>
    <w:pPr>
      <w:spacing w:after="0"/>
      <w:ind w:left="1760"/>
    </w:pPr>
    <w:rPr>
      <w:sz w:val="20"/>
      <w:szCs w:val="20"/>
    </w:rPr>
  </w:style>
  <w:style w:type="paragraph" w:styleId="NormalWeb">
    <w:name w:val="Normal (Web)"/>
    <w:basedOn w:val="Normal"/>
    <w:uiPriority w:val="99"/>
    <w:unhideWhenUsed/>
    <w:rsid w:val="00280ACE"/>
    <w:pPr>
      <w:spacing w:before="100" w:beforeAutospacing="1" w:after="100" w:afterAutospacing="1" w:line="240" w:lineRule="auto"/>
    </w:pPr>
    <w:rPr>
      <w:rFonts w:ascii="Times New Roman" w:eastAsia="Times New Roman" w:hAnsi="Times New Roman" w:cs="Times New Roman"/>
      <w:kern w:val="0"/>
      <w:sz w:val="24"/>
      <w14:ligatures w14:val="none"/>
    </w:rPr>
  </w:style>
  <w:style w:type="table" w:styleId="TableGrid">
    <w:name w:val="Table Grid"/>
    <w:basedOn w:val="TableNormal"/>
    <w:uiPriority w:val="39"/>
    <w:rsid w:val="00EB7352"/>
    <w:pPr>
      <w:spacing w:after="0" w:line="240" w:lineRule="auto"/>
    </w:pPr>
    <w:tblPr>
      <w:tblInd w:w="0" w:type="nil"/>
      <w:tblCellMar>
        <w:left w:w="0" w:type="dxa"/>
        <w:right w:w="0" w:type="dxa"/>
      </w:tblCellMar>
    </w:tblPr>
  </w:style>
  <w:style w:type="character" w:styleId="UnresolvedMention">
    <w:name w:val="Unresolved Mention"/>
    <w:basedOn w:val="DefaultParagraphFont"/>
    <w:uiPriority w:val="99"/>
    <w:semiHidden/>
    <w:unhideWhenUsed/>
    <w:rsid w:val="00FA2917"/>
    <w:rPr>
      <w:color w:val="605E5C"/>
      <w:shd w:val="clear" w:color="auto" w:fill="E1DFDD"/>
    </w:rPr>
  </w:style>
  <w:style w:type="character" w:styleId="PlaceholderText">
    <w:name w:val="Placeholder Text"/>
    <w:basedOn w:val="DefaultParagraphFont"/>
    <w:uiPriority w:val="99"/>
    <w:semiHidden/>
    <w:rsid w:val="00D525F0"/>
    <w:rPr>
      <w:color w:val="666666"/>
    </w:rPr>
  </w:style>
  <w:style w:type="character" w:customStyle="1" w:styleId="mord">
    <w:name w:val="mord"/>
    <w:basedOn w:val="DefaultParagraphFont"/>
    <w:rsid w:val="00D525F0"/>
  </w:style>
  <w:style w:type="character" w:customStyle="1" w:styleId="vlist-s">
    <w:name w:val="vlist-s"/>
    <w:basedOn w:val="DefaultParagraphFont"/>
    <w:rsid w:val="00D525F0"/>
  </w:style>
  <w:style w:type="character" w:customStyle="1" w:styleId="mopen">
    <w:name w:val="mopen"/>
    <w:basedOn w:val="DefaultParagraphFont"/>
    <w:rsid w:val="00D525F0"/>
  </w:style>
  <w:style w:type="character" w:customStyle="1" w:styleId="mclose">
    <w:name w:val="mclose"/>
    <w:basedOn w:val="DefaultParagraphFont"/>
    <w:rsid w:val="00D525F0"/>
  </w:style>
  <w:style w:type="character" w:customStyle="1" w:styleId="mrel">
    <w:name w:val="mrel"/>
    <w:basedOn w:val="DefaultParagraphFont"/>
    <w:rsid w:val="00D525F0"/>
  </w:style>
  <w:style w:type="character" w:customStyle="1" w:styleId="mop">
    <w:name w:val="mop"/>
    <w:basedOn w:val="DefaultParagraphFont"/>
    <w:rsid w:val="00D525F0"/>
  </w:style>
  <w:style w:type="character" w:customStyle="1" w:styleId="mbin">
    <w:name w:val="mbin"/>
    <w:basedOn w:val="DefaultParagraphFont"/>
    <w:rsid w:val="00E0683B"/>
  </w:style>
  <w:style w:type="character" w:customStyle="1" w:styleId="delimsizing">
    <w:name w:val="delimsizing"/>
    <w:basedOn w:val="DefaultParagraphFont"/>
    <w:rsid w:val="003C2E31"/>
  </w:style>
  <w:style w:type="character" w:styleId="Emphasis">
    <w:name w:val="Emphasis"/>
    <w:basedOn w:val="DefaultParagraphFont"/>
    <w:uiPriority w:val="20"/>
    <w:qFormat/>
    <w:rsid w:val="000E3775"/>
    <w:rPr>
      <w:i/>
      <w:iCs/>
    </w:rPr>
  </w:style>
  <w:style w:type="character" w:customStyle="1" w:styleId="mpunct">
    <w:name w:val="mpunct"/>
    <w:basedOn w:val="DefaultParagraphFont"/>
    <w:rsid w:val="00036060"/>
  </w:style>
  <w:style w:type="table" w:styleId="PlainTable3">
    <w:name w:val="Plain Table 3"/>
    <w:basedOn w:val="TableNormal"/>
    <w:uiPriority w:val="43"/>
    <w:rsid w:val="000117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117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28">
      <w:bodyDiv w:val="1"/>
      <w:marLeft w:val="0"/>
      <w:marRight w:val="0"/>
      <w:marTop w:val="0"/>
      <w:marBottom w:val="0"/>
      <w:divBdr>
        <w:top w:val="none" w:sz="0" w:space="0" w:color="auto"/>
        <w:left w:val="none" w:sz="0" w:space="0" w:color="auto"/>
        <w:bottom w:val="none" w:sz="0" w:space="0" w:color="auto"/>
        <w:right w:val="none" w:sz="0" w:space="0" w:color="auto"/>
      </w:divBdr>
    </w:div>
    <w:div w:id="38166215">
      <w:bodyDiv w:val="1"/>
      <w:marLeft w:val="0"/>
      <w:marRight w:val="0"/>
      <w:marTop w:val="0"/>
      <w:marBottom w:val="0"/>
      <w:divBdr>
        <w:top w:val="none" w:sz="0" w:space="0" w:color="auto"/>
        <w:left w:val="none" w:sz="0" w:space="0" w:color="auto"/>
        <w:bottom w:val="none" w:sz="0" w:space="0" w:color="auto"/>
        <w:right w:val="none" w:sz="0" w:space="0" w:color="auto"/>
      </w:divBdr>
      <w:divsChild>
        <w:div w:id="1852448984">
          <w:marLeft w:val="0"/>
          <w:marRight w:val="0"/>
          <w:marTop w:val="0"/>
          <w:marBottom w:val="0"/>
          <w:divBdr>
            <w:top w:val="none" w:sz="0" w:space="0" w:color="auto"/>
            <w:left w:val="none" w:sz="0" w:space="0" w:color="auto"/>
            <w:bottom w:val="none" w:sz="0" w:space="0" w:color="auto"/>
            <w:right w:val="none" w:sz="0" w:space="0" w:color="auto"/>
          </w:divBdr>
          <w:divsChild>
            <w:div w:id="15236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3248">
      <w:bodyDiv w:val="1"/>
      <w:marLeft w:val="0"/>
      <w:marRight w:val="0"/>
      <w:marTop w:val="0"/>
      <w:marBottom w:val="0"/>
      <w:divBdr>
        <w:top w:val="none" w:sz="0" w:space="0" w:color="auto"/>
        <w:left w:val="none" w:sz="0" w:space="0" w:color="auto"/>
        <w:bottom w:val="none" w:sz="0" w:space="0" w:color="auto"/>
        <w:right w:val="none" w:sz="0" w:space="0" w:color="auto"/>
      </w:divBdr>
    </w:div>
    <w:div w:id="91049356">
      <w:bodyDiv w:val="1"/>
      <w:marLeft w:val="0"/>
      <w:marRight w:val="0"/>
      <w:marTop w:val="0"/>
      <w:marBottom w:val="0"/>
      <w:divBdr>
        <w:top w:val="none" w:sz="0" w:space="0" w:color="auto"/>
        <w:left w:val="none" w:sz="0" w:space="0" w:color="auto"/>
        <w:bottom w:val="none" w:sz="0" w:space="0" w:color="auto"/>
        <w:right w:val="none" w:sz="0" w:space="0" w:color="auto"/>
      </w:divBdr>
    </w:div>
    <w:div w:id="162670283">
      <w:bodyDiv w:val="1"/>
      <w:marLeft w:val="0"/>
      <w:marRight w:val="0"/>
      <w:marTop w:val="0"/>
      <w:marBottom w:val="0"/>
      <w:divBdr>
        <w:top w:val="none" w:sz="0" w:space="0" w:color="auto"/>
        <w:left w:val="none" w:sz="0" w:space="0" w:color="auto"/>
        <w:bottom w:val="none" w:sz="0" w:space="0" w:color="auto"/>
        <w:right w:val="none" w:sz="0" w:space="0" w:color="auto"/>
      </w:divBdr>
    </w:div>
    <w:div w:id="218325416">
      <w:bodyDiv w:val="1"/>
      <w:marLeft w:val="0"/>
      <w:marRight w:val="0"/>
      <w:marTop w:val="0"/>
      <w:marBottom w:val="0"/>
      <w:divBdr>
        <w:top w:val="none" w:sz="0" w:space="0" w:color="auto"/>
        <w:left w:val="none" w:sz="0" w:space="0" w:color="auto"/>
        <w:bottom w:val="none" w:sz="0" w:space="0" w:color="auto"/>
        <w:right w:val="none" w:sz="0" w:space="0" w:color="auto"/>
      </w:divBdr>
      <w:divsChild>
        <w:div w:id="80417337">
          <w:marLeft w:val="274"/>
          <w:marRight w:val="0"/>
          <w:marTop w:val="0"/>
          <w:marBottom w:val="120"/>
          <w:divBdr>
            <w:top w:val="none" w:sz="0" w:space="0" w:color="auto"/>
            <w:left w:val="none" w:sz="0" w:space="0" w:color="auto"/>
            <w:bottom w:val="none" w:sz="0" w:space="0" w:color="auto"/>
            <w:right w:val="none" w:sz="0" w:space="0" w:color="auto"/>
          </w:divBdr>
        </w:div>
        <w:div w:id="341015235">
          <w:marLeft w:val="274"/>
          <w:marRight w:val="0"/>
          <w:marTop w:val="0"/>
          <w:marBottom w:val="120"/>
          <w:divBdr>
            <w:top w:val="none" w:sz="0" w:space="0" w:color="auto"/>
            <w:left w:val="none" w:sz="0" w:space="0" w:color="auto"/>
            <w:bottom w:val="none" w:sz="0" w:space="0" w:color="auto"/>
            <w:right w:val="none" w:sz="0" w:space="0" w:color="auto"/>
          </w:divBdr>
        </w:div>
        <w:div w:id="1105617513">
          <w:marLeft w:val="274"/>
          <w:marRight w:val="0"/>
          <w:marTop w:val="0"/>
          <w:marBottom w:val="120"/>
          <w:divBdr>
            <w:top w:val="none" w:sz="0" w:space="0" w:color="auto"/>
            <w:left w:val="none" w:sz="0" w:space="0" w:color="auto"/>
            <w:bottom w:val="none" w:sz="0" w:space="0" w:color="auto"/>
            <w:right w:val="none" w:sz="0" w:space="0" w:color="auto"/>
          </w:divBdr>
        </w:div>
        <w:div w:id="1302534840">
          <w:marLeft w:val="274"/>
          <w:marRight w:val="0"/>
          <w:marTop w:val="0"/>
          <w:marBottom w:val="120"/>
          <w:divBdr>
            <w:top w:val="none" w:sz="0" w:space="0" w:color="auto"/>
            <w:left w:val="none" w:sz="0" w:space="0" w:color="auto"/>
            <w:bottom w:val="none" w:sz="0" w:space="0" w:color="auto"/>
            <w:right w:val="none" w:sz="0" w:space="0" w:color="auto"/>
          </w:divBdr>
        </w:div>
        <w:div w:id="1981684662">
          <w:marLeft w:val="274"/>
          <w:marRight w:val="0"/>
          <w:marTop w:val="0"/>
          <w:marBottom w:val="120"/>
          <w:divBdr>
            <w:top w:val="none" w:sz="0" w:space="0" w:color="auto"/>
            <w:left w:val="none" w:sz="0" w:space="0" w:color="auto"/>
            <w:bottom w:val="none" w:sz="0" w:space="0" w:color="auto"/>
            <w:right w:val="none" w:sz="0" w:space="0" w:color="auto"/>
          </w:divBdr>
        </w:div>
      </w:divsChild>
    </w:div>
    <w:div w:id="273367354">
      <w:bodyDiv w:val="1"/>
      <w:marLeft w:val="0"/>
      <w:marRight w:val="0"/>
      <w:marTop w:val="0"/>
      <w:marBottom w:val="0"/>
      <w:divBdr>
        <w:top w:val="none" w:sz="0" w:space="0" w:color="auto"/>
        <w:left w:val="none" w:sz="0" w:space="0" w:color="auto"/>
        <w:bottom w:val="none" w:sz="0" w:space="0" w:color="auto"/>
        <w:right w:val="none" w:sz="0" w:space="0" w:color="auto"/>
      </w:divBdr>
    </w:div>
    <w:div w:id="290475631">
      <w:bodyDiv w:val="1"/>
      <w:marLeft w:val="0"/>
      <w:marRight w:val="0"/>
      <w:marTop w:val="0"/>
      <w:marBottom w:val="0"/>
      <w:divBdr>
        <w:top w:val="none" w:sz="0" w:space="0" w:color="auto"/>
        <w:left w:val="none" w:sz="0" w:space="0" w:color="auto"/>
        <w:bottom w:val="none" w:sz="0" w:space="0" w:color="auto"/>
        <w:right w:val="none" w:sz="0" w:space="0" w:color="auto"/>
      </w:divBdr>
    </w:div>
    <w:div w:id="408306974">
      <w:bodyDiv w:val="1"/>
      <w:marLeft w:val="0"/>
      <w:marRight w:val="0"/>
      <w:marTop w:val="0"/>
      <w:marBottom w:val="0"/>
      <w:divBdr>
        <w:top w:val="none" w:sz="0" w:space="0" w:color="auto"/>
        <w:left w:val="none" w:sz="0" w:space="0" w:color="auto"/>
        <w:bottom w:val="none" w:sz="0" w:space="0" w:color="auto"/>
        <w:right w:val="none" w:sz="0" w:space="0" w:color="auto"/>
      </w:divBdr>
    </w:div>
    <w:div w:id="408579348">
      <w:bodyDiv w:val="1"/>
      <w:marLeft w:val="0"/>
      <w:marRight w:val="0"/>
      <w:marTop w:val="0"/>
      <w:marBottom w:val="0"/>
      <w:divBdr>
        <w:top w:val="none" w:sz="0" w:space="0" w:color="auto"/>
        <w:left w:val="none" w:sz="0" w:space="0" w:color="auto"/>
        <w:bottom w:val="none" w:sz="0" w:space="0" w:color="auto"/>
        <w:right w:val="none" w:sz="0" w:space="0" w:color="auto"/>
      </w:divBdr>
    </w:div>
    <w:div w:id="413206602">
      <w:bodyDiv w:val="1"/>
      <w:marLeft w:val="0"/>
      <w:marRight w:val="0"/>
      <w:marTop w:val="0"/>
      <w:marBottom w:val="0"/>
      <w:divBdr>
        <w:top w:val="none" w:sz="0" w:space="0" w:color="auto"/>
        <w:left w:val="none" w:sz="0" w:space="0" w:color="auto"/>
        <w:bottom w:val="none" w:sz="0" w:space="0" w:color="auto"/>
        <w:right w:val="none" w:sz="0" w:space="0" w:color="auto"/>
      </w:divBdr>
    </w:div>
    <w:div w:id="414941057">
      <w:bodyDiv w:val="1"/>
      <w:marLeft w:val="0"/>
      <w:marRight w:val="0"/>
      <w:marTop w:val="0"/>
      <w:marBottom w:val="0"/>
      <w:divBdr>
        <w:top w:val="none" w:sz="0" w:space="0" w:color="auto"/>
        <w:left w:val="none" w:sz="0" w:space="0" w:color="auto"/>
        <w:bottom w:val="none" w:sz="0" w:space="0" w:color="auto"/>
        <w:right w:val="none" w:sz="0" w:space="0" w:color="auto"/>
      </w:divBdr>
    </w:div>
    <w:div w:id="456800085">
      <w:bodyDiv w:val="1"/>
      <w:marLeft w:val="0"/>
      <w:marRight w:val="0"/>
      <w:marTop w:val="0"/>
      <w:marBottom w:val="0"/>
      <w:divBdr>
        <w:top w:val="none" w:sz="0" w:space="0" w:color="auto"/>
        <w:left w:val="none" w:sz="0" w:space="0" w:color="auto"/>
        <w:bottom w:val="none" w:sz="0" w:space="0" w:color="auto"/>
        <w:right w:val="none" w:sz="0" w:space="0" w:color="auto"/>
      </w:divBdr>
    </w:div>
    <w:div w:id="469903058">
      <w:bodyDiv w:val="1"/>
      <w:marLeft w:val="0"/>
      <w:marRight w:val="0"/>
      <w:marTop w:val="0"/>
      <w:marBottom w:val="0"/>
      <w:divBdr>
        <w:top w:val="none" w:sz="0" w:space="0" w:color="auto"/>
        <w:left w:val="none" w:sz="0" w:space="0" w:color="auto"/>
        <w:bottom w:val="none" w:sz="0" w:space="0" w:color="auto"/>
        <w:right w:val="none" w:sz="0" w:space="0" w:color="auto"/>
      </w:divBdr>
    </w:div>
    <w:div w:id="475881475">
      <w:bodyDiv w:val="1"/>
      <w:marLeft w:val="0"/>
      <w:marRight w:val="0"/>
      <w:marTop w:val="0"/>
      <w:marBottom w:val="0"/>
      <w:divBdr>
        <w:top w:val="none" w:sz="0" w:space="0" w:color="auto"/>
        <w:left w:val="none" w:sz="0" w:space="0" w:color="auto"/>
        <w:bottom w:val="none" w:sz="0" w:space="0" w:color="auto"/>
        <w:right w:val="none" w:sz="0" w:space="0" w:color="auto"/>
      </w:divBdr>
    </w:div>
    <w:div w:id="490949389">
      <w:bodyDiv w:val="1"/>
      <w:marLeft w:val="0"/>
      <w:marRight w:val="0"/>
      <w:marTop w:val="0"/>
      <w:marBottom w:val="0"/>
      <w:divBdr>
        <w:top w:val="none" w:sz="0" w:space="0" w:color="auto"/>
        <w:left w:val="none" w:sz="0" w:space="0" w:color="auto"/>
        <w:bottom w:val="none" w:sz="0" w:space="0" w:color="auto"/>
        <w:right w:val="none" w:sz="0" w:space="0" w:color="auto"/>
      </w:divBdr>
    </w:div>
    <w:div w:id="517163629">
      <w:bodyDiv w:val="1"/>
      <w:marLeft w:val="0"/>
      <w:marRight w:val="0"/>
      <w:marTop w:val="0"/>
      <w:marBottom w:val="0"/>
      <w:divBdr>
        <w:top w:val="none" w:sz="0" w:space="0" w:color="auto"/>
        <w:left w:val="none" w:sz="0" w:space="0" w:color="auto"/>
        <w:bottom w:val="none" w:sz="0" w:space="0" w:color="auto"/>
        <w:right w:val="none" w:sz="0" w:space="0" w:color="auto"/>
      </w:divBdr>
    </w:div>
    <w:div w:id="531454183">
      <w:bodyDiv w:val="1"/>
      <w:marLeft w:val="0"/>
      <w:marRight w:val="0"/>
      <w:marTop w:val="0"/>
      <w:marBottom w:val="0"/>
      <w:divBdr>
        <w:top w:val="none" w:sz="0" w:space="0" w:color="auto"/>
        <w:left w:val="none" w:sz="0" w:space="0" w:color="auto"/>
        <w:bottom w:val="none" w:sz="0" w:space="0" w:color="auto"/>
        <w:right w:val="none" w:sz="0" w:space="0" w:color="auto"/>
      </w:divBdr>
      <w:divsChild>
        <w:div w:id="1152135576">
          <w:marLeft w:val="274"/>
          <w:marRight w:val="0"/>
          <w:marTop w:val="0"/>
          <w:marBottom w:val="120"/>
          <w:divBdr>
            <w:top w:val="none" w:sz="0" w:space="0" w:color="auto"/>
            <w:left w:val="none" w:sz="0" w:space="0" w:color="auto"/>
            <w:bottom w:val="none" w:sz="0" w:space="0" w:color="auto"/>
            <w:right w:val="none" w:sz="0" w:space="0" w:color="auto"/>
          </w:divBdr>
        </w:div>
      </w:divsChild>
    </w:div>
    <w:div w:id="553741352">
      <w:bodyDiv w:val="1"/>
      <w:marLeft w:val="0"/>
      <w:marRight w:val="0"/>
      <w:marTop w:val="0"/>
      <w:marBottom w:val="0"/>
      <w:divBdr>
        <w:top w:val="none" w:sz="0" w:space="0" w:color="auto"/>
        <w:left w:val="none" w:sz="0" w:space="0" w:color="auto"/>
        <w:bottom w:val="none" w:sz="0" w:space="0" w:color="auto"/>
        <w:right w:val="none" w:sz="0" w:space="0" w:color="auto"/>
      </w:divBdr>
    </w:div>
    <w:div w:id="564802480">
      <w:bodyDiv w:val="1"/>
      <w:marLeft w:val="0"/>
      <w:marRight w:val="0"/>
      <w:marTop w:val="0"/>
      <w:marBottom w:val="0"/>
      <w:divBdr>
        <w:top w:val="none" w:sz="0" w:space="0" w:color="auto"/>
        <w:left w:val="none" w:sz="0" w:space="0" w:color="auto"/>
        <w:bottom w:val="none" w:sz="0" w:space="0" w:color="auto"/>
        <w:right w:val="none" w:sz="0" w:space="0" w:color="auto"/>
      </w:divBdr>
    </w:div>
    <w:div w:id="570851094">
      <w:bodyDiv w:val="1"/>
      <w:marLeft w:val="0"/>
      <w:marRight w:val="0"/>
      <w:marTop w:val="0"/>
      <w:marBottom w:val="0"/>
      <w:divBdr>
        <w:top w:val="none" w:sz="0" w:space="0" w:color="auto"/>
        <w:left w:val="none" w:sz="0" w:space="0" w:color="auto"/>
        <w:bottom w:val="none" w:sz="0" w:space="0" w:color="auto"/>
        <w:right w:val="none" w:sz="0" w:space="0" w:color="auto"/>
      </w:divBdr>
      <w:divsChild>
        <w:div w:id="230894075">
          <w:marLeft w:val="274"/>
          <w:marRight w:val="0"/>
          <w:marTop w:val="0"/>
          <w:marBottom w:val="120"/>
          <w:divBdr>
            <w:top w:val="none" w:sz="0" w:space="0" w:color="auto"/>
            <w:left w:val="none" w:sz="0" w:space="0" w:color="auto"/>
            <w:bottom w:val="none" w:sz="0" w:space="0" w:color="auto"/>
            <w:right w:val="none" w:sz="0" w:space="0" w:color="auto"/>
          </w:divBdr>
        </w:div>
        <w:div w:id="389505221">
          <w:marLeft w:val="274"/>
          <w:marRight w:val="0"/>
          <w:marTop w:val="0"/>
          <w:marBottom w:val="120"/>
          <w:divBdr>
            <w:top w:val="none" w:sz="0" w:space="0" w:color="auto"/>
            <w:left w:val="none" w:sz="0" w:space="0" w:color="auto"/>
            <w:bottom w:val="none" w:sz="0" w:space="0" w:color="auto"/>
            <w:right w:val="none" w:sz="0" w:space="0" w:color="auto"/>
          </w:divBdr>
        </w:div>
        <w:div w:id="1141851705">
          <w:marLeft w:val="274"/>
          <w:marRight w:val="0"/>
          <w:marTop w:val="0"/>
          <w:marBottom w:val="120"/>
          <w:divBdr>
            <w:top w:val="none" w:sz="0" w:space="0" w:color="auto"/>
            <w:left w:val="none" w:sz="0" w:space="0" w:color="auto"/>
            <w:bottom w:val="none" w:sz="0" w:space="0" w:color="auto"/>
            <w:right w:val="none" w:sz="0" w:space="0" w:color="auto"/>
          </w:divBdr>
        </w:div>
        <w:div w:id="1224876569">
          <w:marLeft w:val="274"/>
          <w:marRight w:val="0"/>
          <w:marTop w:val="0"/>
          <w:marBottom w:val="120"/>
          <w:divBdr>
            <w:top w:val="none" w:sz="0" w:space="0" w:color="auto"/>
            <w:left w:val="none" w:sz="0" w:space="0" w:color="auto"/>
            <w:bottom w:val="none" w:sz="0" w:space="0" w:color="auto"/>
            <w:right w:val="none" w:sz="0" w:space="0" w:color="auto"/>
          </w:divBdr>
        </w:div>
        <w:div w:id="1382746554">
          <w:marLeft w:val="274"/>
          <w:marRight w:val="0"/>
          <w:marTop w:val="0"/>
          <w:marBottom w:val="120"/>
          <w:divBdr>
            <w:top w:val="none" w:sz="0" w:space="0" w:color="auto"/>
            <w:left w:val="none" w:sz="0" w:space="0" w:color="auto"/>
            <w:bottom w:val="none" w:sz="0" w:space="0" w:color="auto"/>
            <w:right w:val="none" w:sz="0" w:space="0" w:color="auto"/>
          </w:divBdr>
        </w:div>
      </w:divsChild>
    </w:div>
    <w:div w:id="578175526">
      <w:bodyDiv w:val="1"/>
      <w:marLeft w:val="0"/>
      <w:marRight w:val="0"/>
      <w:marTop w:val="0"/>
      <w:marBottom w:val="0"/>
      <w:divBdr>
        <w:top w:val="none" w:sz="0" w:space="0" w:color="auto"/>
        <w:left w:val="none" w:sz="0" w:space="0" w:color="auto"/>
        <w:bottom w:val="none" w:sz="0" w:space="0" w:color="auto"/>
        <w:right w:val="none" w:sz="0" w:space="0" w:color="auto"/>
      </w:divBdr>
    </w:div>
    <w:div w:id="596059695">
      <w:bodyDiv w:val="1"/>
      <w:marLeft w:val="0"/>
      <w:marRight w:val="0"/>
      <w:marTop w:val="0"/>
      <w:marBottom w:val="0"/>
      <w:divBdr>
        <w:top w:val="none" w:sz="0" w:space="0" w:color="auto"/>
        <w:left w:val="none" w:sz="0" w:space="0" w:color="auto"/>
        <w:bottom w:val="none" w:sz="0" w:space="0" w:color="auto"/>
        <w:right w:val="none" w:sz="0" w:space="0" w:color="auto"/>
      </w:divBdr>
    </w:div>
    <w:div w:id="607666262">
      <w:bodyDiv w:val="1"/>
      <w:marLeft w:val="0"/>
      <w:marRight w:val="0"/>
      <w:marTop w:val="0"/>
      <w:marBottom w:val="0"/>
      <w:divBdr>
        <w:top w:val="none" w:sz="0" w:space="0" w:color="auto"/>
        <w:left w:val="none" w:sz="0" w:space="0" w:color="auto"/>
        <w:bottom w:val="none" w:sz="0" w:space="0" w:color="auto"/>
        <w:right w:val="none" w:sz="0" w:space="0" w:color="auto"/>
      </w:divBdr>
    </w:div>
    <w:div w:id="625087902">
      <w:bodyDiv w:val="1"/>
      <w:marLeft w:val="0"/>
      <w:marRight w:val="0"/>
      <w:marTop w:val="0"/>
      <w:marBottom w:val="0"/>
      <w:divBdr>
        <w:top w:val="none" w:sz="0" w:space="0" w:color="auto"/>
        <w:left w:val="none" w:sz="0" w:space="0" w:color="auto"/>
        <w:bottom w:val="none" w:sz="0" w:space="0" w:color="auto"/>
        <w:right w:val="none" w:sz="0" w:space="0" w:color="auto"/>
      </w:divBdr>
    </w:div>
    <w:div w:id="642274299">
      <w:bodyDiv w:val="1"/>
      <w:marLeft w:val="0"/>
      <w:marRight w:val="0"/>
      <w:marTop w:val="0"/>
      <w:marBottom w:val="0"/>
      <w:divBdr>
        <w:top w:val="none" w:sz="0" w:space="0" w:color="auto"/>
        <w:left w:val="none" w:sz="0" w:space="0" w:color="auto"/>
        <w:bottom w:val="none" w:sz="0" w:space="0" w:color="auto"/>
        <w:right w:val="none" w:sz="0" w:space="0" w:color="auto"/>
      </w:divBdr>
    </w:div>
    <w:div w:id="681861169">
      <w:bodyDiv w:val="1"/>
      <w:marLeft w:val="0"/>
      <w:marRight w:val="0"/>
      <w:marTop w:val="0"/>
      <w:marBottom w:val="0"/>
      <w:divBdr>
        <w:top w:val="none" w:sz="0" w:space="0" w:color="auto"/>
        <w:left w:val="none" w:sz="0" w:space="0" w:color="auto"/>
        <w:bottom w:val="none" w:sz="0" w:space="0" w:color="auto"/>
        <w:right w:val="none" w:sz="0" w:space="0" w:color="auto"/>
      </w:divBdr>
    </w:div>
    <w:div w:id="682439042">
      <w:bodyDiv w:val="1"/>
      <w:marLeft w:val="0"/>
      <w:marRight w:val="0"/>
      <w:marTop w:val="0"/>
      <w:marBottom w:val="0"/>
      <w:divBdr>
        <w:top w:val="none" w:sz="0" w:space="0" w:color="auto"/>
        <w:left w:val="none" w:sz="0" w:space="0" w:color="auto"/>
        <w:bottom w:val="none" w:sz="0" w:space="0" w:color="auto"/>
        <w:right w:val="none" w:sz="0" w:space="0" w:color="auto"/>
      </w:divBdr>
    </w:div>
    <w:div w:id="706107695">
      <w:bodyDiv w:val="1"/>
      <w:marLeft w:val="0"/>
      <w:marRight w:val="0"/>
      <w:marTop w:val="0"/>
      <w:marBottom w:val="0"/>
      <w:divBdr>
        <w:top w:val="none" w:sz="0" w:space="0" w:color="auto"/>
        <w:left w:val="none" w:sz="0" w:space="0" w:color="auto"/>
        <w:bottom w:val="none" w:sz="0" w:space="0" w:color="auto"/>
        <w:right w:val="none" w:sz="0" w:space="0" w:color="auto"/>
      </w:divBdr>
    </w:div>
    <w:div w:id="715472478">
      <w:bodyDiv w:val="1"/>
      <w:marLeft w:val="0"/>
      <w:marRight w:val="0"/>
      <w:marTop w:val="0"/>
      <w:marBottom w:val="0"/>
      <w:divBdr>
        <w:top w:val="none" w:sz="0" w:space="0" w:color="auto"/>
        <w:left w:val="none" w:sz="0" w:space="0" w:color="auto"/>
        <w:bottom w:val="none" w:sz="0" w:space="0" w:color="auto"/>
        <w:right w:val="none" w:sz="0" w:space="0" w:color="auto"/>
      </w:divBdr>
    </w:div>
    <w:div w:id="769161744">
      <w:bodyDiv w:val="1"/>
      <w:marLeft w:val="0"/>
      <w:marRight w:val="0"/>
      <w:marTop w:val="0"/>
      <w:marBottom w:val="0"/>
      <w:divBdr>
        <w:top w:val="none" w:sz="0" w:space="0" w:color="auto"/>
        <w:left w:val="none" w:sz="0" w:space="0" w:color="auto"/>
        <w:bottom w:val="none" w:sz="0" w:space="0" w:color="auto"/>
        <w:right w:val="none" w:sz="0" w:space="0" w:color="auto"/>
      </w:divBdr>
    </w:div>
    <w:div w:id="774442578">
      <w:bodyDiv w:val="1"/>
      <w:marLeft w:val="0"/>
      <w:marRight w:val="0"/>
      <w:marTop w:val="0"/>
      <w:marBottom w:val="0"/>
      <w:divBdr>
        <w:top w:val="none" w:sz="0" w:space="0" w:color="auto"/>
        <w:left w:val="none" w:sz="0" w:space="0" w:color="auto"/>
        <w:bottom w:val="none" w:sz="0" w:space="0" w:color="auto"/>
        <w:right w:val="none" w:sz="0" w:space="0" w:color="auto"/>
      </w:divBdr>
    </w:div>
    <w:div w:id="775060247">
      <w:bodyDiv w:val="1"/>
      <w:marLeft w:val="0"/>
      <w:marRight w:val="0"/>
      <w:marTop w:val="0"/>
      <w:marBottom w:val="0"/>
      <w:divBdr>
        <w:top w:val="none" w:sz="0" w:space="0" w:color="auto"/>
        <w:left w:val="none" w:sz="0" w:space="0" w:color="auto"/>
        <w:bottom w:val="none" w:sz="0" w:space="0" w:color="auto"/>
        <w:right w:val="none" w:sz="0" w:space="0" w:color="auto"/>
      </w:divBdr>
    </w:div>
    <w:div w:id="791096061">
      <w:bodyDiv w:val="1"/>
      <w:marLeft w:val="0"/>
      <w:marRight w:val="0"/>
      <w:marTop w:val="0"/>
      <w:marBottom w:val="0"/>
      <w:divBdr>
        <w:top w:val="none" w:sz="0" w:space="0" w:color="auto"/>
        <w:left w:val="none" w:sz="0" w:space="0" w:color="auto"/>
        <w:bottom w:val="none" w:sz="0" w:space="0" w:color="auto"/>
        <w:right w:val="none" w:sz="0" w:space="0" w:color="auto"/>
      </w:divBdr>
    </w:div>
    <w:div w:id="819080353">
      <w:bodyDiv w:val="1"/>
      <w:marLeft w:val="0"/>
      <w:marRight w:val="0"/>
      <w:marTop w:val="0"/>
      <w:marBottom w:val="0"/>
      <w:divBdr>
        <w:top w:val="none" w:sz="0" w:space="0" w:color="auto"/>
        <w:left w:val="none" w:sz="0" w:space="0" w:color="auto"/>
        <w:bottom w:val="none" w:sz="0" w:space="0" w:color="auto"/>
        <w:right w:val="none" w:sz="0" w:space="0" w:color="auto"/>
      </w:divBdr>
    </w:div>
    <w:div w:id="849639701">
      <w:bodyDiv w:val="1"/>
      <w:marLeft w:val="0"/>
      <w:marRight w:val="0"/>
      <w:marTop w:val="0"/>
      <w:marBottom w:val="0"/>
      <w:divBdr>
        <w:top w:val="none" w:sz="0" w:space="0" w:color="auto"/>
        <w:left w:val="none" w:sz="0" w:space="0" w:color="auto"/>
        <w:bottom w:val="none" w:sz="0" w:space="0" w:color="auto"/>
        <w:right w:val="none" w:sz="0" w:space="0" w:color="auto"/>
      </w:divBdr>
      <w:divsChild>
        <w:div w:id="264967087">
          <w:marLeft w:val="0"/>
          <w:marRight w:val="0"/>
          <w:marTop w:val="0"/>
          <w:marBottom w:val="0"/>
          <w:divBdr>
            <w:top w:val="none" w:sz="0" w:space="0" w:color="auto"/>
            <w:left w:val="none" w:sz="0" w:space="0" w:color="auto"/>
            <w:bottom w:val="none" w:sz="0" w:space="0" w:color="auto"/>
            <w:right w:val="none" w:sz="0" w:space="0" w:color="auto"/>
          </w:divBdr>
          <w:divsChild>
            <w:div w:id="17231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3851">
      <w:bodyDiv w:val="1"/>
      <w:marLeft w:val="0"/>
      <w:marRight w:val="0"/>
      <w:marTop w:val="0"/>
      <w:marBottom w:val="0"/>
      <w:divBdr>
        <w:top w:val="none" w:sz="0" w:space="0" w:color="auto"/>
        <w:left w:val="none" w:sz="0" w:space="0" w:color="auto"/>
        <w:bottom w:val="none" w:sz="0" w:space="0" w:color="auto"/>
        <w:right w:val="none" w:sz="0" w:space="0" w:color="auto"/>
      </w:divBdr>
    </w:div>
    <w:div w:id="917666367">
      <w:bodyDiv w:val="1"/>
      <w:marLeft w:val="0"/>
      <w:marRight w:val="0"/>
      <w:marTop w:val="0"/>
      <w:marBottom w:val="0"/>
      <w:divBdr>
        <w:top w:val="none" w:sz="0" w:space="0" w:color="auto"/>
        <w:left w:val="none" w:sz="0" w:space="0" w:color="auto"/>
        <w:bottom w:val="none" w:sz="0" w:space="0" w:color="auto"/>
        <w:right w:val="none" w:sz="0" w:space="0" w:color="auto"/>
      </w:divBdr>
    </w:div>
    <w:div w:id="918369013">
      <w:bodyDiv w:val="1"/>
      <w:marLeft w:val="0"/>
      <w:marRight w:val="0"/>
      <w:marTop w:val="0"/>
      <w:marBottom w:val="0"/>
      <w:divBdr>
        <w:top w:val="none" w:sz="0" w:space="0" w:color="auto"/>
        <w:left w:val="none" w:sz="0" w:space="0" w:color="auto"/>
        <w:bottom w:val="none" w:sz="0" w:space="0" w:color="auto"/>
        <w:right w:val="none" w:sz="0" w:space="0" w:color="auto"/>
      </w:divBdr>
    </w:div>
    <w:div w:id="920336718">
      <w:bodyDiv w:val="1"/>
      <w:marLeft w:val="0"/>
      <w:marRight w:val="0"/>
      <w:marTop w:val="0"/>
      <w:marBottom w:val="0"/>
      <w:divBdr>
        <w:top w:val="none" w:sz="0" w:space="0" w:color="auto"/>
        <w:left w:val="none" w:sz="0" w:space="0" w:color="auto"/>
        <w:bottom w:val="none" w:sz="0" w:space="0" w:color="auto"/>
        <w:right w:val="none" w:sz="0" w:space="0" w:color="auto"/>
      </w:divBdr>
      <w:divsChild>
        <w:div w:id="1715933063">
          <w:marLeft w:val="0"/>
          <w:marRight w:val="0"/>
          <w:marTop w:val="0"/>
          <w:marBottom w:val="0"/>
          <w:divBdr>
            <w:top w:val="none" w:sz="0" w:space="0" w:color="auto"/>
            <w:left w:val="none" w:sz="0" w:space="0" w:color="auto"/>
            <w:bottom w:val="none" w:sz="0" w:space="0" w:color="auto"/>
            <w:right w:val="none" w:sz="0" w:space="0" w:color="auto"/>
          </w:divBdr>
          <w:divsChild>
            <w:div w:id="15483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5114">
      <w:bodyDiv w:val="1"/>
      <w:marLeft w:val="0"/>
      <w:marRight w:val="0"/>
      <w:marTop w:val="0"/>
      <w:marBottom w:val="0"/>
      <w:divBdr>
        <w:top w:val="none" w:sz="0" w:space="0" w:color="auto"/>
        <w:left w:val="none" w:sz="0" w:space="0" w:color="auto"/>
        <w:bottom w:val="none" w:sz="0" w:space="0" w:color="auto"/>
        <w:right w:val="none" w:sz="0" w:space="0" w:color="auto"/>
      </w:divBdr>
    </w:div>
    <w:div w:id="956302532">
      <w:bodyDiv w:val="1"/>
      <w:marLeft w:val="0"/>
      <w:marRight w:val="0"/>
      <w:marTop w:val="0"/>
      <w:marBottom w:val="0"/>
      <w:divBdr>
        <w:top w:val="none" w:sz="0" w:space="0" w:color="auto"/>
        <w:left w:val="none" w:sz="0" w:space="0" w:color="auto"/>
        <w:bottom w:val="none" w:sz="0" w:space="0" w:color="auto"/>
        <w:right w:val="none" w:sz="0" w:space="0" w:color="auto"/>
      </w:divBdr>
    </w:div>
    <w:div w:id="966273179">
      <w:bodyDiv w:val="1"/>
      <w:marLeft w:val="0"/>
      <w:marRight w:val="0"/>
      <w:marTop w:val="0"/>
      <w:marBottom w:val="0"/>
      <w:divBdr>
        <w:top w:val="none" w:sz="0" w:space="0" w:color="auto"/>
        <w:left w:val="none" w:sz="0" w:space="0" w:color="auto"/>
        <w:bottom w:val="none" w:sz="0" w:space="0" w:color="auto"/>
        <w:right w:val="none" w:sz="0" w:space="0" w:color="auto"/>
      </w:divBdr>
    </w:div>
    <w:div w:id="1013993619">
      <w:bodyDiv w:val="1"/>
      <w:marLeft w:val="0"/>
      <w:marRight w:val="0"/>
      <w:marTop w:val="0"/>
      <w:marBottom w:val="0"/>
      <w:divBdr>
        <w:top w:val="none" w:sz="0" w:space="0" w:color="auto"/>
        <w:left w:val="none" w:sz="0" w:space="0" w:color="auto"/>
        <w:bottom w:val="none" w:sz="0" w:space="0" w:color="auto"/>
        <w:right w:val="none" w:sz="0" w:space="0" w:color="auto"/>
      </w:divBdr>
    </w:div>
    <w:div w:id="1022392544">
      <w:bodyDiv w:val="1"/>
      <w:marLeft w:val="0"/>
      <w:marRight w:val="0"/>
      <w:marTop w:val="0"/>
      <w:marBottom w:val="0"/>
      <w:divBdr>
        <w:top w:val="none" w:sz="0" w:space="0" w:color="auto"/>
        <w:left w:val="none" w:sz="0" w:space="0" w:color="auto"/>
        <w:bottom w:val="none" w:sz="0" w:space="0" w:color="auto"/>
        <w:right w:val="none" w:sz="0" w:space="0" w:color="auto"/>
      </w:divBdr>
    </w:div>
    <w:div w:id="1033772755">
      <w:bodyDiv w:val="1"/>
      <w:marLeft w:val="0"/>
      <w:marRight w:val="0"/>
      <w:marTop w:val="0"/>
      <w:marBottom w:val="0"/>
      <w:divBdr>
        <w:top w:val="none" w:sz="0" w:space="0" w:color="auto"/>
        <w:left w:val="none" w:sz="0" w:space="0" w:color="auto"/>
        <w:bottom w:val="none" w:sz="0" w:space="0" w:color="auto"/>
        <w:right w:val="none" w:sz="0" w:space="0" w:color="auto"/>
      </w:divBdr>
    </w:div>
    <w:div w:id="1070538202">
      <w:bodyDiv w:val="1"/>
      <w:marLeft w:val="0"/>
      <w:marRight w:val="0"/>
      <w:marTop w:val="0"/>
      <w:marBottom w:val="0"/>
      <w:divBdr>
        <w:top w:val="none" w:sz="0" w:space="0" w:color="auto"/>
        <w:left w:val="none" w:sz="0" w:space="0" w:color="auto"/>
        <w:bottom w:val="none" w:sz="0" w:space="0" w:color="auto"/>
        <w:right w:val="none" w:sz="0" w:space="0" w:color="auto"/>
      </w:divBdr>
      <w:divsChild>
        <w:div w:id="426274175">
          <w:marLeft w:val="274"/>
          <w:marRight w:val="0"/>
          <w:marTop w:val="0"/>
          <w:marBottom w:val="240"/>
          <w:divBdr>
            <w:top w:val="none" w:sz="0" w:space="0" w:color="auto"/>
            <w:left w:val="none" w:sz="0" w:space="0" w:color="auto"/>
            <w:bottom w:val="none" w:sz="0" w:space="0" w:color="auto"/>
            <w:right w:val="none" w:sz="0" w:space="0" w:color="auto"/>
          </w:divBdr>
        </w:div>
      </w:divsChild>
    </w:div>
    <w:div w:id="1071663315">
      <w:bodyDiv w:val="1"/>
      <w:marLeft w:val="0"/>
      <w:marRight w:val="0"/>
      <w:marTop w:val="0"/>
      <w:marBottom w:val="0"/>
      <w:divBdr>
        <w:top w:val="none" w:sz="0" w:space="0" w:color="auto"/>
        <w:left w:val="none" w:sz="0" w:space="0" w:color="auto"/>
        <w:bottom w:val="none" w:sz="0" w:space="0" w:color="auto"/>
        <w:right w:val="none" w:sz="0" w:space="0" w:color="auto"/>
      </w:divBdr>
    </w:div>
    <w:div w:id="1075199674">
      <w:bodyDiv w:val="1"/>
      <w:marLeft w:val="0"/>
      <w:marRight w:val="0"/>
      <w:marTop w:val="0"/>
      <w:marBottom w:val="0"/>
      <w:divBdr>
        <w:top w:val="none" w:sz="0" w:space="0" w:color="auto"/>
        <w:left w:val="none" w:sz="0" w:space="0" w:color="auto"/>
        <w:bottom w:val="none" w:sz="0" w:space="0" w:color="auto"/>
        <w:right w:val="none" w:sz="0" w:space="0" w:color="auto"/>
      </w:divBdr>
    </w:div>
    <w:div w:id="1087383010">
      <w:bodyDiv w:val="1"/>
      <w:marLeft w:val="0"/>
      <w:marRight w:val="0"/>
      <w:marTop w:val="0"/>
      <w:marBottom w:val="0"/>
      <w:divBdr>
        <w:top w:val="none" w:sz="0" w:space="0" w:color="auto"/>
        <w:left w:val="none" w:sz="0" w:space="0" w:color="auto"/>
        <w:bottom w:val="none" w:sz="0" w:space="0" w:color="auto"/>
        <w:right w:val="none" w:sz="0" w:space="0" w:color="auto"/>
      </w:divBdr>
    </w:div>
    <w:div w:id="1104493035">
      <w:bodyDiv w:val="1"/>
      <w:marLeft w:val="0"/>
      <w:marRight w:val="0"/>
      <w:marTop w:val="0"/>
      <w:marBottom w:val="0"/>
      <w:divBdr>
        <w:top w:val="none" w:sz="0" w:space="0" w:color="auto"/>
        <w:left w:val="none" w:sz="0" w:space="0" w:color="auto"/>
        <w:bottom w:val="none" w:sz="0" w:space="0" w:color="auto"/>
        <w:right w:val="none" w:sz="0" w:space="0" w:color="auto"/>
      </w:divBdr>
    </w:div>
    <w:div w:id="1116558422">
      <w:bodyDiv w:val="1"/>
      <w:marLeft w:val="0"/>
      <w:marRight w:val="0"/>
      <w:marTop w:val="0"/>
      <w:marBottom w:val="0"/>
      <w:divBdr>
        <w:top w:val="none" w:sz="0" w:space="0" w:color="auto"/>
        <w:left w:val="none" w:sz="0" w:space="0" w:color="auto"/>
        <w:bottom w:val="none" w:sz="0" w:space="0" w:color="auto"/>
        <w:right w:val="none" w:sz="0" w:space="0" w:color="auto"/>
      </w:divBdr>
    </w:div>
    <w:div w:id="1124040374">
      <w:bodyDiv w:val="1"/>
      <w:marLeft w:val="0"/>
      <w:marRight w:val="0"/>
      <w:marTop w:val="0"/>
      <w:marBottom w:val="0"/>
      <w:divBdr>
        <w:top w:val="none" w:sz="0" w:space="0" w:color="auto"/>
        <w:left w:val="none" w:sz="0" w:space="0" w:color="auto"/>
        <w:bottom w:val="none" w:sz="0" w:space="0" w:color="auto"/>
        <w:right w:val="none" w:sz="0" w:space="0" w:color="auto"/>
      </w:divBdr>
    </w:div>
    <w:div w:id="1138185107">
      <w:bodyDiv w:val="1"/>
      <w:marLeft w:val="0"/>
      <w:marRight w:val="0"/>
      <w:marTop w:val="0"/>
      <w:marBottom w:val="0"/>
      <w:divBdr>
        <w:top w:val="none" w:sz="0" w:space="0" w:color="auto"/>
        <w:left w:val="none" w:sz="0" w:space="0" w:color="auto"/>
        <w:bottom w:val="none" w:sz="0" w:space="0" w:color="auto"/>
        <w:right w:val="none" w:sz="0" w:space="0" w:color="auto"/>
      </w:divBdr>
    </w:div>
    <w:div w:id="1146244153">
      <w:bodyDiv w:val="1"/>
      <w:marLeft w:val="0"/>
      <w:marRight w:val="0"/>
      <w:marTop w:val="0"/>
      <w:marBottom w:val="0"/>
      <w:divBdr>
        <w:top w:val="none" w:sz="0" w:space="0" w:color="auto"/>
        <w:left w:val="none" w:sz="0" w:space="0" w:color="auto"/>
        <w:bottom w:val="none" w:sz="0" w:space="0" w:color="auto"/>
        <w:right w:val="none" w:sz="0" w:space="0" w:color="auto"/>
      </w:divBdr>
    </w:div>
    <w:div w:id="1149059004">
      <w:bodyDiv w:val="1"/>
      <w:marLeft w:val="0"/>
      <w:marRight w:val="0"/>
      <w:marTop w:val="0"/>
      <w:marBottom w:val="0"/>
      <w:divBdr>
        <w:top w:val="none" w:sz="0" w:space="0" w:color="auto"/>
        <w:left w:val="none" w:sz="0" w:space="0" w:color="auto"/>
        <w:bottom w:val="none" w:sz="0" w:space="0" w:color="auto"/>
        <w:right w:val="none" w:sz="0" w:space="0" w:color="auto"/>
      </w:divBdr>
    </w:div>
    <w:div w:id="1199077643">
      <w:bodyDiv w:val="1"/>
      <w:marLeft w:val="0"/>
      <w:marRight w:val="0"/>
      <w:marTop w:val="0"/>
      <w:marBottom w:val="0"/>
      <w:divBdr>
        <w:top w:val="none" w:sz="0" w:space="0" w:color="auto"/>
        <w:left w:val="none" w:sz="0" w:space="0" w:color="auto"/>
        <w:bottom w:val="none" w:sz="0" w:space="0" w:color="auto"/>
        <w:right w:val="none" w:sz="0" w:space="0" w:color="auto"/>
      </w:divBdr>
    </w:div>
    <w:div w:id="1211191953">
      <w:bodyDiv w:val="1"/>
      <w:marLeft w:val="0"/>
      <w:marRight w:val="0"/>
      <w:marTop w:val="0"/>
      <w:marBottom w:val="0"/>
      <w:divBdr>
        <w:top w:val="none" w:sz="0" w:space="0" w:color="auto"/>
        <w:left w:val="none" w:sz="0" w:space="0" w:color="auto"/>
        <w:bottom w:val="none" w:sz="0" w:space="0" w:color="auto"/>
        <w:right w:val="none" w:sz="0" w:space="0" w:color="auto"/>
      </w:divBdr>
    </w:div>
    <w:div w:id="1212376264">
      <w:bodyDiv w:val="1"/>
      <w:marLeft w:val="0"/>
      <w:marRight w:val="0"/>
      <w:marTop w:val="0"/>
      <w:marBottom w:val="0"/>
      <w:divBdr>
        <w:top w:val="none" w:sz="0" w:space="0" w:color="auto"/>
        <w:left w:val="none" w:sz="0" w:space="0" w:color="auto"/>
        <w:bottom w:val="none" w:sz="0" w:space="0" w:color="auto"/>
        <w:right w:val="none" w:sz="0" w:space="0" w:color="auto"/>
      </w:divBdr>
    </w:div>
    <w:div w:id="1216819439">
      <w:bodyDiv w:val="1"/>
      <w:marLeft w:val="0"/>
      <w:marRight w:val="0"/>
      <w:marTop w:val="0"/>
      <w:marBottom w:val="0"/>
      <w:divBdr>
        <w:top w:val="none" w:sz="0" w:space="0" w:color="auto"/>
        <w:left w:val="none" w:sz="0" w:space="0" w:color="auto"/>
        <w:bottom w:val="none" w:sz="0" w:space="0" w:color="auto"/>
        <w:right w:val="none" w:sz="0" w:space="0" w:color="auto"/>
      </w:divBdr>
    </w:div>
    <w:div w:id="1271208508">
      <w:bodyDiv w:val="1"/>
      <w:marLeft w:val="0"/>
      <w:marRight w:val="0"/>
      <w:marTop w:val="0"/>
      <w:marBottom w:val="0"/>
      <w:divBdr>
        <w:top w:val="none" w:sz="0" w:space="0" w:color="auto"/>
        <w:left w:val="none" w:sz="0" w:space="0" w:color="auto"/>
        <w:bottom w:val="none" w:sz="0" w:space="0" w:color="auto"/>
        <w:right w:val="none" w:sz="0" w:space="0" w:color="auto"/>
      </w:divBdr>
    </w:div>
    <w:div w:id="1312903230">
      <w:bodyDiv w:val="1"/>
      <w:marLeft w:val="0"/>
      <w:marRight w:val="0"/>
      <w:marTop w:val="0"/>
      <w:marBottom w:val="0"/>
      <w:divBdr>
        <w:top w:val="none" w:sz="0" w:space="0" w:color="auto"/>
        <w:left w:val="none" w:sz="0" w:space="0" w:color="auto"/>
        <w:bottom w:val="none" w:sz="0" w:space="0" w:color="auto"/>
        <w:right w:val="none" w:sz="0" w:space="0" w:color="auto"/>
      </w:divBdr>
    </w:div>
    <w:div w:id="1324048485">
      <w:bodyDiv w:val="1"/>
      <w:marLeft w:val="0"/>
      <w:marRight w:val="0"/>
      <w:marTop w:val="0"/>
      <w:marBottom w:val="0"/>
      <w:divBdr>
        <w:top w:val="none" w:sz="0" w:space="0" w:color="auto"/>
        <w:left w:val="none" w:sz="0" w:space="0" w:color="auto"/>
        <w:bottom w:val="none" w:sz="0" w:space="0" w:color="auto"/>
        <w:right w:val="none" w:sz="0" w:space="0" w:color="auto"/>
      </w:divBdr>
    </w:div>
    <w:div w:id="1333800398">
      <w:bodyDiv w:val="1"/>
      <w:marLeft w:val="0"/>
      <w:marRight w:val="0"/>
      <w:marTop w:val="0"/>
      <w:marBottom w:val="0"/>
      <w:divBdr>
        <w:top w:val="none" w:sz="0" w:space="0" w:color="auto"/>
        <w:left w:val="none" w:sz="0" w:space="0" w:color="auto"/>
        <w:bottom w:val="none" w:sz="0" w:space="0" w:color="auto"/>
        <w:right w:val="none" w:sz="0" w:space="0" w:color="auto"/>
      </w:divBdr>
    </w:div>
    <w:div w:id="1343124922">
      <w:bodyDiv w:val="1"/>
      <w:marLeft w:val="0"/>
      <w:marRight w:val="0"/>
      <w:marTop w:val="0"/>
      <w:marBottom w:val="0"/>
      <w:divBdr>
        <w:top w:val="none" w:sz="0" w:space="0" w:color="auto"/>
        <w:left w:val="none" w:sz="0" w:space="0" w:color="auto"/>
        <w:bottom w:val="none" w:sz="0" w:space="0" w:color="auto"/>
        <w:right w:val="none" w:sz="0" w:space="0" w:color="auto"/>
      </w:divBdr>
    </w:div>
    <w:div w:id="1346011046">
      <w:bodyDiv w:val="1"/>
      <w:marLeft w:val="0"/>
      <w:marRight w:val="0"/>
      <w:marTop w:val="0"/>
      <w:marBottom w:val="0"/>
      <w:divBdr>
        <w:top w:val="none" w:sz="0" w:space="0" w:color="auto"/>
        <w:left w:val="none" w:sz="0" w:space="0" w:color="auto"/>
        <w:bottom w:val="none" w:sz="0" w:space="0" w:color="auto"/>
        <w:right w:val="none" w:sz="0" w:space="0" w:color="auto"/>
      </w:divBdr>
    </w:div>
    <w:div w:id="1427533101">
      <w:bodyDiv w:val="1"/>
      <w:marLeft w:val="0"/>
      <w:marRight w:val="0"/>
      <w:marTop w:val="0"/>
      <w:marBottom w:val="0"/>
      <w:divBdr>
        <w:top w:val="none" w:sz="0" w:space="0" w:color="auto"/>
        <w:left w:val="none" w:sz="0" w:space="0" w:color="auto"/>
        <w:bottom w:val="none" w:sz="0" w:space="0" w:color="auto"/>
        <w:right w:val="none" w:sz="0" w:space="0" w:color="auto"/>
      </w:divBdr>
    </w:div>
    <w:div w:id="1431242890">
      <w:bodyDiv w:val="1"/>
      <w:marLeft w:val="0"/>
      <w:marRight w:val="0"/>
      <w:marTop w:val="0"/>
      <w:marBottom w:val="0"/>
      <w:divBdr>
        <w:top w:val="none" w:sz="0" w:space="0" w:color="auto"/>
        <w:left w:val="none" w:sz="0" w:space="0" w:color="auto"/>
        <w:bottom w:val="none" w:sz="0" w:space="0" w:color="auto"/>
        <w:right w:val="none" w:sz="0" w:space="0" w:color="auto"/>
      </w:divBdr>
    </w:div>
    <w:div w:id="1449658661">
      <w:bodyDiv w:val="1"/>
      <w:marLeft w:val="0"/>
      <w:marRight w:val="0"/>
      <w:marTop w:val="0"/>
      <w:marBottom w:val="0"/>
      <w:divBdr>
        <w:top w:val="none" w:sz="0" w:space="0" w:color="auto"/>
        <w:left w:val="none" w:sz="0" w:space="0" w:color="auto"/>
        <w:bottom w:val="none" w:sz="0" w:space="0" w:color="auto"/>
        <w:right w:val="none" w:sz="0" w:space="0" w:color="auto"/>
      </w:divBdr>
    </w:div>
    <w:div w:id="1454209944">
      <w:bodyDiv w:val="1"/>
      <w:marLeft w:val="0"/>
      <w:marRight w:val="0"/>
      <w:marTop w:val="0"/>
      <w:marBottom w:val="0"/>
      <w:divBdr>
        <w:top w:val="none" w:sz="0" w:space="0" w:color="auto"/>
        <w:left w:val="none" w:sz="0" w:space="0" w:color="auto"/>
        <w:bottom w:val="none" w:sz="0" w:space="0" w:color="auto"/>
        <w:right w:val="none" w:sz="0" w:space="0" w:color="auto"/>
      </w:divBdr>
    </w:div>
    <w:div w:id="1460418339">
      <w:bodyDiv w:val="1"/>
      <w:marLeft w:val="0"/>
      <w:marRight w:val="0"/>
      <w:marTop w:val="0"/>
      <w:marBottom w:val="0"/>
      <w:divBdr>
        <w:top w:val="none" w:sz="0" w:space="0" w:color="auto"/>
        <w:left w:val="none" w:sz="0" w:space="0" w:color="auto"/>
        <w:bottom w:val="none" w:sz="0" w:space="0" w:color="auto"/>
        <w:right w:val="none" w:sz="0" w:space="0" w:color="auto"/>
      </w:divBdr>
    </w:div>
    <w:div w:id="1475948040">
      <w:bodyDiv w:val="1"/>
      <w:marLeft w:val="0"/>
      <w:marRight w:val="0"/>
      <w:marTop w:val="0"/>
      <w:marBottom w:val="0"/>
      <w:divBdr>
        <w:top w:val="none" w:sz="0" w:space="0" w:color="auto"/>
        <w:left w:val="none" w:sz="0" w:space="0" w:color="auto"/>
        <w:bottom w:val="none" w:sz="0" w:space="0" w:color="auto"/>
        <w:right w:val="none" w:sz="0" w:space="0" w:color="auto"/>
      </w:divBdr>
    </w:div>
    <w:div w:id="1478187069">
      <w:bodyDiv w:val="1"/>
      <w:marLeft w:val="0"/>
      <w:marRight w:val="0"/>
      <w:marTop w:val="0"/>
      <w:marBottom w:val="0"/>
      <w:divBdr>
        <w:top w:val="none" w:sz="0" w:space="0" w:color="auto"/>
        <w:left w:val="none" w:sz="0" w:space="0" w:color="auto"/>
        <w:bottom w:val="none" w:sz="0" w:space="0" w:color="auto"/>
        <w:right w:val="none" w:sz="0" w:space="0" w:color="auto"/>
      </w:divBdr>
    </w:div>
    <w:div w:id="1478497987">
      <w:bodyDiv w:val="1"/>
      <w:marLeft w:val="0"/>
      <w:marRight w:val="0"/>
      <w:marTop w:val="0"/>
      <w:marBottom w:val="0"/>
      <w:divBdr>
        <w:top w:val="none" w:sz="0" w:space="0" w:color="auto"/>
        <w:left w:val="none" w:sz="0" w:space="0" w:color="auto"/>
        <w:bottom w:val="none" w:sz="0" w:space="0" w:color="auto"/>
        <w:right w:val="none" w:sz="0" w:space="0" w:color="auto"/>
      </w:divBdr>
    </w:div>
    <w:div w:id="1478641834">
      <w:bodyDiv w:val="1"/>
      <w:marLeft w:val="0"/>
      <w:marRight w:val="0"/>
      <w:marTop w:val="0"/>
      <w:marBottom w:val="0"/>
      <w:divBdr>
        <w:top w:val="none" w:sz="0" w:space="0" w:color="auto"/>
        <w:left w:val="none" w:sz="0" w:space="0" w:color="auto"/>
        <w:bottom w:val="none" w:sz="0" w:space="0" w:color="auto"/>
        <w:right w:val="none" w:sz="0" w:space="0" w:color="auto"/>
      </w:divBdr>
    </w:div>
    <w:div w:id="1482504140">
      <w:bodyDiv w:val="1"/>
      <w:marLeft w:val="0"/>
      <w:marRight w:val="0"/>
      <w:marTop w:val="0"/>
      <w:marBottom w:val="0"/>
      <w:divBdr>
        <w:top w:val="none" w:sz="0" w:space="0" w:color="auto"/>
        <w:left w:val="none" w:sz="0" w:space="0" w:color="auto"/>
        <w:bottom w:val="none" w:sz="0" w:space="0" w:color="auto"/>
        <w:right w:val="none" w:sz="0" w:space="0" w:color="auto"/>
      </w:divBdr>
    </w:div>
    <w:div w:id="1508204115">
      <w:bodyDiv w:val="1"/>
      <w:marLeft w:val="0"/>
      <w:marRight w:val="0"/>
      <w:marTop w:val="0"/>
      <w:marBottom w:val="0"/>
      <w:divBdr>
        <w:top w:val="none" w:sz="0" w:space="0" w:color="auto"/>
        <w:left w:val="none" w:sz="0" w:space="0" w:color="auto"/>
        <w:bottom w:val="none" w:sz="0" w:space="0" w:color="auto"/>
        <w:right w:val="none" w:sz="0" w:space="0" w:color="auto"/>
      </w:divBdr>
    </w:div>
    <w:div w:id="1552618773">
      <w:bodyDiv w:val="1"/>
      <w:marLeft w:val="0"/>
      <w:marRight w:val="0"/>
      <w:marTop w:val="0"/>
      <w:marBottom w:val="0"/>
      <w:divBdr>
        <w:top w:val="none" w:sz="0" w:space="0" w:color="auto"/>
        <w:left w:val="none" w:sz="0" w:space="0" w:color="auto"/>
        <w:bottom w:val="none" w:sz="0" w:space="0" w:color="auto"/>
        <w:right w:val="none" w:sz="0" w:space="0" w:color="auto"/>
      </w:divBdr>
    </w:div>
    <w:div w:id="1557155843">
      <w:bodyDiv w:val="1"/>
      <w:marLeft w:val="0"/>
      <w:marRight w:val="0"/>
      <w:marTop w:val="0"/>
      <w:marBottom w:val="0"/>
      <w:divBdr>
        <w:top w:val="none" w:sz="0" w:space="0" w:color="auto"/>
        <w:left w:val="none" w:sz="0" w:space="0" w:color="auto"/>
        <w:bottom w:val="none" w:sz="0" w:space="0" w:color="auto"/>
        <w:right w:val="none" w:sz="0" w:space="0" w:color="auto"/>
      </w:divBdr>
    </w:div>
    <w:div w:id="1562209670">
      <w:bodyDiv w:val="1"/>
      <w:marLeft w:val="0"/>
      <w:marRight w:val="0"/>
      <w:marTop w:val="0"/>
      <w:marBottom w:val="0"/>
      <w:divBdr>
        <w:top w:val="none" w:sz="0" w:space="0" w:color="auto"/>
        <w:left w:val="none" w:sz="0" w:space="0" w:color="auto"/>
        <w:bottom w:val="none" w:sz="0" w:space="0" w:color="auto"/>
        <w:right w:val="none" w:sz="0" w:space="0" w:color="auto"/>
      </w:divBdr>
    </w:div>
    <w:div w:id="1593857791">
      <w:bodyDiv w:val="1"/>
      <w:marLeft w:val="0"/>
      <w:marRight w:val="0"/>
      <w:marTop w:val="0"/>
      <w:marBottom w:val="0"/>
      <w:divBdr>
        <w:top w:val="none" w:sz="0" w:space="0" w:color="auto"/>
        <w:left w:val="none" w:sz="0" w:space="0" w:color="auto"/>
        <w:bottom w:val="none" w:sz="0" w:space="0" w:color="auto"/>
        <w:right w:val="none" w:sz="0" w:space="0" w:color="auto"/>
      </w:divBdr>
    </w:div>
    <w:div w:id="1595936119">
      <w:bodyDiv w:val="1"/>
      <w:marLeft w:val="0"/>
      <w:marRight w:val="0"/>
      <w:marTop w:val="0"/>
      <w:marBottom w:val="0"/>
      <w:divBdr>
        <w:top w:val="none" w:sz="0" w:space="0" w:color="auto"/>
        <w:left w:val="none" w:sz="0" w:space="0" w:color="auto"/>
        <w:bottom w:val="none" w:sz="0" w:space="0" w:color="auto"/>
        <w:right w:val="none" w:sz="0" w:space="0" w:color="auto"/>
      </w:divBdr>
      <w:divsChild>
        <w:div w:id="1646855080">
          <w:marLeft w:val="274"/>
          <w:marRight w:val="0"/>
          <w:marTop w:val="0"/>
          <w:marBottom w:val="240"/>
          <w:divBdr>
            <w:top w:val="none" w:sz="0" w:space="0" w:color="auto"/>
            <w:left w:val="none" w:sz="0" w:space="0" w:color="auto"/>
            <w:bottom w:val="none" w:sz="0" w:space="0" w:color="auto"/>
            <w:right w:val="none" w:sz="0" w:space="0" w:color="auto"/>
          </w:divBdr>
        </w:div>
      </w:divsChild>
    </w:div>
    <w:div w:id="1605843069">
      <w:bodyDiv w:val="1"/>
      <w:marLeft w:val="0"/>
      <w:marRight w:val="0"/>
      <w:marTop w:val="0"/>
      <w:marBottom w:val="0"/>
      <w:divBdr>
        <w:top w:val="none" w:sz="0" w:space="0" w:color="auto"/>
        <w:left w:val="none" w:sz="0" w:space="0" w:color="auto"/>
        <w:bottom w:val="none" w:sz="0" w:space="0" w:color="auto"/>
        <w:right w:val="none" w:sz="0" w:space="0" w:color="auto"/>
      </w:divBdr>
      <w:divsChild>
        <w:div w:id="1384985249">
          <w:marLeft w:val="274"/>
          <w:marRight w:val="0"/>
          <w:marTop w:val="0"/>
          <w:marBottom w:val="120"/>
          <w:divBdr>
            <w:top w:val="none" w:sz="0" w:space="0" w:color="auto"/>
            <w:left w:val="none" w:sz="0" w:space="0" w:color="auto"/>
            <w:bottom w:val="none" w:sz="0" w:space="0" w:color="auto"/>
            <w:right w:val="none" w:sz="0" w:space="0" w:color="auto"/>
          </w:divBdr>
        </w:div>
      </w:divsChild>
    </w:div>
    <w:div w:id="1640987452">
      <w:bodyDiv w:val="1"/>
      <w:marLeft w:val="0"/>
      <w:marRight w:val="0"/>
      <w:marTop w:val="0"/>
      <w:marBottom w:val="0"/>
      <w:divBdr>
        <w:top w:val="none" w:sz="0" w:space="0" w:color="auto"/>
        <w:left w:val="none" w:sz="0" w:space="0" w:color="auto"/>
        <w:bottom w:val="none" w:sz="0" w:space="0" w:color="auto"/>
        <w:right w:val="none" w:sz="0" w:space="0" w:color="auto"/>
      </w:divBdr>
    </w:div>
    <w:div w:id="1655522910">
      <w:bodyDiv w:val="1"/>
      <w:marLeft w:val="0"/>
      <w:marRight w:val="0"/>
      <w:marTop w:val="0"/>
      <w:marBottom w:val="0"/>
      <w:divBdr>
        <w:top w:val="none" w:sz="0" w:space="0" w:color="auto"/>
        <w:left w:val="none" w:sz="0" w:space="0" w:color="auto"/>
        <w:bottom w:val="none" w:sz="0" w:space="0" w:color="auto"/>
        <w:right w:val="none" w:sz="0" w:space="0" w:color="auto"/>
      </w:divBdr>
    </w:div>
    <w:div w:id="1690332021">
      <w:bodyDiv w:val="1"/>
      <w:marLeft w:val="0"/>
      <w:marRight w:val="0"/>
      <w:marTop w:val="0"/>
      <w:marBottom w:val="0"/>
      <w:divBdr>
        <w:top w:val="none" w:sz="0" w:space="0" w:color="auto"/>
        <w:left w:val="none" w:sz="0" w:space="0" w:color="auto"/>
        <w:bottom w:val="none" w:sz="0" w:space="0" w:color="auto"/>
        <w:right w:val="none" w:sz="0" w:space="0" w:color="auto"/>
      </w:divBdr>
    </w:div>
    <w:div w:id="1694918245">
      <w:bodyDiv w:val="1"/>
      <w:marLeft w:val="0"/>
      <w:marRight w:val="0"/>
      <w:marTop w:val="0"/>
      <w:marBottom w:val="0"/>
      <w:divBdr>
        <w:top w:val="none" w:sz="0" w:space="0" w:color="auto"/>
        <w:left w:val="none" w:sz="0" w:space="0" w:color="auto"/>
        <w:bottom w:val="none" w:sz="0" w:space="0" w:color="auto"/>
        <w:right w:val="none" w:sz="0" w:space="0" w:color="auto"/>
      </w:divBdr>
    </w:div>
    <w:div w:id="1721707518">
      <w:bodyDiv w:val="1"/>
      <w:marLeft w:val="0"/>
      <w:marRight w:val="0"/>
      <w:marTop w:val="0"/>
      <w:marBottom w:val="0"/>
      <w:divBdr>
        <w:top w:val="none" w:sz="0" w:space="0" w:color="auto"/>
        <w:left w:val="none" w:sz="0" w:space="0" w:color="auto"/>
        <w:bottom w:val="none" w:sz="0" w:space="0" w:color="auto"/>
        <w:right w:val="none" w:sz="0" w:space="0" w:color="auto"/>
      </w:divBdr>
    </w:div>
    <w:div w:id="1727605453">
      <w:bodyDiv w:val="1"/>
      <w:marLeft w:val="0"/>
      <w:marRight w:val="0"/>
      <w:marTop w:val="0"/>
      <w:marBottom w:val="0"/>
      <w:divBdr>
        <w:top w:val="none" w:sz="0" w:space="0" w:color="auto"/>
        <w:left w:val="none" w:sz="0" w:space="0" w:color="auto"/>
        <w:bottom w:val="none" w:sz="0" w:space="0" w:color="auto"/>
        <w:right w:val="none" w:sz="0" w:space="0" w:color="auto"/>
      </w:divBdr>
    </w:div>
    <w:div w:id="1773551541">
      <w:bodyDiv w:val="1"/>
      <w:marLeft w:val="0"/>
      <w:marRight w:val="0"/>
      <w:marTop w:val="0"/>
      <w:marBottom w:val="0"/>
      <w:divBdr>
        <w:top w:val="none" w:sz="0" w:space="0" w:color="auto"/>
        <w:left w:val="none" w:sz="0" w:space="0" w:color="auto"/>
        <w:bottom w:val="none" w:sz="0" w:space="0" w:color="auto"/>
        <w:right w:val="none" w:sz="0" w:space="0" w:color="auto"/>
      </w:divBdr>
    </w:div>
    <w:div w:id="1812599449">
      <w:bodyDiv w:val="1"/>
      <w:marLeft w:val="0"/>
      <w:marRight w:val="0"/>
      <w:marTop w:val="0"/>
      <w:marBottom w:val="0"/>
      <w:divBdr>
        <w:top w:val="none" w:sz="0" w:space="0" w:color="auto"/>
        <w:left w:val="none" w:sz="0" w:space="0" w:color="auto"/>
        <w:bottom w:val="none" w:sz="0" w:space="0" w:color="auto"/>
        <w:right w:val="none" w:sz="0" w:space="0" w:color="auto"/>
      </w:divBdr>
    </w:div>
    <w:div w:id="1836217242">
      <w:bodyDiv w:val="1"/>
      <w:marLeft w:val="0"/>
      <w:marRight w:val="0"/>
      <w:marTop w:val="0"/>
      <w:marBottom w:val="0"/>
      <w:divBdr>
        <w:top w:val="none" w:sz="0" w:space="0" w:color="auto"/>
        <w:left w:val="none" w:sz="0" w:space="0" w:color="auto"/>
        <w:bottom w:val="none" w:sz="0" w:space="0" w:color="auto"/>
        <w:right w:val="none" w:sz="0" w:space="0" w:color="auto"/>
      </w:divBdr>
    </w:div>
    <w:div w:id="1844197646">
      <w:bodyDiv w:val="1"/>
      <w:marLeft w:val="0"/>
      <w:marRight w:val="0"/>
      <w:marTop w:val="0"/>
      <w:marBottom w:val="0"/>
      <w:divBdr>
        <w:top w:val="none" w:sz="0" w:space="0" w:color="auto"/>
        <w:left w:val="none" w:sz="0" w:space="0" w:color="auto"/>
        <w:bottom w:val="none" w:sz="0" w:space="0" w:color="auto"/>
        <w:right w:val="none" w:sz="0" w:space="0" w:color="auto"/>
      </w:divBdr>
    </w:div>
    <w:div w:id="1863397744">
      <w:bodyDiv w:val="1"/>
      <w:marLeft w:val="0"/>
      <w:marRight w:val="0"/>
      <w:marTop w:val="0"/>
      <w:marBottom w:val="0"/>
      <w:divBdr>
        <w:top w:val="none" w:sz="0" w:space="0" w:color="auto"/>
        <w:left w:val="none" w:sz="0" w:space="0" w:color="auto"/>
        <w:bottom w:val="none" w:sz="0" w:space="0" w:color="auto"/>
        <w:right w:val="none" w:sz="0" w:space="0" w:color="auto"/>
      </w:divBdr>
    </w:div>
    <w:div w:id="1866946010">
      <w:bodyDiv w:val="1"/>
      <w:marLeft w:val="0"/>
      <w:marRight w:val="0"/>
      <w:marTop w:val="0"/>
      <w:marBottom w:val="0"/>
      <w:divBdr>
        <w:top w:val="none" w:sz="0" w:space="0" w:color="auto"/>
        <w:left w:val="none" w:sz="0" w:space="0" w:color="auto"/>
        <w:bottom w:val="none" w:sz="0" w:space="0" w:color="auto"/>
        <w:right w:val="none" w:sz="0" w:space="0" w:color="auto"/>
      </w:divBdr>
      <w:divsChild>
        <w:div w:id="2095125969">
          <w:marLeft w:val="274"/>
          <w:marRight w:val="0"/>
          <w:marTop w:val="0"/>
          <w:marBottom w:val="240"/>
          <w:divBdr>
            <w:top w:val="none" w:sz="0" w:space="0" w:color="auto"/>
            <w:left w:val="none" w:sz="0" w:space="0" w:color="auto"/>
            <w:bottom w:val="none" w:sz="0" w:space="0" w:color="auto"/>
            <w:right w:val="none" w:sz="0" w:space="0" w:color="auto"/>
          </w:divBdr>
        </w:div>
      </w:divsChild>
    </w:div>
    <w:div w:id="1874003452">
      <w:bodyDiv w:val="1"/>
      <w:marLeft w:val="0"/>
      <w:marRight w:val="0"/>
      <w:marTop w:val="0"/>
      <w:marBottom w:val="0"/>
      <w:divBdr>
        <w:top w:val="none" w:sz="0" w:space="0" w:color="auto"/>
        <w:left w:val="none" w:sz="0" w:space="0" w:color="auto"/>
        <w:bottom w:val="none" w:sz="0" w:space="0" w:color="auto"/>
        <w:right w:val="none" w:sz="0" w:space="0" w:color="auto"/>
      </w:divBdr>
    </w:div>
    <w:div w:id="1884946619">
      <w:bodyDiv w:val="1"/>
      <w:marLeft w:val="0"/>
      <w:marRight w:val="0"/>
      <w:marTop w:val="0"/>
      <w:marBottom w:val="0"/>
      <w:divBdr>
        <w:top w:val="none" w:sz="0" w:space="0" w:color="auto"/>
        <w:left w:val="none" w:sz="0" w:space="0" w:color="auto"/>
        <w:bottom w:val="none" w:sz="0" w:space="0" w:color="auto"/>
        <w:right w:val="none" w:sz="0" w:space="0" w:color="auto"/>
      </w:divBdr>
    </w:div>
    <w:div w:id="1899633480">
      <w:bodyDiv w:val="1"/>
      <w:marLeft w:val="0"/>
      <w:marRight w:val="0"/>
      <w:marTop w:val="0"/>
      <w:marBottom w:val="0"/>
      <w:divBdr>
        <w:top w:val="none" w:sz="0" w:space="0" w:color="auto"/>
        <w:left w:val="none" w:sz="0" w:space="0" w:color="auto"/>
        <w:bottom w:val="none" w:sz="0" w:space="0" w:color="auto"/>
        <w:right w:val="none" w:sz="0" w:space="0" w:color="auto"/>
      </w:divBdr>
    </w:div>
    <w:div w:id="1929775719">
      <w:bodyDiv w:val="1"/>
      <w:marLeft w:val="0"/>
      <w:marRight w:val="0"/>
      <w:marTop w:val="0"/>
      <w:marBottom w:val="0"/>
      <w:divBdr>
        <w:top w:val="none" w:sz="0" w:space="0" w:color="auto"/>
        <w:left w:val="none" w:sz="0" w:space="0" w:color="auto"/>
        <w:bottom w:val="none" w:sz="0" w:space="0" w:color="auto"/>
        <w:right w:val="none" w:sz="0" w:space="0" w:color="auto"/>
      </w:divBdr>
    </w:div>
    <w:div w:id="1951352789">
      <w:bodyDiv w:val="1"/>
      <w:marLeft w:val="0"/>
      <w:marRight w:val="0"/>
      <w:marTop w:val="0"/>
      <w:marBottom w:val="0"/>
      <w:divBdr>
        <w:top w:val="none" w:sz="0" w:space="0" w:color="auto"/>
        <w:left w:val="none" w:sz="0" w:space="0" w:color="auto"/>
        <w:bottom w:val="none" w:sz="0" w:space="0" w:color="auto"/>
        <w:right w:val="none" w:sz="0" w:space="0" w:color="auto"/>
      </w:divBdr>
    </w:div>
    <w:div w:id="1965189581">
      <w:bodyDiv w:val="1"/>
      <w:marLeft w:val="0"/>
      <w:marRight w:val="0"/>
      <w:marTop w:val="0"/>
      <w:marBottom w:val="0"/>
      <w:divBdr>
        <w:top w:val="none" w:sz="0" w:space="0" w:color="auto"/>
        <w:left w:val="none" w:sz="0" w:space="0" w:color="auto"/>
        <w:bottom w:val="none" w:sz="0" w:space="0" w:color="auto"/>
        <w:right w:val="none" w:sz="0" w:space="0" w:color="auto"/>
      </w:divBdr>
    </w:div>
    <w:div w:id="1967467689">
      <w:bodyDiv w:val="1"/>
      <w:marLeft w:val="0"/>
      <w:marRight w:val="0"/>
      <w:marTop w:val="0"/>
      <w:marBottom w:val="0"/>
      <w:divBdr>
        <w:top w:val="none" w:sz="0" w:space="0" w:color="auto"/>
        <w:left w:val="none" w:sz="0" w:space="0" w:color="auto"/>
        <w:bottom w:val="none" w:sz="0" w:space="0" w:color="auto"/>
        <w:right w:val="none" w:sz="0" w:space="0" w:color="auto"/>
      </w:divBdr>
    </w:div>
    <w:div w:id="1983851808">
      <w:bodyDiv w:val="1"/>
      <w:marLeft w:val="0"/>
      <w:marRight w:val="0"/>
      <w:marTop w:val="0"/>
      <w:marBottom w:val="0"/>
      <w:divBdr>
        <w:top w:val="none" w:sz="0" w:space="0" w:color="auto"/>
        <w:left w:val="none" w:sz="0" w:space="0" w:color="auto"/>
        <w:bottom w:val="none" w:sz="0" w:space="0" w:color="auto"/>
        <w:right w:val="none" w:sz="0" w:space="0" w:color="auto"/>
      </w:divBdr>
    </w:div>
    <w:div w:id="2007246704">
      <w:bodyDiv w:val="1"/>
      <w:marLeft w:val="0"/>
      <w:marRight w:val="0"/>
      <w:marTop w:val="0"/>
      <w:marBottom w:val="0"/>
      <w:divBdr>
        <w:top w:val="none" w:sz="0" w:space="0" w:color="auto"/>
        <w:left w:val="none" w:sz="0" w:space="0" w:color="auto"/>
        <w:bottom w:val="none" w:sz="0" w:space="0" w:color="auto"/>
        <w:right w:val="none" w:sz="0" w:space="0" w:color="auto"/>
      </w:divBdr>
    </w:div>
    <w:div w:id="2012947958">
      <w:bodyDiv w:val="1"/>
      <w:marLeft w:val="0"/>
      <w:marRight w:val="0"/>
      <w:marTop w:val="0"/>
      <w:marBottom w:val="0"/>
      <w:divBdr>
        <w:top w:val="none" w:sz="0" w:space="0" w:color="auto"/>
        <w:left w:val="none" w:sz="0" w:space="0" w:color="auto"/>
        <w:bottom w:val="none" w:sz="0" w:space="0" w:color="auto"/>
        <w:right w:val="none" w:sz="0" w:space="0" w:color="auto"/>
      </w:divBdr>
    </w:div>
    <w:div w:id="2086418826">
      <w:bodyDiv w:val="1"/>
      <w:marLeft w:val="0"/>
      <w:marRight w:val="0"/>
      <w:marTop w:val="0"/>
      <w:marBottom w:val="0"/>
      <w:divBdr>
        <w:top w:val="none" w:sz="0" w:space="0" w:color="auto"/>
        <w:left w:val="none" w:sz="0" w:space="0" w:color="auto"/>
        <w:bottom w:val="none" w:sz="0" w:space="0" w:color="auto"/>
        <w:right w:val="none" w:sz="0" w:space="0" w:color="auto"/>
      </w:divBdr>
      <w:divsChild>
        <w:div w:id="1698117075">
          <w:marLeft w:val="0"/>
          <w:marRight w:val="0"/>
          <w:marTop w:val="0"/>
          <w:marBottom w:val="0"/>
          <w:divBdr>
            <w:top w:val="none" w:sz="0" w:space="0" w:color="auto"/>
            <w:left w:val="none" w:sz="0" w:space="0" w:color="auto"/>
            <w:bottom w:val="none" w:sz="0" w:space="0" w:color="auto"/>
            <w:right w:val="none" w:sz="0" w:space="0" w:color="auto"/>
          </w:divBdr>
          <w:divsChild>
            <w:div w:id="10829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4521">
      <w:bodyDiv w:val="1"/>
      <w:marLeft w:val="0"/>
      <w:marRight w:val="0"/>
      <w:marTop w:val="0"/>
      <w:marBottom w:val="0"/>
      <w:divBdr>
        <w:top w:val="none" w:sz="0" w:space="0" w:color="auto"/>
        <w:left w:val="none" w:sz="0" w:space="0" w:color="auto"/>
        <w:bottom w:val="none" w:sz="0" w:space="0" w:color="auto"/>
        <w:right w:val="none" w:sz="0" w:space="0" w:color="auto"/>
      </w:divBdr>
    </w:div>
    <w:div w:id="2105683541">
      <w:bodyDiv w:val="1"/>
      <w:marLeft w:val="0"/>
      <w:marRight w:val="0"/>
      <w:marTop w:val="0"/>
      <w:marBottom w:val="0"/>
      <w:divBdr>
        <w:top w:val="none" w:sz="0" w:space="0" w:color="auto"/>
        <w:left w:val="none" w:sz="0" w:space="0" w:color="auto"/>
        <w:bottom w:val="none" w:sz="0" w:space="0" w:color="auto"/>
        <w:right w:val="none" w:sz="0" w:space="0" w:color="auto"/>
      </w:divBdr>
    </w:div>
    <w:div w:id="2120443242">
      <w:bodyDiv w:val="1"/>
      <w:marLeft w:val="0"/>
      <w:marRight w:val="0"/>
      <w:marTop w:val="0"/>
      <w:marBottom w:val="0"/>
      <w:divBdr>
        <w:top w:val="none" w:sz="0" w:space="0" w:color="auto"/>
        <w:left w:val="none" w:sz="0" w:space="0" w:color="auto"/>
        <w:bottom w:val="none" w:sz="0" w:space="0" w:color="auto"/>
        <w:right w:val="none" w:sz="0" w:space="0" w:color="auto"/>
      </w:divBdr>
    </w:div>
    <w:div w:id="214010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priyadarshanparida/market-model-fin630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6ABF7-4386-C748-A600-F04B9E755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21</Pages>
  <Words>4178</Words>
  <Characters>23817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27940</CharactersWithSpaces>
  <SharedDoc>false</SharedDoc>
  <HLinks>
    <vt:vector size="66" baseType="variant">
      <vt:variant>
        <vt:i4>1245233</vt:i4>
      </vt:variant>
      <vt:variant>
        <vt:i4>62</vt:i4>
      </vt:variant>
      <vt:variant>
        <vt:i4>0</vt:i4>
      </vt:variant>
      <vt:variant>
        <vt:i4>5</vt:i4>
      </vt:variant>
      <vt:variant>
        <vt:lpwstr/>
      </vt:variant>
      <vt:variant>
        <vt:lpwstr>_Toc212312045</vt:lpwstr>
      </vt:variant>
      <vt:variant>
        <vt:i4>1245233</vt:i4>
      </vt:variant>
      <vt:variant>
        <vt:i4>56</vt:i4>
      </vt:variant>
      <vt:variant>
        <vt:i4>0</vt:i4>
      </vt:variant>
      <vt:variant>
        <vt:i4>5</vt:i4>
      </vt:variant>
      <vt:variant>
        <vt:lpwstr/>
      </vt:variant>
      <vt:variant>
        <vt:lpwstr>_Toc212312044</vt:lpwstr>
      </vt:variant>
      <vt:variant>
        <vt:i4>1245233</vt:i4>
      </vt:variant>
      <vt:variant>
        <vt:i4>50</vt:i4>
      </vt:variant>
      <vt:variant>
        <vt:i4>0</vt:i4>
      </vt:variant>
      <vt:variant>
        <vt:i4>5</vt:i4>
      </vt:variant>
      <vt:variant>
        <vt:lpwstr/>
      </vt:variant>
      <vt:variant>
        <vt:lpwstr>_Toc212312043</vt:lpwstr>
      </vt:variant>
      <vt:variant>
        <vt:i4>1245233</vt:i4>
      </vt:variant>
      <vt:variant>
        <vt:i4>44</vt:i4>
      </vt:variant>
      <vt:variant>
        <vt:i4>0</vt:i4>
      </vt:variant>
      <vt:variant>
        <vt:i4>5</vt:i4>
      </vt:variant>
      <vt:variant>
        <vt:lpwstr/>
      </vt:variant>
      <vt:variant>
        <vt:lpwstr>_Toc212312042</vt:lpwstr>
      </vt:variant>
      <vt:variant>
        <vt:i4>1245233</vt:i4>
      </vt:variant>
      <vt:variant>
        <vt:i4>38</vt:i4>
      </vt:variant>
      <vt:variant>
        <vt:i4>0</vt:i4>
      </vt:variant>
      <vt:variant>
        <vt:i4>5</vt:i4>
      </vt:variant>
      <vt:variant>
        <vt:lpwstr/>
      </vt:variant>
      <vt:variant>
        <vt:lpwstr>_Toc212312041</vt:lpwstr>
      </vt:variant>
      <vt:variant>
        <vt:i4>1245233</vt:i4>
      </vt:variant>
      <vt:variant>
        <vt:i4>32</vt:i4>
      </vt:variant>
      <vt:variant>
        <vt:i4>0</vt:i4>
      </vt:variant>
      <vt:variant>
        <vt:i4>5</vt:i4>
      </vt:variant>
      <vt:variant>
        <vt:lpwstr/>
      </vt:variant>
      <vt:variant>
        <vt:lpwstr>_Toc212312040</vt:lpwstr>
      </vt:variant>
      <vt:variant>
        <vt:i4>1310769</vt:i4>
      </vt:variant>
      <vt:variant>
        <vt:i4>26</vt:i4>
      </vt:variant>
      <vt:variant>
        <vt:i4>0</vt:i4>
      </vt:variant>
      <vt:variant>
        <vt:i4>5</vt:i4>
      </vt:variant>
      <vt:variant>
        <vt:lpwstr/>
      </vt:variant>
      <vt:variant>
        <vt:lpwstr>_Toc212312039</vt:lpwstr>
      </vt:variant>
      <vt:variant>
        <vt:i4>1310769</vt:i4>
      </vt:variant>
      <vt:variant>
        <vt:i4>20</vt:i4>
      </vt:variant>
      <vt:variant>
        <vt:i4>0</vt:i4>
      </vt:variant>
      <vt:variant>
        <vt:i4>5</vt:i4>
      </vt:variant>
      <vt:variant>
        <vt:lpwstr/>
      </vt:variant>
      <vt:variant>
        <vt:lpwstr>_Toc212312038</vt:lpwstr>
      </vt:variant>
      <vt:variant>
        <vt:i4>1310769</vt:i4>
      </vt:variant>
      <vt:variant>
        <vt:i4>14</vt:i4>
      </vt:variant>
      <vt:variant>
        <vt:i4>0</vt:i4>
      </vt:variant>
      <vt:variant>
        <vt:i4>5</vt:i4>
      </vt:variant>
      <vt:variant>
        <vt:lpwstr/>
      </vt:variant>
      <vt:variant>
        <vt:lpwstr>_Toc212312037</vt:lpwstr>
      </vt:variant>
      <vt:variant>
        <vt:i4>1310769</vt:i4>
      </vt:variant>
      <vt:variant>
        <vt:i4>8</vt:i4>
      </vt:variant>
      <vt:variant>
        <vt:i4>0</vt:i4>
      </vt:variant>
      <vt:variant>
        <vt:i4>5</vt:i4>
      </vt:variant>
      <vt:variant>
        <vt:lpwstr/>
      </vt:variant>
      <vt:variant>
        <vt:lpwstr>_Toc212312036</vt:lpwstr>
      </vt:variant>
      <vt:variant>
        <vt:i4>1310769</vt:i4>
      </vt:variant>
      <vt:variant>
        <vt:i4>2</vt:i4>
      </vt:variant>
      <vt:variant>
        <vt:i4>0</vt:i4>
      </vt:variant>
      <vt:variant>
        <vt:i4>5</vt:i4>
      </vt:variant>
      <vt:variant>
        <vt:lpwstr/>
      </vt:variant>
      <vt:variant>
        <vt:lpwstr>_Toc212312035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Parida, Priyadarshan</dc:creator>
  <cp:keywords/>
  <dc:description/>
  <cp:lastModifiedBy>Jana, Sunayana</cp:lastModifiedBy>
  <cp:revision>820</cp:revision>
  <dcterms:created xsi:type="dcterms:W3CDTF">2025-05-09T04:49:00Z</dcterms:created>
  <dcterms:modified xsi:type="dcterms:W3CDTF">2025-12-06T18:03:00Z</dcterms:modified>
</cp:coreProperties>
</file>