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DD8E5" w14:textId="77777777" w:rsidR="008F5B71" w:rsidRDefault="008F5B71" w:rsidP="00D40930">
      <w:pPr>
        <w:pStyle w:val="Title1"/>
        <w:rPr>
          <w:lang w:val="en"/>
        </w:rPr>
      </w:pPr>
    </w:p>
    <w:p w14:paraId="3347BA5F" w14:textId="77777777" w:rsidR="00265A49" w:rsidRDefault="00265A49" w:rsidP="00D40930">
      <w:pPr>
        <w:pStyle w:val="Title1"/>
        <w:rPr>
          <w:lang w:val="en"/>
        </w:rPr>
      </w:pPr>
    </w:p>
    <w:p w14:paraId="354612FA" w14:textId="77777777" w:rsidR="00E8125E" w:rsidRDefault="00E8125E" w:rsidP="0045461B">
      <w:pPr>
        <w:pStyle w:val="Title1"/>
      </w:pPr>
    </w:p>
    <w:p w14:paraId="5DDA1B2C" w14:textId="0311044F" w:rsidR="00BC5A36" w:rsidRPr="00D40930" w:rsidRDefault="00D40930" w:rsidP="00D40930">
      <w:pPr>
        <w:pStyle w:val="Title1"/>
      </w:pPr>
      <w:r w:rsidRPr="00D40930">
        <w:t xml:space="preserve">Project </w:t>
      </w:r>
      <w:r w:rsidR="00FA620B">
        <w:t>2</w:t>
      </w:r>
      <w:r w:rsidR="0045461B">
        <w:t xml:space="preserve">: </w:t>
      </w:r>
      <w:r w:rsidR="00FA620B" w:rsidRPr="00FA620B">
        <w:t>Hypothesis Test and Regression Analysis</w:t>
      </w:r>
    </w:p>
    <w:p w14:paraId="25171320" w14:textId="107E4416" w:rsidR="00BC5A36" w:rsidRDefault="00D40930" w:rsidP="005F2135">
      <w:pPr>
        <w:pStyle w:val="Subtitle1"/>
        <w:ind w:left="0"/>
      </w:pPr>
      <w:r>
        <w:t>FIN</w:t>
      </w:r>
      <w:r w:rsidR="00BC5A36" w:rsidRPr="00BC5A36">
        <w:t xml:space="preserve"> 63</w:t>
      </w:r>
      <w:r>
        <w:t>07</w:t>
      </w:r>
      <w:r w:rsidR="00BC5A36" w:rsidRPr="00BC5A36">
        <w:t xml:space="preserve">.501 - </w:t>
      </w:r>
      <w:r w:rsidRPr="00D40930">
        <w:t>Mathematical Methods for Finance</w:t>
      </w:r>
      <w:r w:rsidR="00BC5A36" w:rsidRPr="00BC5A36">
        <w:t xml:space="preserve"> - </w:t>
      </w:r>
      <w:r>
        <w:t>F</w:t>
      </w:r>
      <w:r w:rsidR="00BC5A36" w:rsidRPr="00BC5A36">
        <w:t>25</w:t>
      </w:r>
    </w:p>
    <w:p w14:paraId="7B398FA6" w14:textId="77777777" w:rsidR="00F24AEE" w:rsidRDefault="00F24AEE" w:rsidP="005F2135">
      <w:pPr>
        <w:pStyle w:val="Subtitle1"/>
        <w:ind w:left="0"/>
      </w:pPr>
    </w:p>
    <w:p w14:paraId="25A9FE48" w14:textId="1E9E5BE1" w:rsidR="005A6BA3" w:rsidRDefault="005A6BA3" w:rsidP="00AA1147">
      <w:pPr>
        <w:pStyle w:val="Subtitle1"/>
      </w:pPr>
    </w:p>
    <w:p w14:paraId="6BAFFDF1" w14:textId="77777777" w:rsidR="00C21DC8" w:rsidRDefault="00C21DC8" w:rsidP="00AA1147">
      <w:pPr>
        <w:pStyle w:val="Subtitle1"/>
      </w:pPr>
    </w:p>
    <w:p w14:paraId="017D0BF0" w14:textId="77777777" w:rsidR="00C21DC8" w:rsidRDefault="00C21DC8" w:rsidP="00AA1147">
      <w:pPr>
        <w:pStyle w:val="Subtitle1"/>
      </w:pPr>
    </w:p>
    <w:p w14:paraId="6545DCF9" w14:textId="77777777" w:rsidR="00C21DC8" w:rsidRDefault="00C21DC8" w:rsidP="00AA1147">
      <w:pPr>
        <w:pStyle w:val="Subtitle1"/>
      </w:pPr>
    </w:p>
    <w:p w14:paraId="6816D188" w14:textId="77777777" w:rsidR="00C21DC8" w:rsidRDefault="00C21DC8" w:rsidP="00AF1664">
      <w:pPr>
        <w:pStyle w:val="Subtitle1"/>
        <w:ind w:left="0"/>
        <w:jc w:val="left"/>
      </w:pPr>
    </w:p>
    <w:p w14:paraId="683592A2" w14:textId="77777777" w:rsidR="00C21DC8" w:rsidRDefault="00C21DC8" w:rsidP="00AA1147">
      <w:pPr>
        <w:pStyle w:val="Subtitle1"/>
      </w:pPr>
    </w:p>
    <w:p w14:paraId="0C85617D" w14:textId="37BD8EBE" w:rsidR="00D40FD2" w:rsidRPr="005F2135" w:rsidRDefault="00D40FD2" w:rsidP="005F2135">
      <w:pPr>
        <w:spacing w:line="240" w:lineRule="auto"/>
        <w:jc w:val="center"/>
        <w:rPr>
          <w:b/>
          <w:bCs/>
          <w:color w:val="215E99" w:themeColor="text2" w:themeTint="BF"/>
          <w:sz w:val="32"/>
          <w:szCs w:val="36"/>
        </w:rPr>
      </w:pPr>
      <w:r w:rsidRPr="005F2135">
        <w:rPr>
          <w:b/>
          <w:bCs/>
          <w:color w:val="215E99" w:themeColor="text2" w:themeTint="BF"/>
          <w:sz w:val="32"/>
          <w:szCs w:val="36"/>
        </w:rPr>
        <w:t xml:space="preserve">By </w:t>
      </w:r>
      <w:r w:rsidR="00D40930">
        <w:rPr>
          <w:b/>
          <w:bCs/>
          <w:color w:val="215E99" w:themeColor="text2" w:themeTint="BF"/>
          <w:sz w:val="32"/>
          <w:szCs w:val="36"/>
        </w:rPr>
        <w:t>Group 6</w:t>
      </w:r>
    </w:p>
    <w:p w14:paraId="4A35ECCE" w14:textId="7C18405C" w:rsidR="00D40FD2" w:rsidRPr="005F2135" w:rsidRDefault="00D40FD2" w:rsidP="005F2135">
      <w:pPr>
        <w:spacing w:line="240" w:lineRule="auto"/>
        <w:jc w:val="center"/>
        <w:rPr>
          <w:color w:val="215E99" w:themeColor="text2" w:themeTint="BF"/>
          <w:sz w:val="28"/>
          <w:szCs w:val="32"/>
        </w:rPr>
      </w:pPr>
      <w:r w:rsidRPr="005F2135">
        <w:rPr>
          <w:color w:val="215E99" w:themeColor="text2" w:themeTint="BF"/>
          <w:sz w:val="28"/>
          <w:szCs w:val="32"/>
        </w:rPr>
        <w:t>Priyadarshan Parida</w:t>
      </w:r>
      <w:r w:rsidR="00A24B99">
        <w:rPr>
          <w:color w:val="215E99" w:themeColor="text2" w:themeTint="BF"/>
          <w:sz w:val="28"/>
          <w:szCs w:val="32"/>
        </w:rPr>
        <w:t xml:space="preserve"> (PXP230068)</w:t>
      </w:r>
    </w:p>
    <w:p w14:paraId="42EA0232" w14:textId="2D3D6976" w:rsidR="00C21DC8" w:rsidRPr="005F2135" w:rsidRDefault="00C21DC8" w:rsidP="005F2135">
      <w:pPr>
        <w:spacing w:line="240" w:lineRule="auto"/>
        <w:jc w:val="center"/>
        <w:rPr>
          <w:color w:val="215E99" w:themeColor="text2" w:themeTint="BF"/>
          <w:sz w:val="28"/>
          <w:szCs w:val="32"/>
        </w:rPr>
      </w:pPr>
      <w:r>
        <w:rPr>
          <w:color w:val="215E99" w:themeColor="text2" w:themeTint="BF"/>
          <w:sz w:val="28"/>
          <w:szCs w:val="32"/>
        </w:rPr>
        <w:t>Sunayana Jana</w:t>
      </w:r>
      <w:r w:rsidR="00A24B99">
        <w:rPr>
          <w:color w:val="215E99" w:themeColor="text2" w:themeTint="BF"/>
          <w:sz w:val="28"/>
          <w:szCs w:val="32"/>
        </w:rPr>
        <w:t xml:space="preserve"> (SXJ230076)</w:t>
      </w:r>
    </w:p>
    <w:p w14:paraId="6655B07C" w14:textId="77777777" w:rsidR="00BA7F71" w:rsidRDefault="00BA7F71" w:rsidP="00AA1147">
      <w:pPr>
        <w:pStyle w:val="Subtitle1"/>
      </w:pPr>
    </w:p>
    <w:p w14:paraId="16D2EA13" w14:textId="77777777" w:rsidR="00D40930" w:rsidRDefault="00D40930" w:rsidP="00AA1147">
      <w:pPr>
        <w:pStyle w:val="Subtitle1"/>
      </w:pPr>
    </w:p>
    <w:p w14:paraId="78E499E3" w14:textId="77777777" w:rsidR="00D40930" w:rsidRDefault="00D40930" w:rsidP="00AA1147">
      <w:pPr>
        <w:pStyle w:val="Subtitle1"/>
      </w:pPr>
    </w:p>
    <w:p w14:paraId="28D73490" w14:textId="77777777" w:rsidR="00E06137" w:rsidRDefault="00E06137" w:rsidP="00AA1147">
      <w:pPr>
        <w:pStyle w:val="Subtitle1"/>
      </w:pPr>
    </w:p>
    <w:p w14:paraId="4E369704" w14:textId="77777777" w:rsidR="00E06137" w:rsidRPr="00D40FD2" w:rsidRDefault="00E06137" w:rsidP="00AA1147">
      <w:pPr>
        <w:pStyle w:val="Subtitle1"/>
      </w:pPr>
    </w:p>
    <w:sdt>
      <w:sdtPr>
        <w:rPr>
          <w:rFonts w:asciiTheme="minorHAnsi" w:eastAsiaTheme="minorHAnsi" w:hAnsiTheme="minorHAnsi" w:cstheme="minorBidi"/>
          <w:b w:val="0"/>
          <w:bCs w:val="0"/>
          <w:color w:val="auto"/>
          <w:kern w:val="2"/>
          <w:sz w:val="22"/>
          <w:szCs w:val="24"/>
          <w14:ligatures w14:val="standardContextual"/>
        </w:rPr>
        <w:id w:val="-1678176492"/>
        <w:docPartObj>
          <w:docPartGallery w:val="Table of Contents"/>
          <w:docPartUnique/>
        </w:docPartObj>
      </w:sdtPr>
      <w:sdtEndPr>
        <w:rPr>
          <w:noProof/>
        </w:rPr>
      </w:sdtEndPr>
      <w:sdtContent>
        <w:p w14:paraId="20AC16E5" w14:textId="1B0BA140" w:rsidR="0055239F" w:rsidRPr="00D8631D" w:rsidRDefault="0055239F">
          <w:pPr>
            <w:pStyle w:val="TOCHeading"/>
          </w:pPr>
          <w:r w:rsidRPr="00D8631D">
            <w:t>Table of Content</w:t>
          </w:r>
          <w:r w:rsidR="008F64D1" w:rsidRPr="00D8631D">
            <w:t>s</w:t>
          </w:r>
        </w:p>
        <w:p w14:paraId="3FAEED53" w14:textId="23E35D67" w:rsidR="00D8631D" w:rsidRPr="00D8631D" w:rsidRDefault="0055239F">
          <w:pPr>
            <w:pStyle w:val="TOC1"/>
            <w:tabs>
              <w:tab w:val="right" w:leader="dot" w:pos="9350"/>
            </w:tabs>
            <w:rPr>
              <w:rFonts w:eastAsiaTheme="minorEastAsia"/>
              <w:b w:val="0"/>
              <w:bCs w:val="0"/>
              <w:i w:val="0"/>
              <w:iCs w:val="0"/>
              <w:noProof/>
            </w:rPr>
          </w:pPr>
          <w:r w:rsidRPr="00D8631D">
            <w:rPr>
              <w:b w:val="0"/>
              <w:bCs w:val="0"/>
              <w:i w:val="0"/>
              <w:iCs w:val="0"/>
            </w:rPr>
            <w:fldChar w:fldCharType="begin"/>
          </w:r>
          <w:r w:rsidRPr="00D8631D">
            <w:rPr>
              <w:i w:val="0"/>
              <w:iCs w:val="0"/>
            </w:rPr>
            <w:instrText xml:space="preserve"> TOC \o "1-3" \h \z \u </w:instrText>
          </w:r>
          <w:r w:rsidRPr="00D8631D">
            <w:rPr>
              <w:b w:val="0"/>
              <w:bCs w:val="0"/>
              <w:i w:val="0"/>
              <w:iCs w:val="0"/>
            </w:rPr>
            <w:fldChar w:fldCharType="separate"/>
          </w:r>
          <w:hyperlink w:anchor="_Toc212322821" w:history="1">
            <w:r w:rsidR="00D8631D" w:rsidRPr="00D8631D">
              <w:rPr>
                <w:rStyle w:val="Hyperlink"/>
                <w:i w:val="0"/>
                <w:iCs w:val="0"/>
                <w:noProof/>
              </w:rPr>
              <w:t>1. Introduction</w:t>
            </w:r>
            <w:r w:rsidR="00D8631D" w:rsidRPr="00D8631D">
              <w:rPr>
                <w:i w:val="0"/>
                <w:iCs w:val="0"/>
                <w:noProof/>
                <w:webHidden/>
              </w:rPr>
              <w:tab/>
            </w:r>
            <w:r w:rsidR="00D8631D" w:rsidRPr="00D8631D">
              <w:rPr>
                <w:i w:val="0"/>
                <w:iCs w:val="0"/>
                <w:noProof/>
                <w:webHidden/>
              </w:rPr>
              <w:fldChar w:fldCharType="begin"/>
            </w:r>
            <w:r w:rsidR="00D8631D" w:rsidRPr="00D8631D">
              <w:rPr>
                <w:i w:val="0"/>
                <w:iCs w:val="0"/>
                <w:noProof/>
                <w:webHidden/>
              </w:rPr>
              <w:instrText xml:space="preserve"> PAGEREF _Toc212322821 \h </w:instrText>
            </w:r>
            <w:r w:rsidR="00D8631D" w:rsidRPr="00D8631D">
              <w:rPr>
                <w:i w:val="0"/>
                <w:iCs w:val="0"/>
                <w:noProof/>
                <w:webHidden/>
              </w:rPr>
            </w:r>
            <w:r w:rsidR="00D8631D" w:rsidRPr="00D8631D">
              <w:rPr>
                <w:i w:val="0"/>
                <w:iCs w:val="0"/>
                <w:noProof/>
                <w:webHidden/>
              </w:rPr>
              <w:fldChar w:fldCharType="separate"/>
            </w:r>
            <w:r w:rsidR="00D8631D" w:rsidRPr="00D8631D">
              <w:rPr>
                <w:i w:val="0"/>
                <w:iCs w:val="0"/>
                <w:noProof/>
                <w:webHidden/>
              </w:rPr>
              <w:t>3</w:t>
            </w:r>
            <w:r w:rsidR="00D8631D" w:rsidRPr="00D8631D">
              <w:rPr>
                <w:i w:val="0"/>
                <w:iCs w:val="0"/>
                <w:noProof/>
                <w:webHidden/>
              </w:rPr>
              <w:fldChar w:fldCharType="end"/>
            </w:r>
          </w:hyperlink>
        </w:p>
        <w:p w14:paraId="34D3519C" w14:textId="12DC059A" w:rsidR="00D8631D" w:rsidRPr="00D8631D" w:rsidRDefault="00D8631D">
          <w:pPr>
            <w:pStyle w:val="TOC1"/>
            <w:tabs>
              <w:tab w:val="right" w:leader="dot" w:pos="9350"/>
            </w:tabs>
            <w:rPr>
              <w:rFonts w:eastAsiaTheme="minorEastAsia"/>
              <w:b w:val="0"/>
              <w:bCs w:val="0"/>
              <w:i w:val="0"/>
              <w:iCs w:val="0"/>
              <w:noProof/>
            </w:rPr>
          </w:pPr>
          <w:hyperlink w:anchor="_Toc212322822" w:history="1">
            <w:r w:rsidRPr="00D8631D">
              <w:rPr>
                <w:rStyle w:val="Hyperlink"/>
                <w:i w:val="0"/>
                <w:iCs w:val="0"/>
                <w:noProof/>
              </w:rPr>
              <w:t>2. Industry Sector, Stock, and Analysis Framework Selection</w:t>
            </w:r>
            <w:r w:rsidRPr="00D8631D">
              <w:rPr>
                <w:i w:val="0"/>
                <w:iCs w:val="0"/>
                <w:noProof/>
                <w:webHidden/>
              </w:rPr>
              <w:tab/>
            </w:r>
            <w:r w:rsidRPr="00D8631D">
              <w:rPr>
                <w:i w:val="0"/>
                <w:iCs w:val="0"/>
                <w:noProof/>
                <w:webHidden/>
              </w:rPr>
              <w:fldChar w:fldCharType="begin"/>
            </w:r>
            <w:r w:rsidRPr="00D8631D">
              <w:rPr>
                <w:i w:val="0"/>
                <w:iCs w:val="0"/>
                <w:noProof/>
                <w:webHidden/>
              </w:rPr>
              <w:instrText xml:space="preserve"> PAGEREF _Toc212322822 \h </w:instrText>
            </w:r>
            <w:r w:rsidRPr="00D8631D">
              <w:rPr>
                <w:i w:val="0"/>
                <w:iCs w:val="0"/>
                <w:noProof/>
                <w:webHidden/>
              </w:rPr>
            </w:r>
            <w:r w:rsidRPr="00D8631D">
              <w:rPr>
                <w:i w:val="0"/>
                <w:iCs w:val="0"/>
                <w:noProof/>
                <w:webHidden/>
              </w:rPr>
              <w:fldChar w:fldCharType="separate"/>
            </w:r>
            <w:r w:rsidRPr="00D8631D">
              <w:rPr>
                <w:i w:val="0"/>
                <w:iCs w:val="0"/>
                <w:noProof/>
                <w:webHidden/>
              </w:rPr>
              <w:t>3</w:t>
            </w:r>
            <w:r w:rsidRPr="00D8631D">
              <w:rPr>
                <w:i w:val="0"/>
                <w:iCs w:val="0"/>
                <w:noProof/>
                <w:webHidden/>
              </w:rPr>
              <w:fldChar w:fldCharType="end"/>
            </w:r>
          </w:hyperlink>
        </w:p>
        <w:p w14:paraId="29EE99F3" w14:textId="3FAFBD90" w:rsidR="00D8631D" w:rsidRPr="00D8631D" w:rsidRDefault="00D8631D">
          <w:pPr>
            <w:pStyle w:val="TOC1"/>
            <w:tabs>
              <w:tab w:val="right" w:leader="dot" w:pos="9350"/>
            </w:tabs>
            <w:rPr>
              <w:rFonts w:eastAsiaTheme="minorEastAsia"/>
              <w:b w:val="0"/>
              <w:bCs w:val="0"/>
              <w:i w:val="0"/>
              <w:iCs w:val="0"/>
              <w:noProof/>
            </w:rPr>
          </w:pPr>
          <w:hyperlink w:anchor="_Toc212322823" w:history="1">
            <w:r w:rsidRPr="00D8631D">
              <w:rPr>
                <w:rStyle w:val="Hyperlink"/>
                <w:i w:val="0"/>
                <w:iCs w:val="0"/>
                <w:noProof/>
              </w:rPr>
              <w:t>3. Data Collection and Exploratory Analysis</w:t>
            </w:r>
            <w:r w:rsidRPr="00D8631D">
              <w:rPr>
                <w:i w:val="0"/>
                <w:iCs w:val="0"/>
                <w:noProof/>
                <w:webHidden/>
              </w:rPr>
              <w:tab/>
            </w:r>
            <w:r w:rsidRPr="00D8631D">
              <w:rPr>
                <w:i w:val="0"/>
                <w:iCs w:val="0"/>
                <w:noProof/>
                <w:webHidden/>
              </w:rPr>
              <w:fldChar w:fldCharType="begin"/>
            </w:r>
            <w:r w:rsidRPr="00D8631D">
              <w:rPr>
                <w:i w:val="0"/>
                <w:iCs w:val="0"/>
                <w:noProof/>
                <w:webHidden/>
              </w:rPr>
              <w:instrText xml:space="preserve"> PAGEREF _Toc212322823 \h </w:instrText>
            </w:r>
            <w:r w:rsidRPr="00D8631D">
              <w:rPr>
                <w:i w:val="0"/>
                <w:iCs w:val="0"/>
                <w:noProof/>
                <w:webHidden/>
              </w:rPr>
            </w:r>
            <w:r w:rsidRPr="00D8631D">
              <w:rPr>
                <w:i w:val="0"/>
                <w:iCs w:val="0"/>
                <w:noProof/>
                <w:webHidden/>
              </w:rPr>
              <w:fldChar w:fldCharType="separate"/>
            </w:r>
            <w:r w:rsidRPr="00D8631D">
              <w:rPr>
                <w:i w:val="0"/>
                <w:iCs w:val="0"/>
                <w:noProof/>
                <w:webHidden/>
              </w:rPr>
              <w:t>6</w:t>
            </w:r>
            <w:r w:rsidRPr="00D8631D">
              <w:rPr>
                <w:i w:val="0"/>
                <w:iCs w:val="0"/>
                <w:noProof/>
                <w:webHidden/>
              </w:rPr>
              <w:fldChar w:fldCharType="end"/>
            </w:r>
          </w:hyperlink>
        </w:p>
        <w:p w14:paraId="4194D5AB" w14:textId="54984E69" w:rsidR="00D8631D" w:rsidRPr="00D8631D" w:rsidRDefault="00D8631D">
          <w:pPr>
            <w:pStyle w:val="TOC2"/>
            <w:tabs>
              <w:tab w:val="right" w:leader="dot" w:pos="9350"/>
            </w:tabs>
            <w:rPr>
              <w:rFonts w:eastAsiaTheme="minorEastAsia"/>
              <w:b w:val="0"/>
              <w:bCs w:val="0"/>
              <w:noProof/>
              <w:sz w:val="24"/>
              <w:szCs w:val="24"/>
            </w:rPr>
          </w:pPr>
          <w:hyperlink w:anchor="_Toc212322824" w:history="1">
            <w:r w:rsidRPr="00D8631D">
              <w:rPr>
                <w:rStyle w:val="Hyperlink"/>
                <w:b w:val="0"/>
                <w:bCs w:val="0"/>
                <w:noProof/>
              </w:rPr>
              <w:t>(a) Descriptive Analytics of Stock Returns</w:t>
            </w:r>
            <w:r w:rsidRPr="00D8631D">
              <w:rPr>
                <w:b w:val="0"/>
                <w:bCs w:val="0"/>
                <w:noProof/>
                <w:webHidden/>
              </w:rPr>
              <w:tab/>
            </w:r>
            <w:r w:rsidRPr="00D8631D">
              <w:rPr>
                <w:b w:val="0"/>
                <w:bCs w:val="0"/>
                <w:noProof/>
                <w:webHidden/>
              </w:rPr>
              <w:fldChar w:fldCharType="begin"/>
            </w:r>
            <w:r w:rsidRPr="00D8631D">
              <w:rPr>
                <w:b w:val="0"/>
                <w:bCs w:val="0"/>
                <w:noProof/>
                <w:webHidden/>
              </w:rPr>
              <w:instrText xml:space="preserve"> PAGEREF _Toc212322824 \h </w:instrText>
            </w:r>
            <w:r w:rsidRPr="00D8631D">
              <w:rPr>
                <w:b w:val="0"/>
                <w:bCs w:val="0"/>
                <w:noProof/>
                <w:webHidden/>
              </w:rPr>
            </w:r>
            <w:r w:rsidRPr="00D8631D">
              <w:rPr>
                <w:b w:val="0"/>
                <w:bCs w:val="0"/>
                <w:noProof/>
                <w:webHidden/>
              </w:rPr>
              <w:fldChar w:fldCharType="separate"/>
            </w:r>
            <w:r w:rsidRPr="00D8631D">
              <w:rPr>
                <w:b w:val="0"/>
                <w:bCs w:val="0"/>
                <w:noProof/>
                <w:webHidden/>
              </w:rPr>
              <w:t>6</w:t>
            </w:r>
            <w:r w:rsidRPr="00D8631D">
              <w:rPr>
                <w:b w:val="0"/>
                <w:bCs w:val="0"/>
                <w:noProof/>
                <w:webHidden/>
              </w:rPr>
              <w:fldChar w:fldCharType="end"/>
            </w:r>
          </w:hyperlink>
        </w:p>
        <w:p w14:paraId="05D5EB86" w14:textId="4181F85B" w:rsidR="00D8631D" w:rsidRPr="00D8631D" w:rsidRDefault="00D8631D">
          <w:pPr>
            <w:pStyle w:val="TOC2"/>
            <w:tabs>
              <w:tab w:val="right" w:leader="dot" w:pos="9350"/>
            </w:tabs>
            <w:rPr>
              <w:rFonts w:eastAsiaTheme="minorEastAsia"/>
              <w:b w:val="0"/>
              <w:bCs w:val="0"/>
              <w:noProof/>
              <w:sz w:val="24"/>
              <w:szCs w:val="24"/>
            </w:rPr>
          </w:pPr>
          <w:hyperlink w:anchor="_Toc212322825" w:history="1">
            <w:r w:rsidRPr="00D8631D">
              <w:rPr>
                <w:rStyle w:val="Hyperlink"/>
                <w:b w:val="0"/>
                <w:bCs w:val="0"/>
                <w:noProof/>
              </w:rPr>
              <w:t>(b) Covariance and Correlation Analysis</w:t>
            </w:r>
            <w:r w:rsidRPr="00D8631D">
              <w:rPr>
                <w:b w:val="0"/>
                <w:bCs w:val="0"/>
                <w:noProof/>
                <w:webHidden/>
              </w:rPr>
              <w:tab/>
            </w:r>
            <w:r w:rsidRPr="00D8631D">
              <w:rPr>
                <w:b w:val="0"/>
                <w:bCs w:val="0"/>
                <w:noProof/>
                <w:webHidden/>
              </w:rPr>
              <w:fldChar w:fldCharType="begin"/>
            </w:r>
            <w:r w:rsidRPr="00D8631D">
              <w:rPr>
                <w:b w:val="0"/>
                <w:bCs w:val="0"/>
                <w:noProof/>
                <w:webHidden/>
              </w:rPr>
              <w:instrText xml:space="preserve"> PAGEREF _Toc212322825 \h </w:instrText>
            </w:r>
            <w:r w:rsidRPr="00D8631D">
              <w:rPr>
                <w:b w:val="0"/>
                <w:bCs w:val="0"/>
                <w:noProof/>
                <w:webHidden/>
              </w:rPr>
            </w:r>
            <w:r w:rsidRPr="00D8631D">
              <w:rPr>
                <w:b w:val="0"/>
                <w:bCs w:val="0"/>
                <w:noProof/>
                <w:webHidden/>
              </w:rPr>
              <w:fldChar w:fldCharType="separate"/>
            </w:r>
            <w:r w:rsidRPr="00D8631D">
              <w:rPr>
                <w:b w:val="0"/>
                <w:bCs w:val="0"/>
                <w:noProof/>
                <w:webHidden/>
              </w:rPr>
              <w:t>9</w:t>
            </w:r>
            <w:r w:rsidRPr="00D8631D">
              <w:rPr>
                <w:b w:val="0"/>
                <w:bCs w:val="0"/>
                <w:noProof/>
                <w:webHidden/>
              </w:rPr>
              <w:fldChar w:fldCharType="end"/>
            </w:r>
          </w:hyperlink>
        </w:p>
        <w:p w14:paraId="7AB92474" w14:textId="4FCCB108" w:rsidR="00D8631D" w:rsidRPr="00D8631D" w:rsidRDefault="00D8631D">
          <w:pPr>
            <w:pStyle w:val="TOC2"/>
            <w:tabs>
              <w:tab w:val="right" w:leader="dot" w:pos="9350"/>
            </w:tabs>
            <w:rPr>
              <w:rFonts w:eastAsiaTheme="minorEastAsia"/>
              <w:b w:val="0"/>
              <w:bCs w:val="0"/>
              <w:noProof/>
              <w:sz w:val="24"/>
              <w:szCs w:val="24"/>
            </w:rPr>
          </w:pPr>
          <w:hyperlink w:anchor="_Toc212322826" w:history="1">
            <w:r w:rsidRPr="00D8631D">
              <w:rPr>
                <w:rStyle w:val="Hyperlink"/>
                <w:b w:val="0"/>
                <w:bCs w:val="0"/>
                <w:noProof/>
              </w:rPr>
              <w:t>(c) Stock Returns and Financial Fundamentals Relationship Analysis</w:t>
            </w:r>
            <w:r w:rsidRPr="00D8631D">
              <w:rPr>
                <w:b w:val="0"/>
                <w:bCs w:val="0"/>
                <w:noProof/>
                <w:webHidden/>
              </w:rPr>
              <w:tab/>
            </w:r>
            <w:r w:rsidRPr="00D8631D">
              <w:rPr>
                <w:b w:val="0"/>
                <w:bCs w:val="0"/>
                <w:noProof/>
                <w:webHidden/>
              </w:rPr>
              <w:fldChar w:fldCharType="begin"/>
            </w:r>
            <w:r w:rsidRPr="00D8631D">
              <w:rPr>
                <w:b w:val="0"/>
                <w:bCs w:val="0"/>
                <w:noProof/>
                <w:webHidden/>
              </w:rPr>
              <w:instrText xml:space="preserve"> PAGEREF _Toc212322826 \h </w:instrText>
            </w:r>
            <w:r w:rsidRPr="00D8631D">
              <w:rPr>
                <w:b w:val="0"/>
                <w:bCs w:val="0"/>
                <w:noProof/>
                <w:webHidden/>
              </w:rPr>
            </w:r>
            <w:r w:rsidRPr="00D8631D">
              <w:rPr>
                <w:b w:val="0"/>
                <w:bCs w:val="0"/>
                <w:noProof/>
                <w:webHidden/>
              </w:rPr>
              <w:fldChar w:fldCharType="separate"/>
            </w:r>
            <w:r w:rsidRPr="00D8631D">
              <w:rPr>
                <w:b w:val="0"/>
                <w:bCs w:val="0"/>
                <w:noProof/>
                <w:webHidden/>
              </w:rPr>
              <w:t>10</w:t>
            </w:r>
            <w:r w:rsidRPr="00D8631D">
              <w:rPr>
                <w:b w:val="0"/>
                <w:bCs w:val="0"/>
                <w:noProof/>
                <w:webHidden/>
              </w:rPr>
              <w:fldChar w:fldCharType="end"/>
            </w:r>
          </w:hyperlink>
        </w:p>
        <w:p w14:paraId="2BB87FDC" w14:textId="5DB7204B" w:rsidR="00D8631D" w:rsidRPr="00D8631D" w:rsidRDefault="00D8631D">
          <w:pPr>
            <w:pStyle w:val="TOC2"/>
            <w:tabs>
              <w:tab w:val="right" w:leader="dot" w:pos="9350"/>
            </w:tabs>
            <w:rPr>
              <w:rFonts w:eastAsiaTheme="minorEastAsia"/>
              <w:b w:val="0"/>
              <w:bCs w:val="0"/>
              <w:noProof/>
              <w:sz w:val="24"/>
              <w:szCs w:val="24"/>
            </w:rPr>
          </w:pPr>
          <w:hyperlink w:anchor="_Toc212322827" w:history="1">
            <w:r w:rsidRPr="00D8631D">
              <w:rPr>
                <w:rStyle w:val="Hyperlink"/>
                <w:b w:val="0"/>
                <w:bCs w:val="0"/>
                <w:noProof/>
              </w:rPr>
              <w:t>(d) Equal-weighted Portfolio Construction &amp; Performance Analysis</w:t>
            </w:r>
            <w:r w:rsidRPr="00D8631D">
              <w:rPr>
                <w:b w:val="0"/>
                <w:bCs w:val="0"/>
                <w:noProof/>
                <w:webHidden/>
              </w:rPr>
              <w:tab/>
            </w:r>
            <w:r w:rsidRPr="00D8631D">
              <w:rPr>
                <w:b w:val="0"/>
                <w:bCs w:val="0"/>
                <w:noProof/>
                <w:webHidden/>
              </w:rPr>
              <w:fldChar w:fldCharType="begin"/>
            </w:r>
            <w:r w:rsidRPr="00D8631D">
              <w:rPr>
                <w:b w:val="0"/>
                <w:bCs w:val="0"/>
                <w:noProof/>
                <w:webHidden/>
              </w:rPr>
              <w:instrText xml:space="preserve"> PAGEREF _Toc212322827 \h </w:instrText>
            </w:r>
            <w:r w:rsidRPr="00D8631D">
              <w:rPr>
                <w:b w:val="0"/>
                <w:bCs w:val="0"/>
                <w:noProof/>
                <w:webHidden/>
              </w:rPr>
            </w:r>
            <w:r w:rsidRPr="00D8631D">
              <w:rPr>
                <w:b w:val="0"/>
                <w:bCs w:val="0"/>
                <w:noProof/>
                <w:webHidden/>
              </w:rPr>
              <w:fldChar w:fldCharType="separate"/>
            </w:r>
            <w:r w:rsidRPr="00D8631D">
              <w:rPr>
                <w:b w:val="0"/>
                <w:bCs w:val="0"/>
                <w:noProof/>
                <w:webHidden/>
              </w:rPr>
              <w:t>12</w:t>
            </w:r>
            <w:r w:rsidRPr="00D8631D">
              <w:rPr>
                <w:b w:val="0"/>
                <w:bCs w:val="0"/>
                <w:noProof/>
                <w:webHidden/>
              </w:rPr>
              <w:fldChar w:fldCharType="end"/>
            </w:r>
          </w:hyperlink>
        </w:p>
        <w:p w14:paraId="600DEF37" w14:textId="3134AF8A" w:rsidR="00D8631D" w:rsidRPr="00D8631D" w:rsidRDefault="00D8631D">
          <w:pPr>
            <w:pStyle w:val="TOC2"/>
            <w:tabs>
              <w:tab w:val="right" w:leader="dot" w:pos="9350"/>
            </w:tabs>
            <w:rPr>
              <w:rFonts w:eastAsiaTheme="minorEastAsia"/>
              <w:b w:val="0"/>
              <w:bCs w:val="0"/>
              <w:noProof/>
              <w:sz w:val="24"/>
              <w:szCs w:val="24"/>
            </w:rPr>
          </w:pPr>
          <w:hyperlink w:anchor="_Toc212322828" w:history="1">
            <w:r w:rsidRPr="00D8631D">
              <w:rPr>
                <w:rStyle w:val="Hyperlink"/>
                <w:b w:val="0"/>
                <w:bCs w:val="0"/>
                <w:noProof/>
              </w:rPr>
              <w:t>(e) Optimal Portfolio Analysis Construction &amp; Performance Analysis</w:t>
            </w:r>
            <w:r w:rsidRPr="00D8631D">
              <w:rPr>
                <w:b w:val="0"/>
                <w:bCs w:val="0"/>
                <w:noProof/>
                <w:webHidden/>
              </w:rPr>
              <w:tab/>
            </w:r>
            <w:r w:rsidRPr="00D8631D">
              <w:rPr>
                <w:b w:val="0"/>
                <w:bCs w:val="0"/>
                <w:noProof/>
                <w:webHidden/>
              </w:rPr>
              <w:fldChar w:fldCharType="begin"/>
            </w:r>
            <w:r w:rsidRPr="00D8631D">
              <w:rPr>
                <w:b w:val="0"/>
                <w:bCs w:val="0"/>
                <w:noProof/>
                <w:webHidden/>
              </w:rPr>
              <w:instrText xml:space="preserve"> PAGEREF _Toc212322828 \h </w:instrText>
            </w:r>
            <w:r w:rsidRPr="00D8631D">
              <w:rPr>
                <w:b w:val="0"/>
                <w:bCs w:val="0"/>
                <w:noProof/>
                <w:webHidden/>
              </w:rPr>
            </w:r>
            <w:r w:rsidRPr="00D8631D">
              <w:rPr>
                <w:b w:val="0"/>
                <w:bCs w:val="0"/>
                <w:noProof/>
                <w:webHidden/>
              </w:rPr>
              <w:fldChar w:fldCharType="separate"/>
            </w:r>
            <w:r w:rsidRPr="00D8631D">
              <w:rPr>
                <w:b w:val="0"/>
                <w:bCs w:val="0"/>
                <w:noProof/>
                <w:webHidden/>
              </w:rPr>
              <w:t>13</w:t>
            </w:r>
            <w:r w:rsidRPr="00D8631D">
              <w:rPr>
                <w:b w:val="0"/>
                <w:bCs w:val="0"/>
                <w:noProof/>
                <w:webHidden/>
              </w:rPr>
              <w:fldChar w:fldCharType="end"/>
            </w:r>
          </w:hyperlink>
        </w:p>
        <w:p w14:paraId="119EF816" w14:textId="07FD9F83" w:rsidR="00D8631D" w:rsidRPr="00D8631D" w:rsidRDefault="00D8631D">
          <w:pPr>
            <w:pStyle w:val="TOC1"/>
            <w:tabs>
              <w:tab w:val="right" w:leader="dot" w:pos="9350"/>
            </w:tabs>
            <w:rPr>
              <w:rFonts w:eastAsiaTheme="minorEastAsia"/>
              <w:b w:val="0"/>
              <w:bCs w:val="0"/>
              <w:i w:val="0"/>
              <w:iCs w:val="0"/>
              <w:noProof/>
            </w:rPr>
          </w:pPr>
          <w:hyperlink w:anchor="_Toc212322829" w:history="1">
            <w:r w:rsidRPr="00D8631D">
              <w:rPr>
                <w:rStyle w:val="Hyperlink"/>
                <w:i w:val="0"/>
                <w:iCs w:val="0"/>
                <w:noProof/>
              </w:rPr>
              <w:t>4. Conclusion</w:t>
            </w:r>
            <w:r w:rsidRPr="00D8631D">
              <w:rPr>
                <w:i w:val="0"/>
                <w:iCs w:val="0"/>
                <w:noProof/>
                <w:webHidden/>
              </w:rPr>
              <w:tab/>
            </w:r>
            <w:r w:rsidRPr="00D8631D">
              <w:rPr>
                <w:i w:val="0"/>
                <w:iCs w:val="0"/>
                <w:noProof/>
                <w:webHidden/>
              </w:rPr>
              <w:fldChar w:fldCharType="begin"/>
            </w:r>
            <w:r w:rsidRPr="00D8631D">
              <w:rPr>
                <w:i w:val="0"/>
                <w:iCs w:val="0"/>
                <w:noProof/>
                <w:webHidden/>
              </w:rPr>
              <w:instrText xml:space="preserve"> PAGEREF _Toc212322829 \h </w:instrText>
            </w:r>
            <w:r w:rsidRPr="00D8631D">
              <w:rPr>
                <w:i w:val="0"/>
                <w:iCs w:val="0"/>
                <w:noProof/>
                <w:webHidden/>
              </w:rPr>
            </w:r>
            <w:r w:rsidRPr="00D8631D">
              <w:rPr>
                <w:i w:val="0"/>
                <w:iCs w:val="0"/>
                <w:noProof/>
                <w:webHidden/>
              </w:rPr>
              <w:fldChar w:fldCharType="separate"/>
            </w:r>
            <w:r w:rsidRPr="00D8631D">
              <w:rPr>
                <w:i w:val="0"/>
                <w:iCs w:val="0"/>
                <w:noProof/>
                <w:webHidden/>
              </w:rPr>
              <w:t>15</w:t>
            </w:r>
            <w:r w:rsidRPr="00D8631D">
              <w:rPr>
                <w:i w:val="0"/>
                <w:iCs w:val="0"/>
                <w:noProof/>
                <w:webHidden/>
              </w:rPr>
              <w:fldChar w:fldCharType="end"/>
            </w:r>
          </w:hyperlink>
        </w:p>
        <w:p w14:paraId="1AA01513" w14:textId="6A7AB89E" w:rsidR="00D8631D" w:rsidRPr="00D8631D" w:rsidRDefault="00D8631D">
          <w:pPr>
            <w:pStyle w:val="TOC1"/>
            <w:tabs>
              <w:tab w:val="right" w:leader="dot" w:pos="9350"/>
            </w:tabs>
            <w:rPr>
              <w:rFonts w:eastAsiaTheme="minorEastAsia"/>
              <w:b w:val="0"/>
              <w:bCs w:val="0"/>
              <w:i w:val="0"/>
              <w:iCs w:val="0"/>
              <w:noProof/>
            </w:rPr>
          </w:pPr>
          <w:hyperlink w:anchor="_Toc212322830" w:history="1">
            <w:r w:rsidRPr="00D8631D">
              <w:rPr>
                <w:rStyle w:val="Hyperlink"/>
                <w:i w:val="0"/>
                <w:iCs w:val="0"/>
                <w:noProof/>
              </w:rPr>
              <w:t>References</w:t>
            </w:r>
            <w:r w:rsidRPr="00D8631D">
              <w:rPr>
                <w:i w:val="0"/>
                <w:iCs w:val="0"/>
                <w:noProof/>
                <w:webHidden/>
              </w:rPr>
              <w:tab/>
            </w:r>
            <w:r w:rsidRPr="00D8631D">
              <w:rPr>
                <w:i w:val="0"/>
                <w:iCs w:val="0"/>
                <w:noProof/>
                <w:webHidden/>
              </w:rPr>
              <w:fldChar w:fldCharType="begin"/>
            </w:r>
            <w:r w:rsidRPr="00D8631D">
              <w:rPr>
                <w:i w:val="0"/>
                <w:iCs w:val="0"/>
                <w:noProof/>
                <w:webHidden/>
              </w:rPr>
              <w:instrText xml:space="preserve"> PAGEREF _Toc212322830 \h </w:instrText>
            </w:r>
            <w:r w:rsidRPr="00D8631D">
              <w:rPr>
                <w:i w:val="0"/>
                <w:iCs w:val="0"/>
                <w:noProof/>
                <w:webHidden/>
              </w:rPr>
            </w:r>
            <w:r w:rsidRPr="00D8631D">
              <w:rPr>
                <w:i w:val="0"/>
                <w:iCs w:val="0"/>
                <w:noProof/>
                <w:webHidden/>
              </w:rPr>
              <w:fldChar w:fldCharType="separate"/>
            </w:r>
            <w:r w:rsidRPr="00D8631D">
              <w:rPr>
                <w:i w:val="0"/>
                <w:iCs w:val="0"/>
                <w:noProof/>
                <w:webHidden/>
              </w:rPr>
              <w:t>16</w:t>
            </w:r>
            <w:r w:rsidRPr="00D8631D">
              <w:rPr>
                <w:i w:val="0"/>
                <w:iCs w:val="0"/>
                <w:noProof/>
                <w:webHidden/>
              </w:rPr>
              <w:fldChar w:fldCharType="end"/>
            </w:r>
          </w:hyperlink>
        </w:p>
        <w:p w14:paraId="0A552C68" w14:textId="63ADC9C1" w:rsidR="00D8631D" w:rsidRPr="00D8631D" w:rsidRDefault="00D8631D">
          <w:pPr>
            <w:pStyle w:val="TOC1"/>
            <w:tabs>
              <w:tab w:val="right" w:leader="dot" w:pos="9350"/>
            </w:tabs>
            <w:rPr>
              <w:rFonts w:eastAsiaTheme="minorEastAsia"/>
              <w:b w:val="0"/>
              <w:bCs w:val="0"/>
              <w:i w:val="0"/>
              <w:iCs w:val="0"/>
              <w:noProof/>
            </w:rPr>
          </w:pPr>
          <w:hyperlink w:anchor="_Toc212322831" w:history="1">
            <w:r w:rsidRPr="00D8631D">
              <w:rPr>
                <w:rStyle w:val="Hyperlink"/>
                <w:i w:val="0"/>
                <w:iCs w:val="0"/>
                <w:noProof/>
              </w:rPr>
              <w:t>Appendix</w:t>
            </w:r>
            <w:r w:rsidRPr="00D8631D">
              <w:rPr>
                <w:i w:val="0"/>
                <w:iCs w:val="0"/>
                <w:noProof/>
                <w:webHidden/>
              </w:rPr>
              <w:tab/>
            </w:r>
            <w:r w:rsidRPr="00D8631D">
              <w:rPr>
                <w:i w:val="0"/>
                <w:iCs w:val="0"/>
                <w:noProof/>
                <w:webHidden/>
              </w:rPr>
              <w:fldChar w:fldCharType="begin"/>
            </w:r>
            <w:r w:rsidRPr="00D8631D">
              <w:rPr>
                <w:i w:val="0"/>
                <w:iCs w:val="0"/>
                <w:noProof/>
                <w:webHidden/>
              </w:rPr>
              <w:instrText xml:space="preserve"> PAGEREF _Toc212322831 \h </w:instrText>
            </w:r>
            <w:r w:rsidRPr="00D8631D">
              <w:rPr>
                <w:i w:val="0"/>
                <w:iCs w:val="0"/>
                <w:noProof/>
                <w:webHidden/>
              </w:rPr>
            </w:r>
            <w:r w:rsidRPr="00D8631D">
              <w:rPr>
                <w:i w:val="0"/>
                <w:iCs w:val="0"/>
                <w:noProof/>
                <w:webHidden/>
              </w:rPr>
              <w:fldChar w:fldCharType="separate"/>
            </w:r>
            <w:r w:rsidRPr="00D8631D">
              <w:rPr>
                <w:i w:val="0"/>
                <w:iCs w:val="0"/>
                <w:noProof/>
                <w:webHidden/>
              </w:rPr>
              <w:t>17</w:t>
            </w:r>
            <w:r w:rsidRPr="00D8631D">
              <w:rPr>
                <w:i w:val="0"/>
                <w:iCs w:val="0"/>
                <w:noProof/>
                <w:webHidden/>
              </w:rPr>
              <w:fldChar w:fldCharType="end"/>
            </w:r>
          </w:hyperlink>
        </w:p>
        <w:p w14:paraId="04F701EC" w14:textId="00955598" w:rsidR="0055239F" w:rsidRPr="003D1EE4" w:rsidRDefault="0055239F">
          <w:r w:rsidRPr="00D8631D">
            <w:rPr>
              <w:b/>
              <w:bCs/>
              <w:noProof/>
            </w:rPr>
            <w:fldChar w:fldCharType="end"/>
          </w:r>
        </w:p>
      </w:sdtContent>
    </w:sdt>
    <w:p w14:paraId="0CE414D8" w14:textId="77777777" w:rsidR="00DF0551" w:rsidRPr="003D1EE4" w:rsidRDefault="00DF0551" w:rsidP="001E0AAA">
      <w:r w:rsidRPr="003D1EE4">
        <w:br w:type="page"/>
      </w:r>
    </w:p>
    <w:p w14:paraId="012563F8" w14:textId="356131EC" w:rsidR="00805A40" w:rsidRDefault="00480049" w:rsidP="009E2B73">
      <w:pPr>
        <w:pStyle w:val="Heading1"/>
      </w:pPr>
      <w:bookmarkStart w:id="0" w:name="_Toc212322821"/>
      <w:r>
        <w:lastRenderedPageBreak/>
        <w:t xml:space="preserve">1. </w:t>
      </w:r>
      <w:r w:rsidR="00112908">
        <w:t>Introduction</w:t>
      </w:r>
      <w:bookmarkEnd w:id="0"/>
    </w:p>
    <w:p w14:paraId="7FABBF00" w14:textId="32AE4148" w:rsidR="004E2FB7" w:rsidRDefault="00E36F8F" w:rsidP="004E2FB7">
      <w:r>
        <w:t>This project builds on the analysis completed in Project 1 by taking a deeper look at how the two portfolios behave across key risk and return measures. We compare the portfolios using their daily return patterns, which allows us to evaluate differences in volatility, average performance, and overall risk behavior in a more detailed and consistent way. This helps reinforce or challenge the conclusions formed earlier about how these portfolios differ under normal market conditions</w:t>
      </w:r>
      <w:r w:rsidR="004E2FB7">
        <w:t>.</w:t>
      </w:r>
    </w:p>
    <w:p w14:paraId="44EEB72B" w14:textId="2376F139" w:rsidR="00235AE9" w:rsidRPr="00235AE9" w:rsidRDefault="004E2FB7" w:rsidP="004E2FB7">
      <w:r>
        <w:t>A</w:t>
      </w:r>
      <w:r w:rsidR="00106524">
        <w:t xml:space="preserve">nother </w:t>
      </w:r>
      <w:r>
        <w:t xml:space="preserve">goal </w:t>
      </w:r>
      <w:r w:rsidR="00106524">
        <w:t xml:space="preserve">of the project </w:t>
      </w:r>
      <w:r>
        <w:t xml:space="preserve">is to </w:t>
      </w:r>
      <w:r w:rsidR="00E36F8F">
        <w:t>estimate</w:t>
      </w:r>
      <w:r>
        <w:t xml:space="preserve"> beta</w:t>
      </w:r>
      <w:r w:rsidR="00E36F8F">
        <w:t>s</w:t>
      </w:r>
      <w:r>
        <w:t xml:space="preserve"> for the individual companies </w:t>
      </w:r>
      <w:r w:rsidR="00E36F8F">
        <w:t>included in our earlier analysis</w:t>
      </w:r>
      <w:r>
        <w:t xml:space="preserve">. Publicly available betas often use different assumptions, time windows, and market benchmarks, which may not match our specific context. </w:t>
      </w:r>
      <w:r w:rsidR="00E36F8F">
        <w:t>By computing betas ourselves, using a clear and consistent modeling approach, we gain results that better fit our specific analysis and allow us to assess the adequacy of these models for portfolio comparison</w:t>
      </w:r>
      <w:r>
        <w:t>.</w:t>
      </w:r>
    </w:p>
    <w:p w14:paraId="79552814" w14:textId="77777777" w:rsidR="007F0BB0" w:rsidRDefault="00480049" w:rsidP="00235AE9">
      <w:pPr>
        <w:pStyle w:val="Heading1"/>
      </w:pPr>
      <w:bookmarkStart w:id="1" w:name="_Toc212322822"/>
      <w:r>
        <w:t>2</w:t>
      </w:r>
      <w:r w:rsidR="00FD5A6B">
        <w:t>.</w:t>
      </w:r>
      <w:r w:rsidR="002D688F">
        <w:t xml:space="preserve"> </w:t>
      </w:r>
      <w:r w:rsidR="00775282">
        <w:t xml:space="preserve">Data </w:t>
      </w:r>
      <w:r w:rsidR="007F0BB0">
        <w:t>and Methodology</w:t>
      </w:r>
    </w:p>
    <w:p w14:paraId="1278D3E6" w14:textId="26FA4E83" w:rsidR="00BC5A36" w:rsidRPr="002D2FBD" w:rsidRDefault="007F0BB0" w:rsidP="007F0BB0">
      <w:pPr>
        <w:pStyle w:val="Heading2"/>
      </w:pPr>
      <w:r>
        <w:t xml:space="preserve">Data </w:t>
      </w:r>
      <w:r w:rsidR="00775282">
        <w:t xml:space="preserve">Description </w:t>
      </w:r>
      <w:bookmarkEnd w:id="1"/>
    </w:p>
    <w:p w14:paraId="58D76B03" w14:textId="77777777" w:rsidR="00775282" w:rsidRDefault="00775282" w:rsidP="00775282">
      <w:r w:rsidRPr="00775282">
        <w:t>Our analysis uses the same set of ten stocks selected in Project 1 and the same dataset assembled earlier. This dataset includes adjusted-close prices for the ten companies downloaded from NASDAQ, the S&amp;P 500 Index obtained through the Yahoo Finance API, and the daily 13-week U.S. Treasury Bill series sourced from Federal Reserve Economic Data (FRED) using the same API.</w:t>
      </w:r>
      <w:r>
        <w:t xml:space="preserve"> </w:t>
      </w:r>
    </w:p>
    <w:p w14:paraId="18172F60" w14:textId="6320EB44" w:rsidR="00775282" w:rsidRDefault="00775282" w:rsidP="00775282">
      <w:r w:rsidRPr="00775282">
        <w:t xml:space="preserve">The dataset covers the same date range as Project 1 to keep the results consistent across both projects. By using the original </w:t>
      </w:r>
      <w:r w:rsidR="00386DB2" w:rsidRPr="00775282">
        <w:t>data,</w:t>
      </w:r>
      <w:r w:rsidRPr="00775282">
        <w:t xml:space="preserve"> we ensure that all comparisons and follow-on analyses are based on a uniform and aligned set of inputs.</w:t>
      </w:r>
    </w:p>
    <w:p w14:paraId="5EFBC9A2" w14:textId="6584E17C" w:rsidR="007F0BB0" w:rsidRDefault="007F0BB0" w:rsidP="007F0BB0">
      <w:pPr>
        <w:pStyle w:val="Heading2"/>
      </w:pPr>
      <w:r w:rsidRPr="007F0BB0">
        <w:t>Daily Return Construction</w:t>
      </w:r>
    </w:p>
    <w:p w14:paraId="3E56E08B" w14:textId="309A7BFC" w:rsidR="006C278C" w:rsidRPr="00C507FA" w:rsidRDefault="006C278C" w:rsidP="006C278C">
      <w:r>
        <w:t>Daily</w:t>
      </w:r>
      <w:r>
        <w:t xml:space="preserve"> log returns were calculated for each of the ten companies using adjusted-close prices from the Project 1 dataset </w:t>
      </w:r>
      <w:r>
        <w:t>(</w:t>
      </w:r>
      <w:r>
        <w:t>from Oct 2020 to Oct 2025</w:t>
      </w:r>
      <w:r>
        <w:t>)</w:t>
      </w:r>
      <w:r>
        <w:t xml:space="preserve">. </w:t>
      </w:r>
      <w:r w:rsidRPr="00C507FA">
        <w:t>For each stock</w:t>
      </w:r>
      <w:r>
        <w:t xml:space="preserve"> </w:t>
      </w:r>
      <m:oMath>
        <m:r>
          <w:rPr>
            <w:rFonts w:ascii="Cambria Math" w:hAnsi="Cambria Math"/>
          </w:rPr>
          <m:t>i</m:t>
        </m:r>
      </m:oMath>
      <w:r>
        <w:t>,</w:t>
      </w:r>
      <w:r w:rsidRPr="00C507FA">
        <w:t xml:space="preserve"> let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i,t</m:t>
            </m:r>
          </m:sub>
        </m:sSub>
        <m:r>
          <w:rPr>
            <w:rFonts w:ascii="Cambria Math" w:hAnsi="Cambria Math"/>
          </w:rPr>
          <m:t xml:space="preserve"> </m:t>
        </m:r>
      </m:oMath>
      <w:r w:rsidRPr="00C507FA">
        <w:t xml:space="preserve">denote its adjusted closing price </w:t>
      </w:r>
      <w:r>
        <w:t>on day</w:t>
      </w:r>
      <w:r w:rsidRPr="00C507FA">
        <w:t xml:space="preserve"> </w:t>
      </w:r>
      <w:r w:rsidRPr="00C507FA">
        <w:rPr>
          <w:rStyle w:val="Emphasis"/>
        </w:rPr>
        <w:t>t</w:t>
      </w:r>
      <w:r w:rsidRPr="00C507FA">
        <w:t>.</w:t>
      </w:r>
      <w:r w:rsidR="00771524">
        <w:t xml:space="preserve"> </w:t>
      </w:r>
      <w:r w:rsidR="00771524">
        <w:t>The daily log return is:</w:t>
      </w:r>
    </w:p>
    <w:p w14:paraId="25F0FC94" w14:textId="77777777" w:rsidR="006C278C" w:rsidRPr="0050663F" w:rsidRDefault="006C278C" w:rsidP="006C278C">
      <w:pPr>
        <w:rPr>
          <w:rStyle w:val="delimsizing"/>
          <w:rFonts w:eastAsiaTheme="minorEastAsia"/>
        </w:rPr>
      </w:pPr>
      <m:oMathPara>
        <m:oMath>
          <m:sSub>
            <m:sSubPr>
              <m:ctrlPr>
                <w:rPr>
                  <w:rStyle w:val="mord"/>
                  <w:rFonts w:ascii="Cambria Math" w:hAnsi="Cambria Math"/>
                </w:rPr>
              </m:ctrlPr>
            </m:sSubPr>
            <m:e>
              <m:r>
                <m:rPr>
                  <m:sty m:val="p"/>
                </m:rPr>
                <w:rPr>
                  <w:rStyle w:val="mord"/>
                  <w:rFonts w:ascii="Cambria Math" w:hAnsi="Cambria Math"/>
                </w:rPr>
                <m:t>R</m:t>
              </m:r>
            </m:e>
            <m:sub>
              <m:r>
                <m:rPr>
                  <m:sty m:val="p"/>
                </m:rPr>
                <w:rPr>
                  <w:rStyle w:val="mord"/>
                  <w:rFonts w:ascii="Cambria Math" w:hAnsi="Cambria Math"/>
                </w:rPr>
                <m:t>i,t</m:t>
              </m:r>
            </m:sub>
          </m:sSub>
          <m:r>
            <m:rPr>
              <m:sty m:val="p"/>
            </m:rPr>
            <w:rPr>
              <w:rStyle w:val="vlist-s"/>
              <w:rFonts w:ascii="Cambria Math" w:hAnsi="Cambria Math" w:cs="Arial"/>
            </w:rPr>
            <m:t>​</m:t>
          </m:r>
          <m:r>
            <m:rPr>
              <m:sty m:val="p"/>
            </m:rPr>
            <w:rPr>
              <w:rStyle w:val="mrel"/>
              <w:rFonts w:ascii="Cambria Math" w:hAnsi="Cambria Math"/>
            </w:rPr>
            <m:t>=</m:t>
          </m:r>
          <m:r>
            <w:rPr>
              <w:rStyle w:val="mop"/>
              <w:rFonts w:ascii="Cambria Math" w:hAnsi="Cambria Math"/>
            </w:rPr>
            <m:t>ln</m:t>
          </m:r>
          <m:d>
            <m:dPr>
              <m:ctrlPr>
                <w:rPr>
                  <w:rStyle w:val="delimsizing"/>
                  <w:rFonts w:ascii="Cambria Math" w:hAnsi="Cambria Math"/>
                </w:rPr>
              </m:ctrlPr>
            </m:dPr>
            <m:e>
              <m:f>
                <m:fPr>
                  <m:ctrlPr>
                    <w:rPr>
                      <w:rStyle w:val="vlist-s"/>
                      <w:rFonts w:ascii="Cambria Math" w:hAnsi="Cambria Math" w:cs="Arial"/>
                    </w:rPr>
                  </m:ctrlPr>
                </m:fPr>
                <m:num>
                  <m:r>
                    <m:rPr>
                      <m:sty m:val="p"/>
                    </m:rPr>
                    <w:rPr>
                      <w:rStyle w:val="vlist-s"/>
                      <w:rFonts w:ascii="Cambria Math" w:hAnsi="Cambria Math" w:cs="Arial"/>
                    </w:rPr>
                    <m:t>​</m:t>
                  </m:r>
                  <m:sSub>
                    <m:sSubPr>
                      <m:ctrlPr>
                        <w:rPr>
                          <w:rStyle w:val="vlist-s"/>
                          <w:rFonts w:ascii="Cambria Math" w:hAnsi="Cambria Math" w:cs="Arial"/>
                        </w:rPr>
                      </m:ctrlPr>
                    </m:sSubPr>
                    <m:e>
                      <m:r>
                        <m:rPr>
                          <m:sty m:val="p"/>
                        </m:rPr>
                        <w:rPr>
                          <w:rStyle w:val="vlist-s"/>
                          <w:rFonts w:ascii="Cambria Math" w:hAnsi="Cambria Math" w:cs="Arial"/>
                        </w:rPr>
                        <m:t>P</m:t>
                      </m:r>
                    </m:e>
                    <m:sub>
                      <m:r>
                        <m:rPr>
                          <m:sty m:val="p"/>
                        </m:rPr>
                        <w:rPr>
                          <w:rStyle w:val="vlist-s"/>
                          <w:rFonts w:ascii="Cambria Math" w:hAnsi="Cambria Math" w:cs="Arial"/>
                        </w:rPr>
                        <m:t>i,t</m:t>
                      </m:r>
                    </m:sub>
                  </m:sSub>
                  <m:ctrlPr>
                    <w:rPr>
                      <w:rStyle w:val="delimsizing"/>
                      <w:rFonts w:ascii="Cambria Math" w:hAnsi="Cambria Math"/>
                    </w:rPr>
                  </m:ctrlPr>
                </m:num>
                <m:den>
                  <m:sSub>
                    <m:sSubPr>
                      <m:ctrlPr>
                        <w:rPr>
                          <w:rStyle w:val="vlist-s"/>
                          <w:rFonts w:ascii="Cambria Math" w:hAnsi="Cambria Math" w:cs="Arial"/>
                        </w:rPr>
                      </m:ctrlPr>
                    </m:sSubPr>
                    <m:e>
                      <m:r>
                        <m:rPr>
                          <m:sty m:val="p"/>
                        </m:rPr>
                        <w:rPr>
                          <w:rStyle w:val="vlist-s"/>
                          <w:rFonts w:ascii="Cambria Math" w:hAnsi="Cambria Math" w:cs="Arial"/>
                        </w:rPr>
                        <m:t>P</m:t>
                      </m:r>
                    </m:e>
                    <m:sub>
                      <m:r>
                        <m:rPr>
                          <m:sty m:val="p"/>
                        </m:rPr>
                        <w:rPr>
                          <w:rStyle w:val="vlist-s"/>
                          <w:rFonts w:ascii="Cambria Math" w:hAnsi="Cambria Math" w:cs="Arial"/>
                        </w:rPr>
                        <m:t>i,t-1</m:t>
                      </m:r>
                    </m:sub>
                  </m:sSub>
                </m:den>
              </m:f>
              <m:r>
                <m:rPr>
                  <m:sty m:val="p"/>
                </m:rPr>
                <w:rPr>
                  <w:rStyle w:val="vlist-s"/>
                  <w:rFonts w:ascii="Cambria Math" w:hAnsi="Cambria Math" w:cs="Arial"/>
                </w:rPr>
                <m:t>​</m:t>
              </m:r>
            </m:e>
          </m:d>
          <m:r>
            <m:rPr>
              <m:sty m:val="p"/>
            </m:rPr>
            <w:rPr>
              <w:rStyle w:val="delimsizing"/>
              <w:rFonts w:ascii="Cambria Math" w:hAnsi="Cambria Math"/>
            </w:rPr>
            <m:t xml:space="preserve"> </m:t>
          </m:r>
        </m:oMath>
      </m:oMathPara>
    </w:p>
    <w:p w14:paraId="111790B6" w14:textId="77777777" w:rsidR="00E12D47" w:rsidRDefault="00E12D47" w:rsidP="00E12D47">
      <w:r>
        <w:t>The same approach was used to compute daily log returns for the S&amp;P 500 Index.</w:t>
      </w:r>
    </w:p>
    <w:p w14:paraId="1E7B2ABA" w14:textId="004E301B" w:rsidR="00E12D47" w:rsidRDefault="00E12D47" w:rsidP="00E12D47">
      <w:r>
        <w:lastRenderedPageBreak/>
        <w:t>For the risk-free rate, we used the daily 13-week Treasury Bill yield series from Yahoo Finance. This yield is reported as an annualized rate, so each value was converted into a daily risk-free rate using the standard annual-to-daily formula:</w:t>
      </w:r>
    </w:p>
    <w:p w14:paraId="347A4843" w14:textId="4C500334" w:rsidR="00E12D47" w:rsidRDefault="00E12D47" w:rsidP="00E12D47">
      <m:oMathPara>
        <m:oMath>
          <m:sSub>
            <m:sSubPr>
              <m:ctrlPr>
                <w:rPr>
                  <w:rStyle w:val="mord"/>
                  <w:rFonts w:ascii="Cambria Math" w:hAnsi="Cambria Math"/>
                </w:rPr>
              </m:ctrlPr>
            </m:sSubPr>
            <m:e>
              <m:r>
                <m:rPr>
                  <m:sty m:val="p"/>
                </m:rPr>
                <w:rPr>
                  <w:rStyle w:val="mord"/>
                  <w:rFonts w:ascii="Cambria Math" w:hAnsi="Cambria Math"/>
                </w:rPr>
                <m:t>r</m:t>
              </m:r>
            </m:e>
            <m:sub>
              <m:r>
                <m:rPr>
                  <m:sty m:val="p"/>
                </m:rPr>
                <w:rPr>
                  <w:rStyle w:val="mord"/>
                  <w:rFonts w:ascii="Cambria Math" w:hAnsi="Cambria Math"/>
                </w:rPr>
                <m:t>daily</m:t>
              </m:r>
            </m:sub>
          </m:sSub>
          <m:r>
            <m:rPr>
              <m:sty m:val="p"/>
            </m:rPr>
            <w:rPr>
              <w:rStyle w:val="vlist-s"/>
              <w:rFonts w:ascii="Cambria Math" w:hAnsi="Cambria Math" w:cs="Arial"/>
            </w:rPr>
            <m:t>​</m:t>
          </m:r>
          <m:r>
            <m:rPr>
              <m:sty m:val="p"/>
            </m:rPr>
            <w:rPr>
              <w:rStyle w:val="mrel"/>
              <w:rFonts w:ascii="Cambria Math" w:hAnsi="Cambria Math"/>
            </w:rPr>
            <m:t>=</m:t>
          </m:r>
          <m:sSup>
            <m:sSupPr>
              <m:ctrlPr>
                <w:rPr>
                  <w:rStyle w:val="delimsizing"/>
                  <w:rFonts w:ascii="Cambria Math" w:hAnsi="Cambria Math"/>
                  <w:i/>
                </w:rPr>
              </m:ctrlPr>
            </m:sSupPr>
            <m:e>
              <m:d>
                <m:dPr>
                  <m:ctrlPr>
                    <w:rPr>
                      <w:rStyle w:val="delimsizing"/>
                      <w:rFonts w:ascii="Cambria Math" w:hAnsi="Cambria Math"/>
                    </w:rPr>
                  </m:ctrlPr>
                </m:dPr>
                <m:e>
                  <m:r>
                    <m:rPr>
                      <m:sty m:val="p"/>
                    </m:rPr>
                    <w:rPr>
                      <w:rStyle w:val="vlist-s"/>
                      <w:rFonts w:ascii="Cambria Math" w:hAnsi="Cambria Math" w:cs="Arial"/>
                    </w:rPr>
                    <m:t>1+</m:t>
                  </m:r>
                  <m:sSub>
                    <m:sSubPr>
                      <m:ctrlPr>
                        <w:rPr>
                          <w:rStyle w:val="vlist-s"/>
                          <w:rFonts w:ascii="Cambria Math" w:hAnsi="Cambria Math" w:cs="Arial"/>
                        </w:rPr>
                      </m:ctrlPr>
                    </m:sSubPr>
                    <m:e>
                      <m:r>
                        <m:rPr>
                          <m:sty m:val="p"/>
                        </m:rPr>
                        <w:rPr>
                          <w:rStyle w:val="vlist-s"/>
                          <w:rFonts w:ascii="Cambria Math" w:hAnsi="Cambria Math" w:cs="Arial"/>
                        </w:rPr>
                        <m:t>r</m:t>
                      </m:r>
                    </m:e>
                    <m:sub>
                      <m:r>
                        <m:rPr>
                          <m:sty m:val="p"/>
                        </m:rPr>
                        <w:rPr>
                          <w:rStyle w:val="vlist-s"/>
                          <w:rFonts w:ascii="Cambria Math" w:hAnsi="Cambria Math" w:cs="Arial"/>
                        </w:rPr>
                        <m:t>annual</m:t>
                      </m:r>
                    </m:sub>
                  </m:sSub>
                  <m:r>
                    <m:rPr>
                      <m:sty m:val="p"/>
                    </m:rPr>
                    <w:rPr>
                      <w:rStyle w:val="vlist-s"/>
                      <w:rFonts w:ascii="Cambria Math" w:hAnsi="Cambria Math" w:cs="Arial"/>
                    </w:rPr>
                    <m:t>​</m:t>
                  </m:r>
                </m:e>
              </m:d>
            </m:e>
            <m:sup>
              <m:r>
                <w:rPr>
                  <w:rStyle w:val="delimsizing"/>
                  <w:rFonts w:ascii="Cambria Math" w:hAnsi="Cambria Math"/>
                </w:rPr>
                <m:t>1/252</m:t>
              </m:r>
            </m:sup>
          </m:sSup>
          <m:r>
            <w:rPr>
              <w:rStyle w:val="delimsizing"/>
              <w:rFonts w:ascii="Cambria Math" w:hAnsi="Cambria Math"/>
            </w:rPr>
            <m:t>-1</m:t>
          </m:r>
        </m:oMath>
      </m:oMathPara>
    </w:p>
    <w:p w14:paraId="68CF0FC0" w14:textId="12A1F9BB" w:rsidR="007F0BB0" w:rsidRPr="007F0BB0" w:rsidRDefault="00E12D47" w:rsidP="00E12D47">
      <w:r>
        <w:t>Daily excess returns for each stock and for the S&amp;P 500 were then obtained by subtracting the daily risk-free rate from their respective daily log returns. These excess returns are used in the volatility comparisons and beta estimation later in the project.</w:t>
      </w:r>
    </w:p>
    <w:p w14:paraId="3FD2C59B" w14:textId="73CA6592" w:rsidR="002A2E2B" w:rsidRDefault="00480049" w:rsidP="00D87763">
      <w:pPr>
        <w:pStyle w:val="Heading1"/>
      </w:pPr>
      <w:bookmarkStart w:id="2" w:name="_Toc212322823"/>
      <w:r>
        <w:t>3</w:t>
      </w:r>
      <w:r w:rsidR="00D10898">
        <w:t xml:space="preserve">. </w:t>
      </w:r>
      <w:r w:rsidR="007E2C11">
        <w:t>Portfolio Construction</w:t>
      </w:r>
      <w:bookmarkEnd w:id="2"/>
    </w:p>
    <w:p w14:paraId="42B80624" w14:textId="56687D45" w:rsidR="00CB6442" w:rsidRPr="00024A96" w:rsidRDefault="00CB6442" w:rsidP="00E04A4B">
      <w:r w:rsidRPr="00024A96">
        <w:t>Adjusted</w:t>
      </w:r>
    </w:p>
    <w:p w14:paraId="656445CA" w14:textId="019AB003" w:rsidR="00431C9B" w:rsidRDefault="00431C9B" w:rsidP="00692118">
      <w:pPr>
        <w:jc w:val="center"/>
      </w:pPr>
    </w:p>
    <w:p w14:paraId="1993BBB3" w14:textId="77777777" w:rsidR="007E2C11" w:rsidRDefault="007E2C11" w:rsidP="00692118">
      <w:pPr>
        <w:jc w:val="center"/>
      </w:pPr>
    </w:p>
    <w:p w14:paraId="5FC38705" w14:textId="77777777" w:rsidR="007E2C11" w:rsidRDefault="007E2C11" w:rsidP="00692118">
      <w:pPr>
        <w:jc w:val="center"/>
      </w:pPr>
    </w:p>
    <w:p w14:paraId="67B4B367" w14:textId="77777777" w:rsidR="007E2C11" w:rsidRDefault="007E2C11" w:rsidP="00692118">
      <w:pPr>
        <w:jc w:val="center"/>
      </w:pPr>
    </w:p>
    <w:p w14:paraId="33564DC0" w14:textId="77777777" w:rsidR="007E2C11" w:rsidRDefault="007E2C11" w:rsidP="00692118">
      <w:pPr>
        <w:jc w:val="center"/>
      </w:pPr>
    </w:p>
    <w:p w14:paraId="6D28DF18" w14:textId="77777777" w:rsidR="007E2C11" w:rsidRDefault="007E2C11" w:rsidP="00692118">
      <w:pPr>
        <w:jc w:val="center"/>
      </w:pPr>
    </w:p>
    <w:p w14:paraId="32DBB3E8" w14:textId="77777777" w:rsidR="007E2C11" w:rsidRDefault="007E2C11" w:rsidP="00692118">
      <w:pPr>
        <w:jc w:val="center"/>
      </w:pPr>
    </w:p>
    <w:p w14:paraId="009B15A5" w14:textId="77777777" w:rsidR="007E2C11" w:rsidRDefault="007E2C11" w:rsidP="00692118">
      <w:pPr>
        <w:jc w:val="center"/>
      </w:pPr>
    </w:p>
    <w:p w14:paraId="00E6B5D3" w14:textId="77777777" w:rsidR="007E2C11" w:rsidRDefault="007E2C11" w:rsidP="00692118">
      <w:pPr>
        <w:jc w:val="center"/>
      </w:pPr>
    </w:p>
    <w:p w14:paraId="5B76BE38" w14:textId="57ED6593" w:rsidR="00C376AD" w:rsidRDefault="00C376AD" w:rsidP="00C376AD">
      <w:pPr>
        <w:pStyle w:val="Heading2"/>
      </w:pPr>
      <w:bookmarkStart w:id="3" w:name="_Toc212322828"/>
      <w:r w:rsidRPr="00AF439B">
        <w:t>(</w:t>
      </w:r>
      <w:r w:rsidR="00F24DDF">
        <w:t>e</w:t>
      </w:r>
      <w:r w:rsidRPr="00AF439B">
        <w:t xml:space="preserve">) </w:t>
      </w:r>
      <w:r w:rsidR="00072B23" w:rsidRPr="00072B23">
        <w:t>Optimal</w:t>
      </w:r>
      <w:r w:rsidRPr="00AF439B">
        <w:t xml:space="preserve"> Portfolio </w:t>
      </w:r>
      <w:r w:rsidR="00072B23" w:rsidRPr="00072B23">
        <w:t xml:space="preserve">Analysis </w:t>
      </w:r>
      <w:r w:rsidRPr="00AF439B">
        <w:t>Construction &amp; Performance Analysis</w:t>
      </w:r>
      <w:bookmarkEnd w:id="3"/>
    </w:p>
    <w:p w14:paraId="615C1D61" w14:textId="28B526B6" w:rsidR="00C376AD" w:rsidRPr="00EF4DBF" w:rsidRDefault="00E72C41" w:rsidP="00C376AD">
      <w:pPr>
        <w:rPr>
          <w:szCs w:val="22"/>
        </w:rPr>
      </w:pPr>
      <w:r w:rsidRPr="00EF4DBF">
        <w:rPr>
          <w:szCs w:val="22"/>
        </w:rPr>
        <w:t>In this step, the ten-stock portfolio was optimized to maximize the Sharpe ratio, yielding the tangency portfolio on the efficient frontier.</w:t>
      </w:r>
      <w:r w:rsidR="00876EF8" w:rsidRPr="00EF4DBF">
        <w:rPr>
          <w:szCs w:val="22"/>
        </w:rPr>
        <w:t xml:space="preserve"> </w:t>
      </w:r>
      <w:r w:rsidRPr="00EF4DBF">
        <w:rPr>
          <w:szCs w:val="22"/>
        </w:rPr>
        <w:t>The optimization problem was formulated as</w:t>
      </w:r>
      <w:r w:rsidR="00876EF8" w:rsidRPr="00EF4DBF">
        <w:rPr>
          <w:szCs w:val="22"/>
        </w:rPr>
        <w:t>:</w:t>
      </w:r>
    </w:p>
    <w:p w14:paraId="7E088753" w14:textId="667CFE49" w:rsidR="007469A0" w:rsidRDefault="00000000" w:rsidP="007469A0">
      <w:pPr>
        <w:rPr>
          <w:rFonts w:eastAsiaTheme="minorEastAsia"/>
          <w:szCs w:val="22"/>
        </w:rPr>
      </w:pPr>
      <m:oMathPara>
        <m:oMath>
          <m:func>
            <m:funcPr>
              <m:ctrlPr>
                <w:rPr>
                  <w:rFonts w:ascii="Cambria Math" w:eastAsiaTheme="minorEastAsia" w:hAnsi="Cambria Math"/>
                  <w:szCs w:val="22"/>
                </w:rPr>
              </m:ctrlPr>
            </m:funcPr>
            <m:fName>
              <m:limLow>
                <m:limLowPr>
                  <m:ctrlPr>
                    <w:rPr>
                      <w:rFonts w:ascii="Cambria Math" w:eastAsiaTheme="minorEastAsia" w:hAnsi="Cambria Math"/>
                      <w:szCs w:val="22"/>
                    </w:rPr>
                  </m:ctrlPr>
                </m:limLowPr>
                <m:e>
                  <m:r>
                    <m:rPr>
                      <m:sty m:val="p"/>
                    </m:rPr>
                    <w:rPr>
                      <w:rFonts w:ascii="Cambria Math" w:eastAsiaTheme="minorEastAsia" w:hAnsi="Cambria Math"/>
                      <w:szCs w:val="22"/>
                    </w:rPr>
                    <m:t>max</m:t>
                  </m:r>
                </m:e>
                <m:lim>
                  <m:r>
                    <m:rPr>
                      <m:sty m:val="p"/>
                    </m:rPr>
                    <w:rPr>
                      <w:rFonts w:ascii="Cambria Math" w:eastAsiaTheme="minorEastAsia" w:hAnsi="Cambria Math"/>
                      <w:szCs w:val="22"/>
                    </w:rPr>
                    <m:t>w</m:t>
                  </m:r>
                </m:lim>
              </m:limLow>
            </m:fName>
            <m:e>
              <m:r>
                <w:rPr>
                  <w:rFonts w:ascii="Cambria Math" w:eastAsiaTheme="minorEastAsia" w:hAnsi="Cambria Math"/>
                  <w:szCs w:val="22"/>
                </w:rPr>
                <m:t xml:space="preserve"> </m:t>
              </m:r>
              <m:f>
                <m:fPr>
                  <m:ctrlPr>
                    <w:rPr>
                      <w:rFonts w:ascii="Cambria Math" w:hAnsi="Cambria Math"/>
                      <w:szCs w:val="22"/>
                    </w:rPr>
                  </m:ctrlPr>
                </m:fPr>
                <m:num>
                  <m:sSup>
                    <m:sSupPr>
                      <m:ctrlPr>
                        <w:rPr>
                          <w:rFonts w:ascii="Cambria Math" w:hAnsi="Cambria Math"/>
                          <w:szCs w:val="22"/>
                        </w:rPr>
                      </m:ctrlPr>
                    </m:sSupPr>
                    <m:e>
                      <m:r>
                        <m:rPr>
                          <m:sty m:val="p"/>
                        </m:rPr>
                        <w:rPr>
                          <w:rFonts w:ascii="Cambria Math" w:hAnsi="Cambria Math"/>
                          <w:szCs w:val="22"/>
                        </w:rPr>
                        <m:t>w</m:t>
                      </m:r>
                    </m:e>
                    <m:sup>
                      <m:r>
                        <m:rPr>
                          <m:sty m:val="p"/>
                        </m:rPr>
                        <w:rPr>
                          <w:rFonts w:ascii="Cambria Math" w:hAnsi="Cambria Math"/>
                          <w:szCs w:val="22"/>
                        </w:rPr>
                        <m:t>T</m:t>
                      </m:r>
                    </m:sup>
                  </m:sSup>
                  <m:r>
                    <m:rPr>
                      <m:sty m:val="p"/>
                    </m:rPr>
                    <w:rPr>
                      <w:rFonts w:ascii="Cambria Math" w:hAnsi="Cambria Math"/>
                      <w:szCs w:val="22"/>
                    </w:rPr>
                    <m:t>μ-</m:t>
                  </m:r>
                  <m:sSub>
                    <m:sSubPr>
                      <m:ctrlPr>
                        <w:rPr>
                          <w:rFonts w:ascii="Cambria Math" w:hAnsi="Cambria Math"/>
                          <w:szCs w:val="22"/>
                        </w:rPr>
                      </m:ctrlPr>
                    </m:sSubPr>
                    <m:e>
                      <m:r>
                        <m:rPr>
                          <m:sty m:val="p"/>
                        </m:rPr>
                        <w:rPr>
                          <w:rFonts w:ascii="Cambria Math" w:hAnsi="Cambria Math"/>
                          <w:szCs w:val="22"/>
                        </w:rPr>
                        <m:t>r</m:t>
                      </m:r>
                    </m:e>
                    <m:sub>
                      <m:r>
                        <m:rPr>
                          <m:sty m:val="p"/>
                        </m:rPr>
                        <w:rPr>
                          <w:rFonts w:ascii="Cambria Math" w:hAnsi="Cambria Math"/>
                          <w:szCs w:val="22"/>
                        </w:rPr>
                        <m:t>f</m:t>
                      </m:r>
                    </m:sub>
                  </m:sSub>
                </m:num>
                <m:den>
                  <m:rad>
                    <m:radPr>
                      <m:degHide m:val="1"/>
                      <m:ctrlPr>
                        <w:rPr>
                          <w:rFonts w:ascii="Cambria Math" w:hAnsi="Cambria Math"/>
                          <w:szCs w:val="22"/>
                        </w:rPr>
                      </m:ctrlPr>
                    </m:radPr>
                    <m:deg/>
                    <m:e>
                      <m:sSub>
                        <m:sSubPr>
                          <m:ctrlPr>
                            <w:rPr>
                              <w:rFonts w:ascii="Cambria Math" w:hAnsi="Cambria Math"/>
                              <w:szCs w:val="22"/>
                            </w:rPr>
                          </m:ctrlPr>
                        </m:sSubPr>
                        <m:e>
                          <m:r>
                            <m:rPr>
                              <m:sty m:val="p"/>
                            </m:rPr>
                            <w:rPr>
                              <w:rFonts w:ascii="Cambria Math" w:hAnsi="Cambria Math"/>
                              <w:szCs w:val="22"/>
                            </w:rPr>
                            <m:t>σ</m:t>
                          </m:r>
                        </m:e>
                        <m:sub>
                          <m:r>
                            <m:rPr>
                              <m:sty m:val="p"/>
                            </m:rPr>
                            <w:rPr>
                              <w:rFonts w:ascii="Cambria Math" w:hAnsi="Cambria Math"/>
                              <w:szCs w:val="22"/>
                            </w:rPr>
                            <m:t>p</m:t>
                          </m:r>
                        </m:sub>
                      </m:sSub>
                    </m:e>
                  </m:rad>
                </m:den>
              </m:f>
            </m:e>
          </m:func>
          <m:r>
            <m:rPr>
              <m:sty m:val="p"/>
            </m:rPr>
            <w:rPr>
              <w:rFonts w:ascii="Cambria Math" w:eastAsiaTheme="minorEastAsia" w:hAnsi="Cambria Math"/>
              <w:szCs w:val="22"/>
            </w:rPr>
            <m:t xml:space="preserve"> s.t. </m:t>
          </m:r>
          <m:nary>
            <m:naryPr>
              <m:chr m:val="∑"/>
              <m:supHide m:val="1"/>
              <m:ctrlPr>
                <w:rPr>
                  <w:rFonts w:ascii="Cambria Math" w:eastAsiaTheme="minorEastAsia" w:hAnsi="Cambria Math"/>
                  <w:szCs w:val="22"/>
                </w:rPr>
              </m:ctrlPr>
            </m:naryPr>
            <m:sub>
              <m:r>
                <m:rPr>
                  <m:sty m:val="p"/>
                </m:rPr>
                <w:rPr>
                  <w:rFonts w:ascii="Cambria Math" w:eastAsiaTheme="minorEastAsia" w:hAnsi="Cambria Math"/>
                  <w:szCs w:val="22"/>
                </w:rPr>
                <m:t>i</m:t>
              </m:r>
            </m:sub>
            <m:sup/>
            <m:e>
              <m:sSub>
                <m:sSubPr>
                  <m:ctrlPr>
                    <w:rPr>
                      <w:rFonts w:ascii="Cambria Math" w:eastAsiaTheme="minorEastAsia" w:hAnsi="Cambria Math"/>
                      <w:szCs w:val="22"/>
                    </w:rPr>
                  </m:ctrlPr>
                </m:sSubPr>
                <m:e>
                  <m:r>
                    <m:rPr>
                      <m:sty m:val="p"/>
                    </m:rPr>
                    <w:rPr>
                      <w:rFonts w:ascii="Cambria Math" w:eastAsiaTheme="minorEastAsia" w:hAnsi="Cambria Math"/>
                      <w:szCs w:val="22"/>
                    </w:rPr>
                    <m:t>w</m:t>
                  </m:r>
                </m:e>
                <m:sub>
                  <m:r>
                    <m:rPr>
                      <m:sty m:val="p"/>
                    </m:rPr>
                    <w:rPr>
                      <w:rFonts w:ascii="Cambria Math" w:eastAsiaTheme="minorEastAsia" w:hAnsi="Cambria Math"/>
                      <w:szCs w:val="22"/>
                    </w:rPr>
                    <m:t>i</m:t>
                  </m:r>
                </m:sub>
              </m:sSub>
              <m:r>
                <m:rPr>
                  <m:sty m:val="p"/>
                </m:rPr>
                <w:rPr>
                  <w:rFonts w:ascii="Cambria Math" w:eastAsiaTheme="minorEastAsia" w:hAnsi="Cambria Math"/>
                  <w:szCs w:val="22"/>
                </w:rPr>
                <m:t xml:space="preserve">=1, </m:t>
              </m:r>
              <m:sSub>
                <m:sSubPr>
                  <m:ctrlPr>
                    <w:rPr>
                      <w:rFonts w:ascii="Cambria Math" w:eastAsiaTheme="minorEastAsia" w:hAnsi="Cambria Math"/>
                      <w:szCs w:val="22"/>
                    </w:rPr>
                  </m:ctrlPr>
                </m:sSubPr>
                <m:e>
                  <m:r>
                    <m:rPr>
                      <m:sty m:val="p"/>
                    </m:rPr>
                    <w:rPr>
                      <w:rFonts w:ascii="Cambria Math" w:eastAsiaTheme="minorEastAsia" w:hAnsi="Cambria Math"/>
                      <w:szCs w:val="22"/>
                    </w:rPr>
                    <m:t>w</m:t>
                  </m:r>
                </m:e>
                <m:sub>
                  <m:r>
                    <m:rPr>
                      <m:sty m:val="p"/>
                    </m:rPr>
                    <w:rPr>
                      <w:rFonts w:ascii="Cambria Math" w:eastAsiaTheme="minorEastAsia" w:hAnsi="Cambria Math"/>
                      <w:szCs w:val="22"/>
                    </w:rPr>
                    <m:t>i</m:t>
                  </m:r>
                </m:sub>
              </m:sSub>
              <m:r>
                <m:rPr>
                  <m:sty m:val="p"/>
                </m:rPr>
                <w:rPr>
                  <w:rFonts w:ascii="Cambria Math" w:eastAsiaTheme="minorEastAsia" w:hAnsi="Cambria Math"/>
                  <w:szCs w:val="22"/>
                </w:rPr>
                <m:t>≥0</m:t>
              </m:r>
            </m:e>
          </m:nary>
        </m:oMath>
      </m:oMathPara>
    </w:p>
    <w:p w14:paraId="673FDB67" w14:textId="2EFEEDF0" w:rsidR="002E0CDA" w:rsidRDefault="00000000" w:rsidP="002E0CDA">
      <w:pPr>
        <w:jc w:val="center"/>
        <w:rPr>
          <w:rFonts w:eastAsiaTheme="minorEastAsia"/>
          <w:szCs w:val="22"/>
        </w:rPr>
      </w:pPr>
      <m:oMathPara>
        <m:oMath>
          <m:sSub>
            <m:sSubPr>
              <m:ctrlPr>
                <w:rPr>
                  <w:rFonts w:ascii="Cambria Math" w:hAnsi="Cambria Math"/>
                  <w:szCs w:val="22"/>
                </w:rPr>
              </m:ctrlPr>
            </m:sSubPr>
            <m:e>
              <m:r>
                <m:rPr>
                  <m:sty m:val="p"/>
                </m:rPr>
                <w:rPr>
                  <w:rFonts w:ascii="Cambria Math" w:hAnsi="Cambria Math"/>
                  <w:szCs w:val="22"/>
                </w:rPr>
                <m:t>σ</m:t>
              </m:r>
            </m:e>
            <m:sub>
              <m:r>
                <m:rPr>
                  <m:sty m:val="p"/>
                </m:rPr>
                <w:rPr>
                  <w:rFonts w:ascii="Cambria Math" w:hAnsi="Cambria Math"/>
                  <w:szCs w:val="22"/>
                </w:rPr>
                <m:t>p</m:t>
              </m:r>
            </m:sub>
          </m:sSub>
          <m:r>
            <m:rPr>
              <m:sty m:val="p"/>
            </m:rPr>
            <w:rPr>
              <w:rFonts w:ascii="Cambria Math" w:hAnsi="Cambria Math"/>
              <w:szCs w:val="22"/>
            </w:rPr>
            <m:t>=</m:t>
          </m:r>
          <m:sSup>
            <m:sSupPr>
              <m:ctrlPr>
                <w:rPr>
                  <w:rFonts w:ascii="Cambria Math" w:hAnsi="Cambria Math"/>
                  <w:szCs w:val="22"/>
                </w:rPr>
              </m:ctrlPr>
            </m:sSupPr>
            <m:e>
              <m:r>
                <m:rPr>
                  <m:sty m:val="p"/>
                </m:rPr>
                <w:rPr>
                  <w:rFonts w:ascii="Cambria Math" w:hAnsi="Cambria Math"/>
                  <w:szCs w:val="22"/>
                </w:rPr>
                <m:t>w</m:t>
              </m:r>
            </m:e>
            <m:sup>
              <m:r>
                <m:rPr>
                  <m:sty m:val="p"/>
                </m:rPr>
                <w:rPr>
                  <w:rFonts w:ascii="Cambria Math" w:hAnsi="Cambria Math"/>
                  <w:szCs w:val="22"/>
                </w:rPr>
                <m:t>T</m:t>
              </m:r>
            </m:sup>
          </m:sSup>
          <m:r>
            <m:rPr>
              <m:sty m:val="p"/>
            </m:rPr>
            <w:rPr>
              <w:rFonts w:ascii="Cambria Math" w:hAnsi="Cambria Math"/>
              <w:szCs w:val="22"/>
            </w:rPr>
            <m:t>×Ω×w</m:t>
          </m:r>
        </m:oMath>
      </m:oMathPara>
    </w:p>
    <w:p w14:paraId="52BBE477" w14:textId="03702568" w:rsidR="00554405" w:rsidRPr="002E0CDA" w:rsidRDefault="00554405" w:rsidP="00554405">
      <w:pPr>
        <w:rPr>
          <w:rFonts w:eastAsiaTheme="minorEastAsia"/>
          <w:szCs w:val="22"/>
        </w:rPr>
      </w:pPr>
      <w:r w:rsidRPr="00EF4DBF">
        <w:rPr>
          <w:rFonts w:eastAsiaTheme="minorEastAsia"/>
          <w:szCs w:val="22"/>
        </w:rPr>
        <w:lastRenderedPageBreak/>
        <w:t xml:space="preserve">Where </w:t>
      </w:r>
      <m:oMath>
        <m:r>
          <m:rPr>
            <m:sty m:val="p"/>
          </m:rPr>
          <w:rPr>
            <w:rFonts w:ascii="Cambria Math" w:hAnsi="Cambria Math"/>
          </w:rPr>
          <m:t>w</m:t>
        </m:r>
      </m:oMath>
      <w:r w:rsidR="00CD0738">
        <w:rPr>
          <w:rFonts w:eastAsiaTheme="minorEastAsia"/>
        </w:rPr>
        <w:t xml:space="preserve"> </w:t>
      </w:r>
      <w:r w:rsidR="00CD0738" w:rsidRPr="00EF4DBF">
        <w:t xml:space="preserve">is the weight vector, </w:t>
      </w:r>
      <m:oMath>
        <m:r>
          <m:rPr>
            <m:sty m:val="p"/>
          </m:rPr>
          <w:rPr>
            <w:rFonts w:ascii="Cambria Math" w:hAnsi="Cambria Math"/>
          </w:rPr>
          <m:t>μ</m:t>
        </m:r>
      </m:oMath>
      <w:r w:rsidR="00CD0738" w:rsidRPr="00EF4DBF">
        <w:rPr>
          <w:rFonts w:eastAsiaTheme="minorEastAsia"/>
        </w:rPr>
        <w:t xml:space="preserve"> </w:t>
      </w:r>
      <w:r w:rsidR="00CD0738" w:rsidRPr="00EF4DBF">
        <w:t xml:space="preserve">the vector of expected weekly returns. The numerator represents the portfolio’s expected excess return over the risk-free rate, while the denominator represents total portfolio volatility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p</m:t>
            </m:r>
          </m:sub>
        </m:sSub>
      </m:oMath>
      <w:r w:rsidR="00CD0738" w:rsidRPr="00EF4DBF">
        <w:rPr>
          <w:rFonts w:eastAsiaTheme="minorEastAsia"/>
        </w:rPr>
        <w:t>.</w:t>
      </w:r>
      <w:r w:rsidR="00950353">
        <w:rPr>
          <w:rFonts w:eastAsiaTheme="minorEastAsia"/>
        </w:rPr>
        <w:t xml:space="preserve"> </w:t>
      </w:r>
      <m:oMath>
        <m:r>
          <m:rPr>
            <m:sty m:val="p"/>
          </m:rPr>
          <w:rPr>
            <w:rFonts w:ascii="Cambria Math" w:eastAsiaTheme="minorEastAsia" w:hAnsi="Cambria Math"/>
            <w:szCs w:val="22"/>
          </w:rPr>
          <m:t>Ω</m:t>
        </m:r>
      </m:oMath>
      <w:r w:rsidRPr="00EF4DBF">
        <w:rPr>
          <w:rFonts w:eastAsiaTheme="minorEastAsia"/>
          <w:szCs w:val="22"/>
        </w:rPr>
        <w:t xml:space="preserve"> </w:t>
      </w:r>
      <w:r w:rsidR="00EF4DBF" w:rsidRPr="00EF4DBF">
        <w:rPr>
          <w:rFonts w:eastAsiaTheme="minorEastAsia"/>
          <w:szCs w:val="22"/>
        </w:rPr>
        <w:t xml:space="preserve">is </w:t>
      </w:r>
      <w:r w:rsidRPr="00EF4DBF">
        <w:t>the covariance matrix of stock returns</w:t>
      </w:r>
      <w:r w:rsidR="00AA61AB">
        <w:t>.</w:t>
      </w:r>
    </w:p>
    <w:p w14:paraId="2E7359AD" w14:textId="67F34CB5" w:rsidR="001C356F" w:rsidRDefault="001C356F" w:rsidP="00554405">
      <w:pPr>
        <w:rPr>
          <w:rFonts w:eastAsiaTheme="minorEastAsia"/>
          <w:szCs w:val="22"/>
        </w:rPr>
      </w:pPr>
      <w:r>
        <w:rPr>
          <w:rFonts w:eastAsiaTheme="minorEastAsia"/>
          <w:szCs w:val="22"/>
        </w:rPr>
        <w:t>T</w:t>
      </w:r>
      <w:r w:rsidRPr="001C356F">
        <w:rPr>
          <w:rFonts w:eastAsiaTheme="minorEastAsia"/>
          <w:szCs w:val="22"/>
        </w:rPr>
        <w:t xml:space="preserve">he optimal long-only weight vector was </w:t>
      </w:r>
      <w:r w:rsidR="005D05F8">
        <w:rPr>
          <w:rFonts w:eastAsiaTheme="minorEastAsia"/>
          <w:szCs w:val="22"/>
        </w:rPr>
        <w:t xml:space="preserve">computed using Python libraries. The </w:t>
      </w:r>
      <w:r w:rsidR="00BE20EB">
        <w:rPr>
          <w:rFonts w:eastAsiaTheme="minorEastAsia"/>
          <w:szCs w:val="22"/>
        </w:rPr>
        <w:t xml:space="preserve">optimal portfolio turned out to be </w:t>
      </w:r>
      <w:r w:rsidRPr="001C356F">
        <w:rPr>
          <w:rFonts w:eastAsiaTheme="minorEastAsia"/>
          <w:szCs w:val="22"/>
        </w:rPr>
        <w:t>dominated by GS (65.6%), WFC (23.3%), and SPG (10.6%)</w:t>
      </w:r>
      <w:r w:rsidR="00BE20EB">
        <w:rPr>
          <w:rFonts w:eastAsiaTheme="minorEastAsia"/>
          <w:szCs w:val="22"/>
        </w:rPr>
        <w:t xml:space="preserve">, </w:t>
      </w:r>
      <w:r w:rsidRPr="001C356F">
        <w:rPr>
          <w:rFonts w:eastAsiaTheme="minorEastAsia"/>
          <w:szCs w:val="22"/>
        </w:rPr>
        <w:t>producing an expected weekly return of 0.00484, volatility 0.0383, and Sharpe 0.111.</w:t>
      </w:r>
    </w:p>
    <w:tbl>
      <w:tblP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15" w:type="dxa"/>
          <w:left w:w="144" w:type="dxa"/>
          <w:bottom w:w="15" w:type="dxa"/>
          <w:right w:w="144" w:type="dxa"/>
        </w:tblCellMar>
        <w:tblLook w:val="04A0" w:firstRow="1" w:lastRow="0" w:firstColumn="1" w:lastColumn="0" w:noHBand="0" w:noVBand="1"/>
      </w:tblPr>
      <w:tblGrid>
        <w:gridCol w:w="2035"/>
        <w:gridCol w:w="2624"/>
        <w:gridCol w:w="1802"/>
        <w:gridCol w:w="1590"/>
        <w:gridCol w:w="1299"/>
      </w:tblGrid>
      <w:tr w:rsidR="006B493C" w:rsidRPr="009E24BC" w14:paraId="470EEA99" w14:textId="77777777" w:rsidTr="00A342E1">
        <w:trPr>
          <w:tblHeader/>
          <w:jc w:val="center"/>
        </w:trPr>
        <w:tc>
          <w:tcPr>
            <w:tcW w:w="0" w:type="auto"/>
            <w:vAlign w:val="center"/>
            <w:hideMark/>
          </w:tcPr>
          <w:p w14:paraId="60E7A0CC" w14:textId="77777777" w:rsidR="006B493C" w:rsidRPr="009E24BC" w:rsidRDefault="006B493C" w:rsidP="00A342E1">
            <w:pPr>
              <w:spacing w:after="0" w:line="240" w:lineRule="auto"/>
              <w:rPr>
                <w:rFonts w:eastAsiaTheme="minorEastAsia"/>
                <w:b/>
                <w:bCs/>
                <w:sz w:val="20"/>
                <w:szCs w:val="20"/>
              </w:rPr>
            </w:pPr>
            <w:r w:rsidRPr="009E24BC">
              <w:rPr>
                <w:rFonts w:eastAsiaTheme="minorEastAsia"/>
                <w:b/>
                <w:bCs/>
                <w:sz w:val="20"/>
                <w:szCs w:val="20"/>
              </w:rPr>
              <w:t>Portfolio</w:t>
            </w:r>
          </w:p>
        </w:tc>
        <w:tc>
          <w:tcPr>
            <w:tcW w:w="0" w:type="auto"/>
            <w:vAlign w:val="center"/>
            <w:hideMark/>
          </w:tcPr>
          <w:p w14:paraId="3110AD08" w14:textId="77777777" w:rsidR="006B493C" w:rsidRPr="009E24BC" w:rsidRDefault="006B493C" w:rsidP="00A342E1">
            <w:pPr>
              <w:spacing w:after="0" w:line="240" w:lineRule="auto"/>
              <w:rPr>
                <w:rFonts w:eastAsiaTheme="minorEastAsia"/>
                <w:b/>
                <w:bCs/>
                <w:sz w:val="20"/>
                <w:szCs w:val="20"/>
              </w:rPr>
            </w:pPr>
            <w:r w:rsidRPr="009E24BC">
              <w:rPr>
                <w:rFonts w:eastAsiaTheme="minorEastAsia"/>
                <w:b/>
                <w:bCs/>
                <w:sz w:val="20"/>
                <w:szCs w:val="20"/>
              </w:rPr>
              <w:t>Top Holdings / Weights</w:t>
            </w:r>
          </w:p>
        </w:tc>
        <w:tc>
          <w:tcPr>
            <w:tcW w:w="0" w:type="auto"/>
            <w:vAlign w:val="center"/>
            <w:hideMark/>
          </w:tcPr>
          <w:p w14:paraId="67CAD1E3" w14:textId="77777777" w:rsidR="006B493C" w:rsidRPr="009E24BC" w:rsidRDefault="006B493C" w:rsidP="00A342E1">
            <w:pPr>
              <w:spacing w:after="0" w:line="240" w:lineRule="auto"/>
              <w:rPr>
                <w:rFonts w:eastAsiaTheme="minorEastAsia"/>
                <w:b/>
                <w:bCs/>
                <w:sz w:val="20"/>
                <w:szCs w:val="20"/>
              </w:rPr>
            </w:pPr>
            <w:r w:rsidRPr="009E24BC">
              <w:rPr>
                <w:rFonts w:eastAsiaTheme="minorEastAsia"/>
                <w:b/>
                <w:bCs/>
                <w:sz w:val="20"/>
                <w:szCs w:val="20"/>
              </w:rPr>
              <w:t>Mean Weekly Return</w:t>
            </w:r>
          </w:p>
        </w:tc>
        <w:tc>
          <w:tcPr>
            <w:tcW w:w="0" w:type="auto"/>
            <w:vAlign w:val="center"/>
            <w:hideMark/>
          </w:tcPr>
          <w:p w14:paraId="6AE2E454" w14:textId="77777777" w:rsidR="006B493C" w:rsidRPr="009E24BC" w:rsidRDefault="006B493C" w:rsidP="00A342E1">
            <w:pPr>
              <w:spacing w:after="0" w:line="240" w:lineRule="auto"/>
              <w:rPr>
                <w:rFonts w:eastAsiaTheme="minorEastAsia"/>
                <w:b/>
                <w:bCs/>
                <w:sz w:val="20"/>
                <w:szCs w:val="20"/>
              </w:rPr>
            </w:pPr>
            <w:r w:rsidRPr="009E24BC">
              <w:rPr>
                <w:rFonts w:eastAsiaTheme="minorEastAsia"/>
                <w:b/>
                <w:bCs/>
                <w:sz w:val="20"/>
                <w:szCs w:val="20"/>
              </w:rPr>
              <w:t>Weekly Volatility</w:t>
            </w:r>
          </w:p>
        </w:tc>
        <w:tc>
          <w:tcPr>
            <w:tcW w:w="0" w:type="auto"/>
            <w:vAlign w:val="center"/>
            <w:hideMark/>
          </w:tcPr>
          <w:p w14:paraId="1D5E55D1" w14:textId="77777777" w:rsidR="006B493C" w:rsidRPr="009E24BC" w:rsidRDefault="006B493C" w:rsidP="00A342E1">
            <w:pPr>
              <w:spacing w:after="0" w:line="240" w:lineRule="auto"/>
              <w:rPr>
                <w:rFonts w:eastAsiaTheme="minorEastAsia"/>
                <w:b/>
                <w:bCs/>
                <w:sz w:val="20"/>
                <w:szCs w:val="20"/>
              </w:rPr>
            </w:pPr>
            <w:r w:rsidRPr="009E24BC">
              <w:rPr>
                <w:rFonts w:eastAsiaTheme="minorEastAsia"/>
                <w:b/>
                <w:bCs/>
                <w:sz w:val="20"/>
                <w:szCs w:val="20"/>
              </w:rPr>
              <w:t>Sharpe Ratio</w:t>
            </w:r>
          </w:p>
        </w:tc>
      </w:tr>
      <w:tr w:rsidR="006B493C" w:rsidRPr="009E24BC" w14:paraId="6B8840F4" w14:textId="77777777" w:rsidTr="00A342E1">
        <w:trPr>
          <w:jc w:val="center"/>
        </w:trPr>
        <w:tc>
          <w:tcPr>
            <w:tcW w:w="0" w:type="auto"/>
            <w:vAlign w:val="center"/>
            <w:hideMark/>
          </w:tcPr>
          <w:p w14:paraId="224AC7DA"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Optimal (Tangency)</w:t>
            </w:r>
          </w:p>
        </w:tc>
        <w:tc>
          <w:tcPr>
            <w:tcW w:w="0" w:type="auto"/>
            <w:vAlign w:val="center"/>
            <w:hideMark/>
          </w:tcPr>
          <w:p w14:paraId="29E1A8A0"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GS 65.6%, WFC 23.3%, SPG 10.6%</w:t>
            </w:r>
          </w:p>
        </w:tc>
        <w:tc>
          <w:tcPr>
            <w:tcW w:w="0" w:type="auto"/>
            <w:vAlign w:val="center"/>
            <w:hideMark/>
          </w:tcPr>
          <w:p w14:paraId="510EBEF7"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0.00484</w:t>
            </w:r>
          </w:p>
        </w:tc>
        <w:tc>
          <w:tcPr>
            <w:tcW w:w="0" w:type="auto"/>
            <w:vAlign w:val="center"/>
            <w:hideMark/>
          </w:tcPr>
          <w:p w14:paraId="3DC0F674"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0.0383</w:t>
            </w:r>
          </w:p>
        </w:tc>
        <w:tc>
          <w:tcPr>
            <w:tcW w:w="0" w:type="auto"/>
            <w:vAlign w:val="center"/>
            <w:hideMark/>
          </w:tcPr>
          <w:p w14:paraId="2EBB891F" w14:textId="77777777" w:rsidR="006B493C" w:rsidRPr="009E24BC" w:rsidRDefault="006B493C" w:rsidP="00A342E1">
            <w:pPr>
              <w:spacing w:after="0" w:line="240" w:lineRule="auto"/>
              <w:rPr>
                <w:rFonts w:eastAsiaTheme="minorEastAsia"/>
                <w:sz w:val="20"/>
                <w:szCs w:val="20"/>
              </w:rPr>
            </w:pPr>
            <w:r w:rsidRPr="009E24BC">
              <w:rPr>
                <w:rFonts w:eastAsiaTheme="minorEastAsia"/>
                <w:b/>
                <w:bCs/>
                <w:sz w:val="20"/>
                <w:szCs w:val="20"/>
              </w:rPr>
              <w:t>0.111</w:t>
            </w:r>
          </w:p>
        </w:tc>
      </w:tr>
      <w:tr w:rsidR="006B493C" w:rsidRPr="009E24BC" w14:paraId="4B91484C" w14:textId="77777777" w:rsidTr="00A342E1">
        <w:trPr>
          <w:jc w:val="center"/>
        </w:trPr>
        <w:tc>
          <w:tcPr>
            <w:tcW w:w="0" w:type="auto"/>
            <w:vAlign w:val="center"/>
            <w:hideMark/>
          </w:tcPr>
          <w:p w14:paraId="6530B08C"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Equal-Weighted (Step 4)</w:t>
            </w:r>
          </w:p>
        </w:tc>
        <w:tc>
          <w:tcPr>
            <w:tcW w:w="0" w:type="auto"/>
            <w:vAlign w:val="center"/>
            <w:hideMark/>
          </w:tcPr>
          <w:p w14:paraId="17F1D7E2"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10 stocks @ 10 % each</w:t>
            </w:r>
          </w:p>
        </w:tc>
        <w:tc>
          <w:tcPr>
            <w:tcW w:w="0" w:type="auto"/>
            <w:vAlign w:val="center"/>
            <w:hideMark/>
          </w:tcPr>
          <w:p w14:paraId="33F3B798"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0.00259</w:t>
            </w:r>
          </w:p>
        </w:tc>
        <w:tc>
          <w:tcPr>
            <w:tcW w:w="0" w:type="auto"/>
            <w:vAlign w:val="center"/>
            <w:hideMark/>
          </w:tcPr>
          <w:p w14:paraId="27D7086E"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0.0282</w:t>
            </w:r>
          </w:p>
        </w:tc>
        <w:tc>
          <w:tcPr>
            <w:tcW w:w="0" w:type="auto"/>
            <w:vAlign w:val="center"/>
            <w:hideMark/>
          </w:tcPr>
          <w:p w14:paraId="7F6B1F00"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0.071</w:t>
            </w:r>
          </w:p>
        </w:tc>
      </w:tr>
      <w:tr w:rsidR="006B493C" w:rsidRPr="009E24BC" w14:paraId="678A25BB" w14:textId="77777777" w:rsidTr="00A342E1">
        <w:trPr>
          <w:jc w:val="center"/>
        </w:trPr>
        <w:tc>
          <w:tcPr>
            <w:tcW w:w="0" w:type="auto"/>
            <w:vAlign w:val="center"/>
            <w:hideMark/>
          </w:tcPr>
          <w:p w14:paraId="1F8F6AD8"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S&amp;P 500 Benchmark</w:t>
            </w:r>
          </w:p>
        </w:tc>
        <w:tc>
          <w:tcPr>
            <w:tcW w:w="0" w:type="auto"/>
            <w:vAlign w:val="center"/>
            <w:hideMark/>
          </w:tcPr>
          <w:p w14:paraId="5C02B523"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Market Index</w:t>
            </w:r>
          </w:p>
        </w:tc>
        <w:tc>
          <w:tcPr>
            <w:tcW w:w="0" w:type="auto"/>
            <w:vAlign w:val="center"/>
            <w:hideMark/>
          </w:tcPr>
          <w:p w14:paraId="6EEBE34B"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0.00060</w:t>
            </w:r>
          </w:p>
        </w:tc>
        <w:tc>
          <w:tcPr>
            <w:tcW w:w="0" w:type="auto"/>
            <w:vAlign w:val="center"/>
            <w:hideMark/>
          </w:tcPr>
          <w:p w14:paraId="6A7B9D71"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0.0108</w:t>
            </w:r>
          </w:p>
        </w:tc>
        <w:tc>
          <w:tcPr>
            <w:tcW w:w="0" w:type="auto"/>
            <w:vAlign w:val="center"/>
            <w:hideMark/>
          </w:tcPr>
          <w:p w14:paraId="2353F928" w14:textId="77777777" w:rsidR="006B493C" w:rsidRPr="009E24BC" w:rsidRDefault="006B493C" w:rsidP="00A342E1">
            <w:pPr>
              <w:spacing w:after="0" w:line="240" w:lineRule="auto"/>
              <w:rPr>
                <w:rFonts w:eastAsiaTheme="minorEastAsia"/>
                <w:sz w:val="20"/>
                <w:szCs w:val="20"/>
              </w:rPr>
            </w:pPr>
            <w:r w:rsidRPr="009E24BC">
              <w:rPr>
                <w:rFonts w:eastAsiaTheme="minorEastAsia"/>
                <w:sz w:val="20"/>
                <w:szCs w:val="20"/>
              </w:rPr>
              <w:t>0.001</w:t>
            </w:r>
          </w:p>
        </w:tc>
      </w:tr>
    </w:tbl>
    <w:p w14:paraId="67173137" w14:textId="77777777" w:rsidR="00521ADF" w:rsidRDefault="00521ADF" w:rsidP="00554405">
      <w:pPr>
        <w:rPr>
          <w:rFonts w:eastAsiaTheme="minorEastAsia"/>
          <w:szCs w:val="22"/>
        </w:rPr>
      </w:pPr>
    </w:p>
    <w:p w14:paraId="6B597393" w14:textId="22457FF9" w:rsidR="00FF657B" w:rsidRDefault="00FF657B" w:rsidP="00FF657B">
      <w:pPr>
        <w:jc w:val="center"/>
        <w:rPr>
          <w:rFonts w:eastAsiaTheme="minorEastAsia"/>
          <w:szCs w:val="22"/>
        </w:rPr>
      </w:pPr>
      <w:r w:rsidRPr="00FF657B">
        <w:rPr>
          <w:rFonts w:eastAsiaTheme="minorEastAsia"/>
          <w:noProof/>
          <w:szCs w:val="22"/>
        </w:rPr>
        <w:drawing>
          <wp:inline distT="0" distB="0" distL="0" distR="0" wp14:anchorId="5F4B3851" wp14:editId="209D4D6D">
            <wp:extent cx="4846320" cy="3587623"/>
            <wp:effectExtent l="0" t="0" r="5080" b="0"/>
            <wp:docPr id="21567253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72538" name="Picture 1" descr="A screen shot of a graph&#10;&#10;AI-generated content may be incorrect."/>
                    <pic:cNvPicPr/>
                  </pic:nvPicPr>
                  <pic:blipFill>
                    <a:blip r:embed="rId8"/>
                    <a:stretch>
                      <a:fillRect/>
                    </a:stretch>
                  </pic:blipFill>
                  <pic:spPr>
                    <a:xfrm>
                      <a:off x="0" y="0"/>
                      <a:ext cx="4846320" cy="3587623"/>
                    </a:xfrm>
                    <a:prstGeom prst="rect">
                      <a:avLst/>
                    </a:prstGeom>
                  </pic:spPr>
                </pic:pic>
              </a:graphicData>
            </a:graphic>
          </wp:inline>
        </w:drawing>
      </w:r>
    </w:p>
    <w:p w14:paraId="45ADAB7A" w14:textId="4A62D506" w:rsidR="00F24BEF" w:rsidRPr="00F24BEF" w:rsidRDefault="00F24BEF" w:rsidP="00FF657B">
      <w:pPr>
        <w:jc w:val="center"/>
        <w:rPr>
          <w:rFonts w:eastAsiaTheme="minorEastAsia"/>
          <w:b/>
          <w:bCs/>
          <w:szCs w:val="22"/>
        </w:rPr>
      </w:pPr>
      <w:r>
        <w:rPr>
          <w:rFonts w:eastAsiaTheme="minorEastAsia"/>
          <w:b/>
          <w:bCs/>
          <w:szCs w:val="22"/>
        </w:rPr>
        <w:t>Fig 5</w:t>
      </w:r>
      <w:r w:rsidR="00B5574C">
        <w:rPr>
          <w:rFonts w:eastAsiaTheme="minorEastAsia"/>
          <w:b/>
          <w:bCs/>
          <w:szCs w:val="22"/>
        </w:rPr>
        <w:t xml:space="preserve">: </w:t>
      </w:r>
      <w:r w:rsidR="002378B6" w:rsidRPr="00495CDE">
        <w:rPr>
          <w:rFonts w:eastAsiaTheme="minorEastAsia"/>
          <w:szCs w:val="22"/>
        </w:rPr>
        <w:t xml:space="preserve">Efficient Frontier </w:t>
      </w:r>
      <w:r w:rsidR="003C1896">
        <w:rPr>
          <w:rFonts w:eastAsiaTheme="minorEastAsia"/>
          <w:szCs w:val="22"/>
        </w:rPr>
        <w:t xml:space="preserve">– </w:t>
      </w:r>
      <w:r w:rsidR="002378B6" w:rsidRPr="00495CDE">
        <w:rPr>
          <w:rFonts w:eastAsiaTheme="minorEastAsia"/>
          <w:szCs w:val="22"/>
        </w:rPr>
        <w:t>Optimal Portfolio Visualization</w:t>
      </w:r>
    </w:p>
    <w:p w14:paraId="546AC81A" w14:textId="78E54567" w:rsidR="00D01818" w:rsidRDefault="00D01818" w:rsidP="00554405">
      <w:pPr>
        <w:rPr>
          <w:rFonts w:eastAsiaTheme="minorEastAsia"/>
          <w:szCs w:val="22"/>
        </w:rPr>
      </w:pPr>
      <w:r w:rsidRPr="00D01818">
        <w:rPr>
          <w:rFonts w:eastAsiaTheme="minorEastAsia"/>
          <w:szCs w:val="22"/>
        </w:rPr>
        <w:t>When compared with the equal-weighted portfolio from Step 4 (return 0.00259, volatility 0.0282, Sharpe 0.0713) and the S&amp;P 500 benchmark (return 0.0006, volatility 0.0108, Sharpe 0.0013), the optimized portfolio demonstrates a clear efficiency improvement</w:t>
      </w:r>
      <w:r w:rsidR="001402DF">
        <w:rPr>
          <w:rFonts w:eastAsiaTheme="minorEastAsia"/>
          <w:szCs w:val="22"/>
        </w:rPr>
        <w:t xml:space="preserve">, </w:t>
      </w:r>
      <w:r w:rsidRPr="00D01818">
        <w:rPr>
          <w:rFonts w:eastAsiaTheme="minorEastAsia"/>
          <w:szCs w:val="22"/>
        </w:rPr>
        <w:t xml:space="preserve">achieving </w:t>
      </w:r>
      <w:r>
        <w:rPr>
          <w:rFonts w:eastAsiaTheme="minorEastAsia"/>
          <w:szCs w:val="22"/>
        </w:rPr>
        <w:t xml:space="preserve">a </w:t>
      </w:r>
      <w:r w:rsidRPr="00D01818">
        <w:rPr>
          <w:rFonts w:eastAsiaTheme="minorEastAsia"/>
          <w:szCs w:val="22"/>
        </w:rPr>
        <w:t xml:space="preserve">higher return per unit </w:t>
      </w:r>
      <w:r w:rsidRPr="00D01818">
        <w:rPr>
          <w:rFonts w:eastAsiaTheme="minorEastAsia"/>
          <w:szCs w:val="22"/>
        </w:rPr>
        <w:lastRenderedPageBreak/>
        <w:t>of risk.</w:t>
      </w:r>
      <w:r w:rsidR="001402DF">
        <w:rPr>
          <w:rFonts w:eastAsiaTheme="minorEastAsia"/>
          <w:szCs w:val="22"/>
        </w:rPr>
        <w:t xml:space="preserve"> </w:t>
      </w:r>
      <w:r w:rsidRPr="00D01818">
        <w:rPr>
          <w:rFonts w:eastAsiaTheme="minorEastAsia"/>
          <w:szCs w:val="22"/>
        </w:rPr>
        <w:t>The efficient-frontier plot highlights this improvement: the optimal portfolio (</w:t>
      </w:r>
      <w:r w:rsidRPr="00A06A0D">
        <w:rPr>
          <w:rFonts w:ascii="Segoe UI Symbol" w:eastAsiaTheme="minorEastAsia" w:hAnsi="Segoe UI Symbol" w:cs="Segoe UI Symbol"/>
          <w:color w:val="EE0000"/>
          <w:szCs w:val="22"/>
        </w:rPr>
        <w:t>★</w:t>
      </w:r>
      <w:r w:rsidRPr="00D01818">
        <w:rPr>
          <w:rFonts w:eastAsiaTheme="minorEastAsia"/>
          <w:szCs w:val="22"/>
        </w:rPr>
        <w:t>) lies on the upper boundary, the equal-weighted portfolio (</w:t>
      </w:r>
      <w:r w:rsidRPr="00A06A0D">
        <w:rPr>
          <w:rFonts w:eastAsiaTheme="minorEastAsia"/>
          <w:color w:val="0432FF"/>
          <w:szCs w:val="22"/>
        </w:rPr>
        <w:t>●</w:t>
      </w:r>
      <w:r w:rsidRPr="00D01818">
        <w:rPr>
          <w:rFonts w:eastAsiaTheme="minorEastAsia"/>
          <w:szCs w:val="22"/>
        </w:rPr>
        <w:t>) lies below it, and the S&amp;P 500 (</w:t>
      </w:r>
      <w:r w:rsidRPr="00A06A0D">
        <w:rPr>
          <w:rFonts w:eastAsiaTheme="minorEastAsia"/>
          <w:b/>
          <w:bCs/>
          <w:szCs w:val="22"/>
        </w:rPr>
        <w:t>×</w:t>
      </w:r>
      <w:r w:rsidRPr="00D01818">
        <w:rPr>
          <w:rFonts w:eastAsiaTheme="minorEastAsia"/>
          <w:szCs w:val="22"/>
        </w:rPr>
        <w:t>) occupies the lower-left region.</w:t>
      </w:r>
    </w:p>
    <w:p w14:paraId="44160994" w14:textId="326B87BC" w:rsidR="002D7E39" w:rsidRPr="00D01818" w:rsidRDefault="002D7E39" w:rsidP="002D7E39">
      <w:pPr>
        <w:pStyle w:val="Heading1"/>
        <w:rPr>
          <w:rFonts w:eastAsiaTheme="minorEastAsia"/>
        </w:rPr>
      </w:pPr>
      <w:bookmarkStart w:id="4" w:name="_Toc212322829"/>
      <w:r>
        <w:rPr>
          <w:rFonts w:eastAsiaTheme="minorEastAsia"/>
        </w:rPr>
        <w:t>4. Conclusion</w:t>
      </w:r>
      <w:bookmarkEnd w:id="4"/>
    </w:p>
    <w:p w14:paraId="618699A5" w14:textId="6CE20403" w:rsidR="00316AF4" w:rsidRPr="00316AF4" w:rsidRDefault="00316AF4" w:rsidP="00316AF4">
      <w:r w:rsidRPr="00316AF4">
        <w:t>This project examined the impact of monetary</w:t>
      </w:r>
      <w:r w:rsidR="002E3EE9">
        <w:t xml:space="preserve"> </w:t>
      </w:r>
      <w:r w:rsidRPr="00316AF4">
        <w:t>policy changes</w:t>
      </w:r>
      <w:r w:rsidR="003A1E3D">
        <w:t xml:space="preserve"> </w:t>
      </w:r>
      <w:r w:rsidR="00C1781A">
        <w:t>exhibited</w:t>
      </w:r>
      <w:r w:rsidRPr="00316AF4">
        <w:t xml:space="preserve"> through interest-rate movements</w:t>
      </w:r>
      <w:r w:rsidR="00C1781A">
        <w:t xml:space="preserve"> </w:t>
      </w:r>
      <w:r w:rsidRPr="00316AF4">
        <w:t>on the performance and risk characteristics of two interest-sensitive sectors: Financial</w:t>
      </w:r>
      <w:r w:rsidR="008B2654" w:rsidRPr="00272FAE">
        <w:t xml:space="preserve"> institutions</w:t>
      </w:r>
      <w:r w:rsidRPr="00316AF4">
        <w:t xml:space="preserve"> and Real Estate</w:t>
      </w:r>
      <w:r w:rsidR="008B2654" w:rsidRPr="00272FAE">
        <w:t xml:space="preserve"> companies</w:t>
      </w:r>
      <w:r w:rsidRPr="00316AF4">
        <w:t xml:space="preserve">. By analyzing five years of market and firm-level data, the study combined return-distribution analytics, cross-sector correlations, and portfolio modeling to assess </w:t>
      </w:r>
      <w:r w:rsidR="002E3EE9">
        <w:t xml:space="preserve">the </w:t>
      </w:r>
      <w:r w:rsidRPr="00316AF4">
        <w:t>influence</w:t>
      </w:r>
      <w:r w:rsidR="002E3EE9">
        <w:t xml:space="preserve"> of </w:t>
      </w:r>
      <w:r w:rsidR="002E3EE9" w:rsidRPr="00316AF4">
        <w:t>rate fluctuations</w:t>
      </w:r>
      <w:r w:rsidRPr="00316AF4">
        <w:t xml:space="preserve"> </w:t>
      </w:r>
      <w:r w:rsidR="002E3EE9">
        <w:t xml:space="preserve">on </w:t>
      </w:r>
      <w:r w:rsidRPr="00316AF4">
        <w:t xml:space="preserve">individual stocks and </w:t>
      </w:r>
      <w:r w:rsidR="002E3EE9">
        <w:t xml:space="preserve">how portfolio </w:t>
      </w:r>
      <w:r w:rsidRPr="00316AF4">
        <w:t>diversif</w:t>
      </w:r>
      <w:r w:rsidR="002E3EE9">
        <w:t>ication can mitigate the impact</w:t>
      </w:r>
      <w:r w:rsidRPr="00316AF4">
        <w:t xml:space="preserve">. The analysis used the 13-Week U.S. Treasury Bill yield as the risk-free rate and incorporated both equal-weighted and optimized portfolio </w:t>
      </w:r>
      <w:r w:rsidR="00A91F51">
        <w:t>design</w:t>
      </w:r>
      <w:r w:rsidR="00443720">
        <w:t>s</w:t>
      </w:r>
      <w:r w:rsidRPr="00316AF4">
        <w:t xml:space="preserve"> to evaluate efficiency and diversification outcomes.</w:t>
      </w:r>
    </w:p>
    <w:p w14:paraId="03C134D9" w14:textId="27A04D40" w:rsidR="00316AF4" w:rsidRPr="00316AF4" w:rsidRDefault="00316AF4" w:rsidP="00316AF4">
      <w:r w:rsidRPr="00316AF4">
        <w:t>The results revealed clear sector</w:t>
      </w:r>
      <w:r w:rsidR="0006693B">
        <w:t>-wise</w:t>
      </w:r>
      <w:r w:rsidRPr="00316AF4">
        <w:t xml:space="preserve"> differences in both performance and risk. Financial stocks, particularly large banks and asset managers such as JPMorgan, Bank of America, and BlackRock, exhibited higher volatility but also stronger mean returns, consistent with their positive sensitivity to rising interest rates. Real Estate Investment Trusts (REITs) such as Prologis, AvalonBay, and Realty Income demonstrated steadier but lower returns, reflecting their dependence on borrowing costs. Correlation analysis confirmed higher intra-sector cohesion among Financials compared with Real Estate, while cross-sector correlations remained moderate, </w:t>
      </w:r>
      <w:r w:rsidR="00663E97">
        <w:t>indicating</w:t>
      </w:r>
      <w:r w:rsidRPr="00316AF4">
        <w:t xml:space="preserve"> the diversification potential between the two sectors.</w:t>
      </w:r>
    </w:p>
    <w:p w14:paraId="261528F9" w14:textId="5A63597E" w:rsidR="00316AF4" w:rsidRDefault="00316AF4" w:rsidP="00316AF4">
      <w:r w:rsidRPr="00316AF4">
        <w:t>Portfolio analysis demonstrated that diversification across these sectors improved overall efficiency. The equal-weighted portfolio delivered balanced exposure with a moderate Sharpe ratio, while the optimized (tangency) portfolio achieved a higher risk-adjusted return by slightly increasing weight toward Financials and lower-volatility REITs. Overall, the findings support the conclusion that interest-rate dynamics significantly influence sectoral risk and return behavior, and that informed portfolio construction can mitigate rate-driven volatility while enhancing performance.</w:t>
      </w:r>
    </w:p>
    <w:p w14:paraId="080501C1" w14:textId="256DC95A" w:rsidR="00F02C08" w:rsidRDefault="0067767D" w:rsidP="00F02C08">
      <w:pPr>
        <w:pStyle w:val="Heading1"/>
      </w:pPr>
      <w:bookmarkStart w:id="5" w:name="_Toc212322830"/>
      <w:r>
        <w:t>References</w:t>
      </w:r>
      <w:bookmarkEnd w:id="5"/>
    </w:p>
    <w:p w14:paraId="58300DBE" w14:textId="472C8D0B" w:rsidR="00004034" w:rsidRDefault="00DB0C41" w:rsidP="00004034">
      <w:pPr>
        <w:pStyle w:val="ListParagraph"/>
        <w:numPr>
          <w:ilvl w:val="0"/>
          <w:numId w:val="12"/>
        </w:numPr>
      </w:pPr>
      <w:r w:rsidRPr="00DB0C41">
        <w:rPr>
          <w:b/>
          <w:bCs/>
        </w:rPr>
        <w:t>ChatGPT.com</w:t>
      </w:r>
      <w:r>
        <w:t xml:space="preserve"> </w:t>
      </w:r>
      <w:r w:rsidR="0099104E" w:rsidRPr="005D23CE">
        <w:t xml:space="preserve">Exploration &amp; Research on </w:t>
      </w:r>
      <w:r w:rsidR="005D23CE" w:rsidRPr="005D23CE">
        <w:t>https://chatgpt.com/</w:t>
      </w:r>
    </w:p>
    <w:p w14:paraId="3388DF60" w14:textId="7BED9418" w:rsidR="00E36ADC" w:rsidRPr="00E36ADC" w:rsidRDefault="00E36ADC" w:rsidP="000951EE">
      <w:pPr>
        <w:pStyle w:val="ListParagraph"/>
        <w:numPr>
          <w:ilvl w:val="0"/>
          <w:numId w:val="12"/>
        </w:numPr>
      </w:pPr>
      <w:r w:rsidRPr="000951EE">
        <w:rPr>
          <w:rStyle w:val="Strong"/>
          <w:rFonts w:ascii="Aptos" w:hAnsi="Aptos"/>
          <w:szCs w:val="22"/>
        </w:rPr>
        <w:lastRenderedPageBreak/>
        <w:t>NASDAQ Data Link</w:t>
      </w:r>
      <w:r w:rsidRPr="00E36ADC">
        <w:t xml:space="preserve">. </w:t>
      </w:r>
      <w:r w:rsidRPr="000951EE">
        <w:rPr>
          <w:rStyle w:val="Emphasis"/>
          <w:rFonts w:ascii="Aptos" w:hAnsi="Aptos"/>
          <w:szCs w:val="22"/>
        </w:rPr>
        <w:t>Historical stock prices for JPM, BAC, WFC, GS, BLK, PLD, AMT, SPG, AVB, and O.</w:t>
      </w:r>
      <w:r w:rsidRPr="00E36ADC">
        <w:t xml:space="preserve"> Retrieved from https://data.nasdaq.com/</w:t>
      </w:r>
    </w:p>
    <w:p w14:paraId="24EE3FDE" w14:textId="073B53FC" w:rsidR="00E36ADC" w:rsidRPr="00E36ADC" w:rsidRDefault="00E36ADC" w:rsidP="000951EE">
      <w:pPr>
        <w:pStyle w:val="ListParagraph"/>
        <w:numPr>
          <w:ilvl w:val="0"/>
          <w:numId w:val="12"/>
        </w:numPr>
      </w:pPr>
      <w:r w:rsidRPr="000951EE">
        <w:rPr>
          <w:rStyle w:val="Strong"/>
          <w:rFonts w:ascii="Aptos" w:hAnsi="Aptos"/>
          <w:szCs w:val="22"/>
        </w:rPr>
        <w:t>Yahoo Finance.</w:t>
      </w:r>
      <w:r w:rsidRPr="00E36ADC">
        <w:t xml:space="preserve"> </w:t>
      </w:r>
      <w:r w:rsidRPr="000951EE">
        <w:rPr>
          <w:rStyle w:val="Emphasis"/>
          <w:rFonts w:ascii="Aptos" w:hAnsi="Aptos"/>
          <w:szCs w:val="22"/>
        </w:rPr>
        <w:t>S&amp;P 500 Index (^GSPC) – Historical Data.</w:t>
      </w:r>
      <w:r w:rsidRPr="00E36ADC">
        <w:t xml:space="preserve"> Retrieved from https://finance.yahoo.com/quote/%5EGSPC/history</w:t>
      </w:r>
    </w:p>
    <w:p w14:paraId="6314E0E4" w14:textId="110FCC5D" w:rsidR="00E36ADC" w:rsidRPr="00E36ADC" w:rsidRDefault="00E36ADC" w:rsidP="000951EE">
      <w:pPr>
        <w:pStyle w:val="ListParagraph"/>
        <w:numPr>
          <w:ilvl w:val="0"/>
          <w:numId w:val="12"/>
        </w:numPr>
      </w:pPr>
      <w:r w:rsidRPr="000951EE">
        <w:rPr>
          <w:rStyle w:val="Strong"/>
          <w:rFonts w:ascii="Aptos" w:hAnsi="Aptos"/>
          <w:szCs w:val="22"/>
        </w:rPr>
        <w:t>Federal Reserve Bank of St. Louis (FRED)</w:t>
      </w:r>
      <w:r w:rsidR="00902AF3">
        <w:rPr>
          <w:rStyle w:val="Strong"/>
          <w:rFonts w:ascii="Aptos" w:hAnsi="Aptos"/>
          <w:szCs w:val="22"/>
        </w:rPr>
        <w:t xml:space="preserve"> and </w:t>
      </w:r>
      <w:r w:rsidR="00902AF3" w:rsidRPr="000951EE">
        <w:rPr>
          <w:rStyle w:val="Strong"/>
          <w:rFonts w:ascii="Aptos" w:hAnsi="Aptos"/>
          <w:szCs w:val="22"/>
        </w:rPr>
        <w:t>Yahoo Finance</w:t>
      </w:r>
      <w:r w:rsidRPr="000951EE">
        <w:rPr>
          <w:rStyle w:val="Strong"/>
          <w:rFonts w:ascii="Aptos" w:hAnsi="Aptos"/>
          <w:szCs w:val="22"/>
        </w:rPr>
        <w:t>.</w:t>
      </w:r>
      <w:r w:rsidRPr="00E36ADC">
        <w:t xml:space="preserve"> </w:t>
      </w:r>
      <w:r w:rsidRPr="000951EE">
        <w:rPr>
          <w:rStyle w:val="Emphasis"/>
          <w:rFonts w:ascii="Aptos" w:hAnsi="Aptos"/>
          <w:szCs w:val="22"/>
        </w:rPr>
        <w:t>13-Week Treasury Bill: Secondary Market Rate (DGS3MO).</w:t>
      </w:r>
      <w:r w:rsidRPr="00E36ADC">
        <w:t xml:space="preserve"> Retrieved from </w:t>
      </w:r>
      <w:r w:rsidR="00902AF3">
        <w:t>Yahoo API</w:t>
      </w:r>
      <w:r w:rsidR="00E10DAC">
        <w:t>.</w:t>
      </w:r>
    </w:p>
    <w:p w14:paraId="33048257" w14:textId="12A79885" w:rsidR="00E36ADC" w:rsidRPr="00E36ADC" w:rsidRDefault="00E36ADC" w:rsidP="000951EE">
      <w:pPr>
        <w:pStyle w:val="ListParagraph"/>
        <w:numPr>
          <w:ilvl w:val="0"/>
          <w:numId w:val="12"/>
        </w:numPr>
      </w:pPr>
      <w:r w:rsidRPr="000951EE">
        <w:rPr>
          <w:rStyle w:val="Strong"/>
          <w:rFonts w:ascii="Aptos" w:hAnsi="Aptos"/>
          <w:szCs w:val="22"/>
        </w:rPr>
        <w:t>S&amp;P Capital IQ Pro.</w:t>
      </w:r>
      <w:r w:rsidRPr="00E36ADC">
        <w:t xml:space="preserve"> </w:t>
      </w:r>
      <w:r w:rsidRPr="000951EE">
        <w:rPr>
          <w:rStyle w:val="Emphasis"/>
          <w:rFonts w:ascii="Aptos" w:hAnsi="Aptos"/>
          <w:szCs w:val="22"/>
        </w:rPr>
        <w:t>Company financials and market fundamentals for selected firms.</w:t>
      </w:r>
      <w:r w:rsidRPr="00E36ADC">
        <w:t xml:space="preserve"> Retrieved via institutional access (</w:t>
      </w:r>
      <w:r w:rsidR="00EA6C28">
        <w:t xml:space="preserve">The </w:t>
      </w:r>
      <w:r w:rsidRPr="00E36ADC">
        <w:t>University of Texas at Dallas).</w:t>
      </w:r>
    </w:p>
    <w:p w14:paraId="4F091294" w14:textId="3FA3F713" w:rsidR="00E36ADC" w:rsidRPr="00E36ADC" w:rsidRDefault="00E36ADC" w:rsidP="000951EE">
      <w:pPr>
        <w:pStyle w:val="ListParagraph"/>
        <w:numPr>
          <w:ilvl w:val="0"/>
          <w:numId w:val="12"/>
        </w:numPr>
      </w:pPr>
      <w:r w:rsidRPr="000951EE">
        <w:rPr>
          <w:rStyle w:val="Strong"/>
          <w:rFonts w:ascii="Aptos" w:hAnsi="Aptos"/>
          <w:szCs w:val="22"/>
        </w:rPr>
        <w:t>BlackRock, Inc.</w:t>
      </w:r>
      <w:r w:rsidRPr="00E36ADC">
        <w:t xml:space="preserve"> </w:t>
      </w:r>
      <w:r w:rsidRPr="000951EE">
        <w:rPr>
          <w:rStyle w:val="Emphasis"/>
          <w:rFonts w:ascii="Aptos" w:hAnsi="Aptos"/>
          <w:szCs w:val="22"/>
        </w:rPr>
        <w:t>Annual Report and Investor Relations Data.</w:t>
      </w:r>
      <w:r w:rsidRPr="00E36ADC">
        <w:t xml:space="preserve"> Retrieved from https://www.blackrock.com/corporate/investor-relations</w:t>
      </w:r>
    </w:p>
    <w:p w14:paraId="2A1AA2D7" w14:textId="0F58D215" w:rsidR="00E36ADC" w:rsidRPr="00E36ADC" w:rsidRDefault="00E36ADC" w:rsidP="000951EE">
      <w:pPr>
        <w:pStyle w:val="ListParagraph"/>
        <w:numPr>
          <w:ilvl w:val="0"/>
          <w:numId w:val="12"/>
        </w:numPr>
      </w:pPr>
      <w:r w:rsidRPr="000951EE">
        <w:rPr>
          <w:rStyle w:val="Strong"/>
          <w:rFonts w:ascii="Aptos" w:hAnsi="Aptos"/>
          <w:szCs w:val="22"/>
        </w:rPr>
        <w:t>Prologis, Inc.</w:t>
      </w:r>
      <w:r w:rsidRPr="00E36ADC">
        <w:t xml:space="preserve"> </w:t>
      </w:r>
      <w:r w:rsidRPr="000951EE">
        <w:rPr>
          <w:rStyle w:val="Emphasis"/>
          <w:rFonts w:ascii="Aptos" w:hAnsi="Aptos"/>
          <w:szCs w:val="22"/>
        </w:rPr>
        <w:t>Investor Relations – Company Overview and Financial Reports.</w:t>
      </w:r>
      <w:r w:rsidRPr="00E36ADC">
        <w:t xml:space="preserve"> Retrieved from https://ir.prologis.com/</w:t>
      </w:r>
    </w:p>
    <w:p w14:paraId="5AE5DB3C" w14:textId="169082D7" w:rsidR="00E36ADC" w:rsidRPr="00E36ADC" w:rsidRDefault="00E36ADC" w:rsidP="000951EE">
      <w:pPr>
        <w:pStyle w:val="ListParagraph"/>
        <w:numPr>
          <w:ilvl w:val="0"/>
          <w:numId w:val="12"/>
        </w:numPr>
      </w:pPr>
      <w:r w:rsidRPr="000951EE">
        <w:rPr>
          <w:rStyle w:val="Strong"/>
          <w:rFonts w:ascii="Aptos" w:hAnsi="Aptos"/>
          <w:szCs w:val="22"/>
        </w:rPr>
        <w:t>AvalonBay Communities, Inc.</w:t>
      </w:r>
      <w:r w:rsidRPr="00E36ADC">
        <w:t xml:space="preserve"> </w:t>
      </w:r>
      <w:r w:rsidRPr="000951EE">
        <w:rPr>
          <w:rStyle w:val="Emphasis"/>
          <w:rFonts w:ascii="Aptos" w:hAnsi="Aptos"/>
          <w:szCs w:val="22"/>
        </w:rPr>
        <w:t>Investor Relations – Company Financials.</w:t>
      </w:r>
      <w:r w:rsidRPr="00E36ADC">
        <w:t xml:space="preserve"> Retrieved from https://investors.avalonbay.com/</w:t>
      </w:r>
    </w:p>
    <w:p w14:paraId="3F18716D" w14:textId="0A453CA0" w:rsidR="00E36ADC" w:rsidRPr="00E36ADC" w:rsidRDefault="00E36ADC" w:rsidP="000951EE">
      <w:pPr>
        <w:pStyle w:val="ListParagraph"/>
        <w:numPr>
          <w:ilvl w:val="0"/>
          <w:numId w:val="12"/>
        </w:numPr>
      </w:pPr>
      <w:r w:rsidRPr="000951EE">
        <w:rPr>
          <w:rStyle w:val="Strong"/>
          <w:rFonts w:ascii="Aptos" w:hAnsi="Aptos"/>
          <w:szCs w:val="22"/>
        </w:rPr>
        <w:t>U.S. Securities and Exchange Commission (SEC).</w:t>
      </w:r>
      <w:r w:rsidRPr="00E36ADC">
        <w:t xml:space="preserve"> </w:t>
      </w:r>
      <w:r w:rsidRPr="000951EE">
        <w:rPr>
          <w:rStyle w:val="Emphasis"/>
          <w:rFonts w:ascii="Aptos" w:hAnsi="Aptos"/>
          <w:szCs w:val="22"/>
        </w:rPr>
        <w:t>EDGAR Company Filings.</w:t>
      </w:r>
      <w:r w:rsidRPr="00E36ADC">
        <w:t xml:space="preserve"> Retrieved from https://www.sec.gov/edgar/searchedgar/companysearch.html</w:t>
      </w:r>
    </w:p>
    <w:p w14:paraId="27C43A44" w14:textId="1D3372C9" w:rsidR="00E36ADC" w:rsidRPr="00E36ADC" w:rsidRDefault="00E36ADC" w:rsidP="000951EE">
      <w:pPr>
        <w:pStyle w:val="ListParagraph"/>
        <w:numPr>
          <w:ilvl w:val="0"/>
          <w:numId w:val="12"/>
        </w:numPr>
      </w:pPr>
      <w:r w:rsidRPr="000951EE">
        <w:rPr>
          <w:rStyle w:val="Strong"/>
          <w:rFonts w:ascii="Aptos" w:hAnsi="Aptos"/>
          <w:szCs w:val="22"/>
        </w:rPr>
        <w:t>Investopedia.</w:t>
      </w:r>
      <w:r w:rsidRPr="00E36ADC">
        <w:t xml:space="preserve"> </w:t>
      </w:r>
      <w:r w:rsidRPr="000951EE">
        <w:rPr>
          <w:rStyle w:val="Emphasis"/>
          <w:rFonts w:ascii="Aptos" w:hAnsi="Aptos"/>
          <w:szCs w:val="22"/>
        </w:rPr>
        <w:t>Sharpe Ratio, Portfolio Diversification, and Modern Portfolio Theory.</w:t>
      </w:r>
      <w:r w:rsidRPr="00E36ADC">
        <w:t xml:space="preserve"> Retrieved from https://www.investopedia.com/</w:t>
      </w:r>
    </w:p>
    <w:p w14:paraId="1565E0E8" w14:textId="5E7217CF" w:rsidR="00577F99" w:rsidRDefault="00E36ADC" w:rsidP="00E43265">
      <w:pPr>
        <w:pStyle w:val="ListParagraph"/>
        <w:numPr>
          <w:ilvl w:val="0"/>
          <w:numId w:val="12"/>
        </w:numPr>
      </w:pPr>
      <w:r w:rsidRPr="000951EE">
        <w:rPr>
          <w:rStyle w:val="Strong"/>
          <w:rFonts w:ascii="Aptos" w:hAnsi="Aptos"/>
          <w:szCs w:val="22"/>
        </w:rPr>
        <w:t>Hull, J. C.</w:t>
      </w:r>
      <w:r w:rsidRPr="00E36ADC">
        <w:t xml:space="preserve"> </w:t>
      </w:r>
      <w:r w:rsidRPr="000951EE">
        <w:rPr>
          <w:rStyle w:val="Emphasis"/>
          <w:rFonts w:ascii="Aptos" w:hAnsi="Aptos"/>
          <w:szCs w:val="22"/>
        </w:rPr>
        <w:t>Options, Futures, and Other Derivatives</w:t>
      </w:r>
      <w:r w:rsidRPr="00E36ADC">
        <w:t xml:space="preserve"> (10th ed.). Pearson Education. </w:t>
      </w:r>
      <w:r w:rsidRPr="000951EE">
        <w:rPr>
          <w:rStyle w:val="Emphasis"/>
          <w:rFonts w:ascii="Aptos" w:hAnsi="Aptos"/>
          <w:szCs w:val="22"/>
        </w:rPr>
        <w:t>(Reference for risk/return and Sharpe ratio concepts.)</w:t>
      </w:r>
    </w:p>
    <w:p w14:paraId="3727BEAD" w14:textId="77777777" w:rsidR="00303BF5" w:rsidRDefault="00303BF5" w:rsidP="00846B7F"/>
    <w:p w14:paraId="0C141BDD" w14:textId="77777777" w:rsidR="00E43265" w:rsidRDefault="00E43265" w:rsidP="00846B7F"/>
    <w:p w14:paraId="15B51FD2" w14:textId="77777777" w:rsidR="00E42878" w:rsidRDefault="00E42878" w:rsidP="00846B7F"/>
    <w:p w14:paraId="6D625EDB" w14:textId="77777777" w:rsidR="00E42878" w:rsidRDefault="00E42878" w:rsidP="00846B7F"/>
    <w:p w14:paraId="338552FE" w14:textId="77777777" w:rsidR="00E42878" w:rsidRDefault="00E42878" w:rsidP="00846B7F"/>
    <w:p w14:paraId="56F9B103" w14:textId="73F93D5D" w:rsidR="00846B7F" w:rsidRDefault="00846B7F" w:rsidP="00846B7F">
      <w:pPr>
        <w:pStyle w:val="Heading1"/>
      </w:pPr>
      <w:bookmarkStart w:id="6" w:name="_Toc212322831"/>
      <w:r>
        <w:t>Appendix</w:t>
      </w:r>
      <w:bookmarkEnd w:id="6"/>
    </w:p>
    <w:p w14:paraId="77E6933D" w14:textId="56A2D80E" w:rsidR="00BA72F9" w:rsidRDefault="00BA72F9" w:rsidP="00BA72F9">
      <w:pPr>
        <w:pStyle w:val="ListParagraph"/>
        <w:numPr>
          <w:ilvl w:val="0"/>
          <w:numId w:val="13"/>
        </w:numPr>
      </w:pPr>
      <w:r>
        <w:t>See “Group6_Project1_FIN 6307.501.xlsx” for tabular outputs</w:t>
      </w:r>
    </w:p>
    <w:p w14:paraId="3DFCEF9F" w14:textId="6EF059AB" w:rsidR="00D0344C" w:rsidRDefault="00D0344C" w:rsidP="00BA72F9">
      <w:pPr>
        <w:pStyle w:val="ListParagraph"/>
        <w:numPr>
          <w:ilvl w:val="0"/>
          <w:numId w:val="13"/>
        </w:numPr>
      </w:pPr>
      <w:r>
        <w:t xml:space="preserve">See “Group6_Project1_FIN 6307.50_Code.pdf” for </w:t>
      </w:r>
      <w:r w:rsidR="004F530B">
        <w:t>code review</w:t>
      </w:r>
    </w:p>
    <w:p w14:paraId="47F3C25C" w14:textId="15F844BB" w:rsidR="00BA72F9" w:rsidRDefault="00D0344C" w:rsidP="00BA72F9">
      <w:pPr>
        <w:pStyle w:val="ListParagraph"/>
        <w:numPr>
          <w:ilvl w:val="0"/>
          <w:numId w:val="13"/>
        </w:numPr>
      </w:pPr>
      <w:r>
        <w:lastRenderedPageBreak/>
        <w:t xml:space="preserve">See “Group6_Project1_FIN 6307.50_CodePackage.zip” for complete code and input files </w:t>
      </w:r>
      <w:r w:rsidR="00D23241">
        <w:t>packaged together</w:t>
      </w:r>
    </w:p>
    <w:p w14:paraId="200601AB" w14:textId="4437BB65" w:rsidR="00775282" w:rsidRDefault="00775282" w:rsidP="00BA72F9">
      <w:pPr>
        <w:pStyle w:val="ListParagraph"/>
        <w:numPr>
          <w:ilvl w:val="0"/>
          <w:numId w:val="13"/>
        </w:numPr>
      </w:pPr>
      <w:r w:rsidRPr="00775282">
        <w:t>Stock Selection and Company Introduction</w:t>
      </w:r>
      <w:r>
        <w:t>:</w:t>
      </w:r>
    </w:p>
    <w:tbl>
      <w:tblP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15" w:type="dxa"/>
          <w:left w:w="144" w:type="dxa"/>
          <w:bottom w:w="15" w:type="dxa"/>
          <w:right w:w="144" w:type="dxa"/>
        </w:tblCellMar>
        <w:tblLook w:val="04A0" w:firstRow="1" w:lastRow="0" w:firstColumn="1" w:lastColumn="0" w:noHBand="0" w:noVBand="1"/>
      </w:tblPr>
      <w:tblGrid>
        <w:gridCol w:w="1279"/>
        <w:gridCol w:w="2255"/>
        <w:gridCol w:w="841"/>
        <w:gridCol w:w="4975"/>
      </w:tblGrid>
      <w:tr w:rsidR="00775282" w:rsidRPr="00735919" w14:paraId="6C2A92CC" w14:textId="77777777" w:rsidTr="00E02D26">
        <w:trPr>
          <w:trHeight w:val="432"/>
          <w:tblHeader/>
          <w:jc w:val="center"/>
        </w:trPr>
        <w:tc>
          <w:tcPr>
            <w:tcW w:w="0" w:type="auto"/>
            <w:vAlign w:val="center"/>
            <w:hideMark/>
          </w:tcPr>
          <w:p w14:paraId="29BDFFC4" w14:textId="77777777" w:rsidR="00775282" w:rsidRPr="00735919" w:rsidRDefault="00775282" w:rsidP="00E02D26">
            <w:pPr>
              <w:spacing w:after="0" w:line="240" w:lineRule="auto"/>
              <w:rPr>
                <w:rFonts w:ascii="Aptos" w:hAnsi="Aptos"/>
                <w:b/>
                <w:bCs/>
                <w:sz w:val="20"/>
                <w:szCs w:val="20"/>
              </w:rPr>
            </w:pPr>
            <w:r w:rsidRPr="00735919">
              <w:rPr>
                <w:rFonts w:ascii="Aptos" w:hAnsi="Aptos"/>
                <w:b/>
                <w:bCs/>
                <w:sz w:val="20"/>
                <w:szCs w:val="20"/>
              </w:rPr>
              <w:t>Sector</w:t>
            </w:r>
          </w:p>
        </w:tc>
        <w:tc>
          <w:tcPr>
            <w:tcW w:w="0" w:type="auto"/>
            <w:vAlign w:val="center"/>
            <w:hideMark/>
          </w:tcPr>
          <w:p w14:paraId="7909CB68" w14:textId="77777777" w:rsidR="00775282" w:rsidRPr="00735919" w:rsidRDefault="00775282" w:rsidP="00E02D26">
            <w:pPr>
              <w:spacing w:after="0" w:line="240" w:lineRule="auto"/>
              <w:rPr>
                <w:rFonts w:ascii="Aptos" w:hAnsi="Aptos"/>
                <w:b/>
                <w:bCs/>
                <w:sz w:val="20"/>
                <w:szCs w:val="20"/>
              </w:rPr>
            </w:pPr>
            <w:r w:rsidRPr="00735919">
              <w:rPr>
                <w:rFonts w:ascii="Aptos" w:hAnsi="Aptos"/>
                <w:b/>
                <w:bCs/>
                <w:sz w:val="20"/>
                <w:szCs w:val="20"/>
              </w:rPr>
              <w:t>Company</w:t>
            </w:r>
          </w:p>
        </w:tc>
        <w:tc>
          <w:tcPr>
            <w:tcW w:w="0" w:type="auto"/>
            <w:vAlign w:val="center"/>
            <w:hideMark/>
          </w:tcPr>
          <w:p w14:paraId="07CD4062" w14:textId="77777777" w:rsidR="00775282" w:rsidRPr="00735919" w:rsidRDefault="00775282" w:rsidP="00E02D26">
            <w:pPr>
              <w:spacing w:after="0" w:line="240" w:lineRule="auto"/>
              <w:rPr>
                <w:rFonts w:ascii="Aptos" w:hAnsi="Aptos"/>
                <w:b/>
                <w:bCs/>
                <w:sz w:val="20"/>
                <w:szCs w:val="20"/>
              </w:rPr>
            </w:pPr>
            <w:r w:rsidRPr="00735919">
              <w:rPr>
                <w:rFonts w:ascii="Aptos" w:hAnsi="Aptos"/>
                <w:b/>
                <w:bCs/>
                <w:sz w:val="20"/>
                <w:szCs w:val="20"/>
              </w:rPr>
              <w:t>Ticker</w:t>
            </w:r>
          </w:p>
        </w:tc>
        <w:tc>
          <w:tcPr>
            <w:tcW w:w="0" w:type="auto"/>
            <w:vAlign w:val="center"/>
            <w:hideMark/>
          </w:tcPr>
          <w:p w14:paraId="682B9CC8" w14:textId="77777777" w:rsidR="00775282" w:rsidRPr="00735919" w:rsidRDefault="00775282" w:rsidP="00E02D26">
            <w:pPr>
              <w:spacing w:after="0" w:line="240" w:lineRule="auto"/>
              <w:rPr>
                <w:rFonts w:ascii="Aptos" w:hAnsi="Aptos"/>
                <w:b/>
                <w:bCs/>
                <w:sz w:val="20"/>
                <w:szCs w:val="20"/>
              </w:rPr>
            </w:pPr>
            <w:r>
              <w:rPr>
                <w:rFonts w:ascii="Aptos" w:hAnsi="Aptos"/>
                <w:b/>
                <w:bCs/>
                <w:sz w:val="20"/>
                <w:szCs w:val="20"/>
              </w:rPr>
              <w:t>Introduction</w:t>
            </w:r>
          </w:p>
        </w:tc>
      </w:tr>
      <w:tr w:rsidR="00775282" w:rsidRPr="00735919" w14:paraId="1677786E" w14:textId="77777777" w:rsidTr="00E02D26">
        <w:trPr>
          <w:jc w:val="center"/>
        </w:trPr>
        <w:tc>
          <w:tcPr>
            <w:tcW w:w="0" w:type="auto"/>
            <w:vMerge w:val="restart"/>
            <w:vAlign w:val="center"/>
            <w:hideMark/>
          </w:tcPr>
          <w:p w14:paraId="384E9CC3" w14:textId="77777777" w:rsidR="00775282" w:rsidRPr="00735919" w:rsidRDefault="00775282" w:rsidP="00E02D26">
            <w:pPr>
              <w:spacing w:after="0" w:line="240" w:lineRule="auto"/>
              <w:rPr>
                <w:rFonts w:ascii="Aptos" w:hAnsi="Aptos"/>
                <w:sz w:val="20"/>
                <w:szCs w:val="20"/>
              </w:rPr>
            </w:pPr>
            <w:r w:rsidRPr="00735919">
              <w:rPr>
                <w:rFonts w:ascii="Aptos" w:hAnsi="Aptos"/>
                <w:b/>
                <w:bCs/>
                <w:sz w:val="20"/>
                <w:szCs w:val="20"/>
              </w:rPr>
              <w:t>Financials</w:t>
            </w:r>
          </w:p>
        </w:tc>
        <w:tc>
          <w:tcPr>
            <w:tcW w:w="0" w:type="auto"/>
            <w:vAlign w:val="center"/>
            <w:hideMark/>
          </w:tcPr>
          <w:p w14:paraId="3AE0BA09"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JPMorgan Chase &amp; Co.</w:t>
            </w:r>
          </w:p>
        </w:tc>
        <w:tc>
          <w:tcPr>
            <w:tcW w:w="0" w:type="auto"/>
            <w:vAlign w:val="center"/>
            <w:hideMark/>
          </w:tcPr>
          <w:p w14:paraId="5A4DB2E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JPM</w:t>
            </w:r>
          </w:p>
        </w:tc>
        <w:tc>
          <w:tcPr>
            <w:tcW w:w="0" w:type="auto"/>
            <w:vAlign w:val="center"/>
            <w:hideMark/>
          </w:tcPr>
          <w:p w14:paraId="71D51444"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Leading U.S. bank; large balance sheet sensitive to rate spreads.</w:t>
            </w:r>
          </w:p>
        </w:tc>
      </w:tr>
      <w:tr w:rsidR="00775282" w:rsidRPr="00735919" w14:paraId="1BAD6E4C" w14:textId="77777777" w:rsidTr="00E02D26">
        <w:trPr>
          <w:jc w:val="center"/>
        </w:trPr>
        <w:tc>
          <w:tcPr>
            <w:tcW w:w="0" w:type="auto"/>
            <w:vMerge/>
            <w:vAlign w:val="center"/>
            <w:hideMark/>
          </w:tcPr>
          <w:p w14:paraId="0053D407"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2AF9CFA2"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Bank of America Corp.</w:t>
            </w:r>
          </w:p>
        </w:tc>
        <w:tc>
          <w:tcPr>
            <w:tcW w:w="0" w:type="auto"/>
            <w:vAlign w:val="center"/>
            <w:hideMark/>
          </w:tcPr>
          <w:p w14:paraId="4C9F5172"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BAC</w:t>
            </w:r>
          </w:p>
        </w:tc>
        <w:tc>
          <w:tcPr>
            <w:tcW w:w="0" w:type="auto"/>
            <w:vAlign w:val="center"/>
            <w:hideMark/>
          </w:tcPr>
          <w:p w14:paraId="1704513E"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Retail and commercial exposure; strong net-interest income growth.</w:t>
            </w:r>
          </w:p>
        </w:tc>
      </w:tr>
      <w:tr w:rsidR="00775282" w:rsidRPr="00735919" w14:paraId="030F83E4" w14:textId="77777777" w:rsidTr="00E02D26">
        <w:trPr>
          <w:jc w:val="center"/>
        </w:trPr>
        <w:tc>
          <w:tcPr>
            <w:tcW w:w="0" w:type="auto"/>
            <w:vMerge/>
            <w:vAlign w:val="center"/>
            <w:hideMark/>
          </w:tcPr>
          <w:p w14:paraId="676D2AFB"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6216C31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Wells Fargo &amp; Co.</w:t>
            </w:r>
          </w:p>
        </w:tc>
        <w:tc>
          <w:tcPr>
            <w:tcW w:w="0" w:type="auto"/>
            <w:vAlign w:val="center"/>
            <w:hideMark/>
          </w:tcPr>
          <w:p w14:paraId="1E461B8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WFC</w:t>
            </w:r>
          </w:p>
        </w:tc>
        <w:tc>
          <w:tcPr>
            <w:tcW w:w="0" w:type="auto"/>
            <w:vAlign w:val="center"/>
            <w:hideMark/>
          </w:tcPr>
          <w:p w14:paraId="029AADF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Major mortgage lender; affected by consumer-rate changes.</w:t>
            </w:r>
          </w:p>
        </w:tc>
      </w:tr>
      <w:tr w:rsidR="00775282" w:rsidRPr="00735919" w14:paraId="24781156" w14:textId="77777777" w:rsidTr="00E02D26">
        <w:trPr>
          <w:jc w:val="center"/>
        </w:trPr>
        <w:tc>
          <w:tcPr>
            <w:tcW w:w="0" w:type="auto"/>
            <w:vMerge/>
            <w:vAlign w:val="center"/>
            <w:hideMark/>
          </w:tcPr>
          <w:p w14:paraId="0543820C"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09E0C40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Goldman Sachs Group Inc.</w:t>
            </w:r>
          </w:p>
        </w:tc>
        <w:tc>
          <w:tcPr>
            <w:tcW w:w="0" w:type="auto"/>
            <w:vAlign w:val="center"/>
            <w:hideMark/>
          </w:tcPr>
          <w:p w14:paraId="0ECCD8D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GS</w:t>
            </w:r>
          </w:p>
        </w:tc>
        <w:tc>
          <w:tcPr>
            <w:tcW w:w="0" w:type="auto"/>
            <w:vAlign w:val="center"/>
            <w:hideMark/>
          </w:tcPr>
          <w:p w14:paraId="63A74E6A"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Investment bank: earnings tied to market and policy cycles.</w:t>
            </w:r>
          </w:p>
        </w:tc>
      </w:tr>
      <w:tr w:rsidR="00775282" w:rsidRPr="00735919" w14:paraId="0AC75A7C" w14:textId="77777777" w:rsidTr="00E02D26">
        <w:trPr>
          <w:jc w:val="center"/>
        </w:trPr>
        <w:tc>
          <w:tcPr>
            <w:tcW w:w="0" w:type="auto"/>
            <w:vMerge/>
            <w:vAlign w:val="center"/>
            <w:hideMark/>
          </w:tcPr>
          <w:p w14:paraId="2D3DE3B7"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3A55A44B"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BlackRock Inc.</w:t>
            </w:r>
          </w:p>
        </w:tc>
        <w:tc>
          <w:tcPr>
            <w:tcW w:w="0" w:type="auto"/>
            <w:vAlign w:val="center"/>
            <w:hideMark/>
          </w:tcPr>
          <w:p w14:paraId="028CAFA9"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BLK</w:t>
            </w:r>
          </w:p>
        </w:tc>
        <w:tc>
          <w:tcPr>
            <w:tcW w:w="0" w:type="auto"/>
            <w:vAlign w:val="center"/>
            <w:hideMark/>
          </w:tcPr>
          <w:p w14:paraId="6A3B94C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Global asset manager; reflects investor flows responding to rate expectations.</w:t>
            </w:r>
          </w:p>
        </w:tc>
      </w:tr>
      <w:tr w:rsidR="00775282" w:rsidRPr="00735919" w14:paraId="5EE47ACD" w14:textId="77777777" w:rsidTr="00E02D26">
        <w:trPr>
          <w:jc w:val="center"/>
        </w:trPr>
        <w:tc>
          <w:tcPr>
            <w:tcW w:w="0" w:type="auto"/>
            <w:vMerge w:val="restart"/>
            <w:vAlign w:val="center"/>
            <w:hideMark/>
          </w:tcPr>
          <w:p w14:paraId="1CE6F667" w14:textId="77777777" w:rsidR="00775282" w:rsidRPr="00735919" w:rsidRDefault="00775282" w:rsidP="00E02D26">
            <w:pPr>
              <w:spacing w:after="0" w:line="240" w:lineRule="auto"/>
              <w:rPr>
                <w:rFonts w:ascii="Aptos" w:hAnsi="Aptos"/>
                <w:sz w:val="20"/>
                <w:szCs w:val="20"/>
              </w:rPr>
            </w:pPr>
            <w:r w:rsidRPr="00735919">
              <w:rPr>
                <w:rFonts w:ascii="Aptos" w:hAnsi="Aptos"/>
                <w:b/>
                <w:bCs/>
                <w:sz w:val="20"/>
                <w:szCs w:val="20"/>
              </w:rPr>
              <w:t>Real Estate</w:t>
            </w:r>
          </w:p>
        </w:tc>
        <w:tc>
          <w:tcPr>
            <w:tcW w:w="0" w:type="auto"/>
            <w:vAlign w:val="center"/>
            <w:hideMark/>
          </w:tcPr>
          <w:p w14:paraId="63879F7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Prologis Inc.</w:t>
            </w:r>
          </w:p>
        </w:tc>
        <w:tc>
          <w:tcPr>
            <w:tcW w:w="0" w:type="auto"/>
            <w:vAlign w:val="center"/>
            <w:hideMark/>
          </w:tcPr>
          <w:p w14:paraId="64FD6E19"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PLD</w:t>
            </w:r>
          </w:p>
        </w:tc>
        <w:tc>
          <w:tcPr>
            <w:tcW w:w="0" w:type="auto"/>
            <w:vAlign w:val="center"/>
            <w:hideMark/>
          </w:tcPr>
          <w:p w14:paraId="6975951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Industrial/logistics REIT; valuations linked to financing costs.</w:t>
            </w:r>
          </w:p>
        </w:tc>
      </w:tr>
      <w:tr w:rsidR="00775282" w:rsidRPr="00735919" w14:paraId="163C1DBE" w14:textId="77777777" w:rsidTr="00E02D26">
        <w:trPr>
          <w:jc w:val="center"/>
        </w:trPr>
        <w:tc>
          <w:tcPr>
            <w:tcW w:w="0" w:type="auto"/>
            <w:vMerge/>
            <w:vAlign w:val="center"/>
            <w:hideMark/>
          </w:tcPr>
          <w:p w14:paraId="7E47EB34"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281716D7"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American Tower Corp.</w:t>
            </w:r>
          </w:p>
        </w:tc>
        <w:tc>
          <w:tcPr>
            <w:tcW w:w="0" w:type="auto"/>
            <w:vAlign w:val="center"/>
            <w:hideMark/>
          </w:tcPr>
          <w:p w14:paraId="18D3EDC8"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AMT</w:t>
            </w:r>
          </w:p>
        </w:tc>
        <w:tc>
          <w:tcPr>
            <w:tcW w:w="0" w:type="auto"/>
            <w:vAlign w:val="center"/>
            <w:hideMark/>
          </w:tcPr>
          <w:p w14:paraId="1555C39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Telecom infrastructure REIT; capital-intensive, debt-sensitive model.</w:t>
            </w:r>
          </w:p>
        </w:tc>
      </w:tr>
      <w:tr w:rsidR="00775282" w:rsidRPr="00735919" w14:paraId="5B552552" w14:textId="77777777" w:rsidTr="00E02D26">
        <w:trPr>
          <w:jc w:val="center"/>
        </w:trPr>
        <w:tc>
          <w:tcPr>
            <w:tcW w:w="0" w:type="auto"/>
            <w:vMerge/>
            <w:vAlign w:val="center"/>
            <w:hideMark/>
          </w:tcPr>
          <w:p w14:paraId="1B4DBEDE"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10A01102"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Simon Property Group Inc.</w:t>
            </w:r>
          </w:p>
        </w:tc>
        <w:tc>
          <w:tcPr>
            <w:tcW w:w="0" w:type="auto"/>
            <w:vAlign w:val="center"/>
            <w:hideMark/>
          </w:tcPr>
          <w:p w14:paraId="67B942B4"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SPG</w:t>
            </w:r>
          </w:p>
        </w:tc>
        <w:tc>
          <w:tcPr>
            <w:tcW w:w="0" w:type="auto"/>
            <w:vAlign w:val="center"/>
            <w:hideMark/>
          </w:tcPr>
          <w:p w14:paraId="4940F072"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Retail REIT. Interest rates influence consumer activity and property values.</w:t>
            </w:r>
          </w:p>
        </w:tc>
      </w:tr>
      <w:tr w:rsidR="00775282" w:rsidRPr="00735919" w14:paraId="72339F88" w14:textId="77777777" w:rsidTr="00E02D26">
        <w:trPr>
          <w:jc w:val="center"/>
        </w:trPr>
        <w:tc>
          <w:tcPr>
            <w:tcW w:w="0" w:type="auto"/>
            <w:vMerge/>
            <w:vAlign w:val="center"/>
            <w:hideMark/>
          </w:tcPr>
          <w:p w14:paraId="6C85A7CF"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5E83950D"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AvalonBay Communities Inc.</w:t>
            </w:r>
          </w:p>
        </w:tc>
        <w:tc>
          <w:tcPr>
            <w:tcW w:w="0" w:type="auto"/>
            <w:vAlign w:val="center"/>
            <w:hideMark/>
          </w:tcPr>
          <w:p w14:paraId="78FA0071"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AVB</w:t>
            </w:r>
          </w:p>
        </w:tc>
        <w:tc>
          <w:tcPr>
            <w:tcW w:w="0" w:type="auto"/>
            <w:vAlign w:val="center"/>
            <w:hideMark/>
          </w:tcPr>
          <w:p w14:paraId="29EFDE65"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Residential REIT. Higher mortgage rates shift demand toward rentals.</w:t>
            </w:r>
          </w:p>
        </w:tc>
      </w:tr>
      <w:tr w:rsidR="00775282" w:rsidRPr="00735919" w14:paraId="3993790F" w14:textId="77777777" w:rsidTr="00E02D26">
        <w:trPr>
          <w:jc w:val="center"/>
        </w:trPr>
        <w:tc>
          <w:tcPr>
            <w:tcW w:w="0" w:type="auto"/>
            <w:vMerge/>
            <w:vAlign w:val="center"/>
            <w:hideMark/>
          </w:tcPr>
          <w:p w14:paraId="417C1240"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4FD5062E"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Realty Income Corp.</w:t>
            </w:r>
          </w:p>
        </w:tc>
        <w:tc>
          <w:tcPr>
            <w:tcW w:w="0" w:type="auto"/>
            <w:vAlign w:val="center"/>
            <w:hideMark/>
          </w:tcPr>
          <w:p w14:paraId="3A5ADFE3"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O</w:t>
            </w:r>
          </w:p>
        </w:tc>
        <w:tc>
          <w:tcPr>
            <w:tcW w:w="0" w:type="auto"/>
            <w:vAlign w:val="center"/>
            <w:hideMark/>
          </w:tcPr>
          <w:p w14:paraId="4B4BE4C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High-dividend REIT. Performance tracks Treasury yields closely.</w:t>
            </w:r>
          </w:p>
        </w:tc>
      </w:tr>
    </w:tbl>
    <w:p w14:paraId="52BBB226" w14:textId="77777777" w:rsidR="00775282" w:rsidRPr="00BA72F9" w:rsidRDefault="00775282" w:rsidP="00775282">
      <w:pPr>
        <w:ind w:left="360"/>
      </w:pPr>
    </w:p>
    <w:sectPr w:rsidR="00775282" w:rsidRPr="00BA72F9" w:rsidSect="00BC5A3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51339" w14:textId="77777777" w:rsidR="008A5254" w:rsidRDefault="008A5254" w:rsidP="00BC5A36">
      <w:pPr>
        <w:spacing w:after="0" w:line="240" w:lineRule="auto"/>
      </w:pPr>
      <w:r>
        <w:separator/>
      </w:r>
    </w:p>
  </w:endnote>
  <w:endnote w:type="continuationSeparator" w:id="0">
    <w:p w14:paraId="058DD5CF" w14:textId="77777777" w:rsidR="008A5254" w:rsidRDefault="008A5254" w:rsidP="00BC5A36">
      <w:pPr>
        <w:spacing w:after="0" w:line="240" w:lineRule="auto"/>
      </w:pPr>
      <w:r>
        <w:continuationSeparator/>
      </w:r>
    </w:p>
  </w:endnote>
  <w:endnote w:type="continuationNotice" w:id="1">
    <w:p w14:paraId="77BBD393" w14:textId="77777777" w:rsidR="008A5254" w:rsidRDefault="008A525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78B87" w14:textId="7C26B9CD" w:rsidR="00BC5A36" w:rsidRDefault="00BC5A36" w:rsidP="00BC5A36">
    <w:pPr>
      <w:pStyle w:val="Footer"/>
      <w:jc w:val="center"/>
    </w:pPr>
    <w:r>
      <w:rPr>
        <w:noProof/>
      </w:rPr>
      <w:drawing>
        <wp:inline distT="0" distB="0" distL="0" distR="0" wp14:anchorId="74B2F05F" wp14:editId="0FBC52F1">
          <wp:extent cx="274320" cy="205740"/>
          <wp:effectExtent l="0" t="0" r="0" b="0"/>
          <wp:docPr id="1423250224" name="Picture 1" descr="A logo with orange lett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74320" cy="205740"/>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92DA" w14:textId="23140F7B" w:rsidR="00BC5A36" w:rsidRDefault="00BC5A36" w:rsidP="00563C81">
    <w:pPr>
      <w:pStyle w:val="Footer"/>
      <w:jc w:val="center"/>
    </w:pPr>
    <w:r w:rsidRPr="00941D8E">
      <w:rPr>
        <w:noProof/>
      </w:rPr>
      <w:drawing>
        <wp:inline distT="0" distB="0" distL="0" distR="0" wp14:anchorId="53A29FCC" wp14:editId="1AC1EC37">
          <wp:extent cx="4572000" cy="403351"/>
          <wp:effectExtent l="0" t="0" r="0" b="3175"/>
          <wp:docPr id="70190574" name="Picture 1" descr="A black background with orang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7541" name="Picture 1" descr="A black background with orange letters&#10;&#10;Description automatically generated"/>
                  <pic:cNvPicPr/>
                </pic:nvPicPr>
                <pic:blipFill rotWithShape="1">
                  <a:blip r:embed="rId1"/>
                  <a:srcRect t="25759" b="23488"/>
                  <a:stretch/>
                </pic:blipFill>
                <pic:spPr bwMode="auto">
                  <a:xfrm>
                    <a:off x="0" y="0"/>
                    <a:ext cx="4572000" cy="403351"/>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89D5B" w14:textId="77777777" w:rsidR="008A5254" w:rsidRDefault="008A5254" w:rsidP="00BC5A36">
      <w:pPr>
        <w:spacing w:after="0" w:line="240" w:lineRule="auto"/>
      </w:pPr>
      <w:r>
        <w:separator/>
      </w:r>
    </w:p>
  </w:footnote>
  <w:footnote w:type="continuationSeparator" w:id="0">
    <w:p w14:paraId="13666875" w14:textId="77777777" w:rsidR="008A5254" w:rsidRDefault="008A5254" w:rsidP="00BC5A36">
      <w:pPr>
        <w:spacing w:after="0" w:line="240" w:lineRule="auto"/>
      </w:pPr>
      <w:r>
        <w:continuationSeparator/>
      </w:r>
    </w:p>
  </w:footnote>
  <w:footnote w:type="continuationNotice" w:id="1">
    <w:p w14:paraId="5F0012C9" w14:textId="77777777" w:rsidR="008A5254" w:rsidRDefault="008A525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A65C5"/>
    <w:multiLevelType w:val="hybridMultilevel"/>
    <w:tmpl w:val="ED8CD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5D5671"/>
    <w:multiLevelType w:val="hybridMultilevel"/>
    <w:tmpl w:val="8FF08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7417A"/>
    <w:multiLevelType w:val="hybridMultilevel"/>
    <w:tmpl w:val="4008F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EF5A4C"/>
    <w:multiLevelType w:val="hybridMultilevel"/>
    <w:tmpl w:val="C0A40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2273CC"/>
    <w:multiLevelType w:val="hybridMultilevel"/>
    <w:tmpl w:val="4948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6F23C1"/>
    <w:multiLevelType w:val="hybridMultilevel"/>
    <w:tmpl w:val="5902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565272"/>
    <w:multiLevelType w:val="hybridMultilevel"/>
    <w:tmpl w:val="2D8843E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15:restartNumberingAfterBreak="0">
    <w:nsid w:val="63481E5D"/>
    <w:multiLevelType w:val="hybridMultilevel"/>
    <w:tmpl w:val="13980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4F5303"/>
    <w:multiLevelType w:val="hybridMultilevel"/>
    <w:tmpl w:val="DF1A7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452CC1"/>
    <w:multiLevelType w:val="hybridMultilevel"/>
    <w:tmpl w:val="570E3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1F5A56"/>
    <w:multiLevelType w:val="hybridMultilevel"/>
    <w:tmpl w:val="18FAB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EA0CC8"/>
    <w:multiLevelType w:val="hybridMultilevel"/>
    <w:tmpl w:val="942E3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901558"/>
    <w:multiLevelType w:val="hybridMultilevel"/>
    <w:tmpl w:val="12EE8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9558718">
    <w:abstractNumId w:val="11"/>
  </w:num>
  <w:num w:numId="2" w16cid:durableId="724835801">
    <w:abstractNumId w:val="2"/>
  </w:num>
  <w:num w:numId="3" w16cid:durableId="1259099203">
    <w:abstractNumId w:val="4"/>
  </w:num>
  <w:num w:numId="4" w16cid:durableId="1685789257">
    <w:abstractNumId w:val="1"/>
  </w:num>
  <w:num w:numId="5" w16cid:durableId="1604190410">
    <w:abstractNumId w:val="12"/>
  </w:num>
  <w:num w:numId="6" w16cid:durableId="135612626">
    <w:abstractNumId w:val="9"/>
  </w:num>
  <w:num w:numId="7" w16cid:durableId="730544821">
    <w:abstractNumId w:val="8"/>
  </w:num>
  <w:num w:numId="8" w16cid:durableId="1604266265">
    <w:abstractNumId w:val="7"/>
  </w:num>
  <w:num w:numId="9" w16cid:durableId="876552847">
    <w:abstractNumId w:val="10"/>
  </w:num>
  <w:num w:numId="10" w16cid:durableId="1805540650">
    <w:abstractNumId w:val="6"/>
  </w:num>
  <w:num w:numId="11" w16cid:durableId="155997057">
    <w:abstractNumId w:val="3"/>
  </w:num>
  <w:num w:numId="12" w16cid:durableId="976107548">
    <w:abstractNumId w:val="5"/>
  </w:num>
  <w:num w:numId="13" w16cid:durableId="88430407">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8AB"/>
    <w:rsid w:val="0000139C"/>
    <w:rsid w:val="00002C57"/>
    <w:rsid w:val="00004034"/>
    <w:rsid w:val="00006505"/>
    <w:rsid w:val="00010E8F"/>
    <w:rsid w:val="0001352F"/>
    <w:rsid w:val="0001528A"/>
    <w:rsid w:val="000203E9"/>
    <w:rsid w:val="00021EC6"/>
    <w:rsid w:val="00022988"/>
    <w:rsid w:val="00024A96"/>
    <w:rsid w:val="00026D8E"/>
    <w:rsid w:val="00033478"/>
    <w:rsid w:val="00034B54"/>
    <w:rsid w:val="00036060"/>
    <w:rsid w:val="00037002"/>
    <w:rsid w:val="000374DF"/>
    <w:rsid w:val="00037D21"/>
    <w:rsid w:val="0004002D"/>
    <w:rsid w:val="00041283"/>
    <w:rsid w:val="00042732"/>
    <w:rsid w:val="0004394D"/>
    <w:rsid w:val="00043C74"/>
    <w:rsid w:val="00045408"/>
    <w:rsid w:val="00052064"/>
    <w:rsid w:val="00052F6B"/>
    <w:rsid w:val="0005411F"/>
    <w:rsid w:val="00055B17"/>
    <w:rsid w:val="00057A72"/>
    <w:rsid w:val="000611A3"/>
    <w:rsid w:val="000616C9"/>
    <w:rsid w:val="00061F42"/>
    <w:rsid w:val="00061F87"/>
    <w:rsid w:val="000647FE"/>
    <w:rsid w:val="00064A3B"/>
    <w:rsid w:val="000652C0"/>
    <w:rsid w:val="0006693B"/>
    <w:rsid w:val="00067170"/>
    <w:rsid w:val="00072120"/>
    <w:rsid w:val="00072AC3"/>
    <w:rsid w:val="00072B23"/>
    <w:rsid w:val="0007392B"/>
    <w:rsid w:val="00074DA8"/>
    <w:rsid w:val="00082DEB"/>
    <w:rsid w:val="000846CB"/>
    <w:rsid w:val="000846E3"/>
    <w:rsid w:val="00084A1E"/>
    <w:rsid w:val="00084B1F"/>
    <w:rsid w:val="00085ACF"/>
    <w:rsid w:val="000865DF"/>
    <w:rsid w:val="00086AD4"/>
    <w:rsid w:val="0009349A"/>
    <w:rsid w:val="00093921"/>
    <w:rsid w:val="0009481A"/>
    <w:rsid w:val="00094923"/>
    <w:rsid w:val="000951EE"/>
    <w:rsid w:val="0009637F"/>
    <w:rsid w:val="000A1260"/>
    <w:rsid w:val="000A1AFC"/>
    <w:rsid w:val="000A44DE"/>
    <w:rsid w:val="000A68B9"/>
    <w:rsid w:val="000A6F39"/>
    <w:rsid w:val="000A7FD2"/>
    <w:rsid w:val="000B25A8"/>
    <w:rsid w:val="000B2B23"/>
    <w:rsid w:val="000B33D9"/>
    <w:rsid w:val="000B39CF"/>
    <w:rsid w:val="000B4105"/>
    <w:rsid w:val="000B65E0"/>
    <w:rsid w:val="000B7165"/>
    <w:rsid w:val="000B73E0"/>
    <w:rsid w:val="000B78D1"/>
    <w:rsid w:val="000B7B41"/>
    <w:rsid w:val="000B7D55"/>
    <w:rsid w:val="000B7EE2"/>
    <w:rsid w:val="000C45DD"/>
    <w:rsid w:val="000C4B19"/>
    <w:rsid w:val="000C738E"/>
    <w:rsid w:val="000C75ED"/>
    <w:rsid w:val="000D08D8"/>
    <w:rsid w:val="000D0B7C"/>
    <w:rsid w:val="000D507C"/>
    <w:rsid w:val="000E2778"/>
    <w:rsid w:val="000E3215"/>
    <w:rsid w:val="000E3775"/>
    <w:rsid w:val="000E4E74"/>
    <w:rsid w:val="000E53DD"/>
    <w:rsid w:val="000E6FC5"/>
    <w:rsid w:val="000E7F9E"/>
    <w:rsid w:val="000F0E03"/>
    <w:rsid w:val="000F25D6"/>
    <w:rsid w:val="000F439F"/>
    <w:rsid w:val="000F5B78"/>
    <w:rsid w:val="000F7BA8"/>
    <w:rsid w:val="00101094"/>
    <w:rsid w:val="0010214D"/>
    <w:rsid w:val="001040C6"/>
    <w:rsid w:val="001046CD"/>
    <w:rsid w:val="00105489"/>
    <w:rsid w:val="00105F16"/>
    <w:rsid w:val="00106524"/>
    <w:rsid w:val="00111D36"/>
    <w:rsid w:val="00112908"/>
    <w:rsid w:val="001150F3"/>
    <w:rsid w:val="00116778"/>
    <w:rsid w:val="00117FAC"/>
    <w:rsid w:val="00120402"/>
    <w:rsid w:val="001207A6"/>
    <w:rsid w:val="0012449C"/>
    <w:rsid w:val="00124DF7"/>
    <w:rsid w:val="00131768"/>
    <w:rsid w:val="001317A1"/>
    <w:rsid w:val="00132409"/>
    <w:rsid w:val="00132D4C"/>
    <w:rsid w:val="001334DD"/>
    <w:rsid w:val="00134E36"/>
    <w:rsid w:val="00137D54"/>
    <w:rsid w:val="001402DF"/>
    <w:rsid w:val="00140DF5"/>
    <w:rsid w:val="00142305"/>
    <w:rsid w:val="00144142"/>
    <w:rsid w:val="00144A42"/>
    <w:rsid w:val="00145EFC"/>
    <w:rsid w:val="001464D5"/>
    <w:rsid w:val="00146905"/>
    <w:rsid w:val="00150332"/>
    <w:rsid w:val="001514C6"/>
    <w:rsid w:val="001546E1"/>
    <w:rsid w:val="001562AF"/>
    <w:rsid w:val="00156CEC"/>
    <w:rsid w:val="00160281"/>
    <w:rsid w:val="00160CAB"/>
    <w:rsid w:val="0016116D"/>
    <w:rsid w:val="0016237A"/>
    <w:rsid w:val="00164C05"/>
    <w:rsid w:val="00164DB6"/>
    <w:rsid w:val="00165643"/>
    <w:rsid w:val="001720ED"/>
    <w:rsid w:val="0017357D"/>
    <w:rsid w:val="00174DB2"/>
    <w:rsid w:val="0017516C"/>
    <w:rsid w:val="00182A66"/>
    <w:rsid w:val="001857D7"/>
    <w:rsid w:val="00185B5A"/>
    <w:rsid w:val="00187A94"/>
    <w:rsid w:val="001910B7"/>
    <w:rsid w:val="001910F9"/>
    <w:rsid w:val="00191CEA"/>
    <w:rsid w:val="00193227"/>
    <w:rsid w:val="001942A9"/>
    <w:rsid w:val="001956FF"/>
    <w:rsid w:val="00195E33"/>
    <w:rsid w:val="00197500"/>
    <w:rsid w:val="00197FA4"/>
    <w:rsid w:val="001A0AAF"/>
    <w:rsid w:val="001A121F"/>
    <w:rsid w:val="001A1782"/>
    <w:rsid w:val="001A1826"/>
    <w:rsid w:val="001A5E59"/>
    <w:rsid w:val="001B0722"/>
    <w:rsid w:val="001B4556"/>
    <w:rsid w:val="001B6480"/>
    <w:rsid w:val="001C1B86"/>
    <w:rsid w:val="001C1C84"/>
    <w:rsid w:val="001C1E7B"/>
    <w:rsid w:val="001C356F"/>
    <w:rsid w:val="001C459C"/>
    <w:rsid w:val="001C759C"/>
    <w:rsid w:val="001D552A"/>
    <w:rsid w:val="001D5D8D"/>
    <w:rsid w:val="001D613D"/>
    <w:rsid w:val="001D6D97"/>
    <w:rsid w:val="001E0AA6"/>
    <w:rsid w:val="001E0AAA"/>
    <w:rsid w:val="001E410E"/>
    <w:rsid w:val="001E65C1"/>
    <w:rsid w:val="001E721A"/>
    <w:rsid w:val="001E7D51"/>
    <w:rsid w:val="001F1235"/>
    <w:rsid w:val="001F1593"/>
    <w:rsid w:val="001F1A02"/>
    <w:rsid w:val="001F2F8E"/>
    <w:rsid w:val="002005AE"/>
    <w:rsid w:val="00201DD2"/>
    <w:rsid w:val="002020DE"/>
    <w:rsid w:val="00205258"/>
    <w:rsid w:val="00211EE0"/>
    <w:rsid w:val="0021285D"/>
    <w:rsid w:val="00212BEF"/>
    <w:rsid w:val="00216813"/>
    <w:rsid w:val="0022003D"/>
    <w:rsid w:val="00221DD9"/>
    <w:rsid w:val="00221FA2"/>
    <w:rsid w:val="00224060"/>
    <w:rsid w:val="00224E1D"/>
    <w:rsid w:val="002254ED"/>
    <w:rsid w:val="002259A5"/>
    <w:rsid w:val="00225D4D"/>
    <w:rsid w:val="00231999"/>
    <w:rsid w:val="00231B7B"/>
    <w:rsid w:val="0023399A"/>
    <w:rsid w:val="00233B86"/>
    <w:rsid w:val="00235AE9"/>
    <w:rsid w:val="002378B6"/>
    <w:rsid w:val="00241EC3"/>
    <w:rsid w:val="002424F1"/>
    <w:rsid w:val="0024283B"/>
    <w:rsid w:val="0024328F"/>
    <w:rsid w:val="00244622"/>
    <w:rsid w:val="002447AE"/>
    <w:rsid w:val="00246DD8"/>
    <w:rsid w:val="00247ABD"/>
    <w:rsid w:val="0025288C"/>
    <w:rsid w:val="00252A39"/>
    <w:rsid w:val="00252F0C"/>
    <w:rsid w:val="00252FAF"/>
    <w:rsid w:val="002539DB"/>
    <w:rsid w:val="00254EC8"/>
    <w:rsid w:val="00256E7A"/>
    <w:rsid w:val="00257AB0"/>
    <w:rsid w:val="0026096C"/>
    <w:rsid w:val="00261587"/>
    <w:rsid w:val="00262054"/>
    <w:rsid w:val="002628CE"/>
    <w:rsid w:val="002631E8"/>
    <w:rsid w:val="002637FE"/>
    <w:rsid w:val="00263CB5"/>
    <w:rsid w:val="00264B59"/>
    <w:rsid w:val="00265A49"/>
    <w:rsid w:val="002669E1"/>
    <w:rsid w:val="00272FAE"/>
    <w:rsid w:val="00273F5D"/>
    <w:rsid w:val="00274BCE"/>
    <w:rsid w:val="00275298"/>
    <w:rsid w:val="00280ACE"/>
    <w:rsid w:val="002828C5"/>
    <w:rsid w:val="002859B4"/>
    <w:rsid w:val="00287DB8"/>
    <w:rsid w:val="002947DF"/>
    <w:rsid w:val="00294B5F"/>
    <w:rsid w:val="002957AB"/>
    <w:rsid w:val="002A276A"/>
    <w:rsid w:val="002A2E2B"/>
    <w:rsid w:val="002A452D"/>
    <w:rsid w:val="002A4B00"/>
    <w:rsid w:val="002A55C5"/>
    <w:rsid w:val="002A5B71"/>
    <w:rsid w:val="002A608A"/>
    <w:rsid w:val="002A65B1"/>
    <w:rsid w:val="002A7AF3"/>
    <w:rsid w:val="002B0397"/>
    <w:rsid w:val="002B1221"/>
    <w:rsid w:val="002B1236"/>
    <w:rsid w:val="002B181D"/>
    <w:rsid w:val="002B3794"/>
    <w:rsid w:val="002C0368"/>
    <w:rsid w:val="002C4179"/>
    <w:rsid w:val="002C49C9"/>
    <w:rsid w:val="002C4AFF"/>
    <w:rsid w:val="002C4BF0"/>
    <w:rsid w:val="002C52E6"/>
    <w:rsid w:val="002C76F5"/>
    <w:rsid w:val="002D018C"/>
    <w:rsid w:val="002D1195"/>
    <w:rsid w:val="002D1F49"/>
    <w:rsid w:val="002D23FC"/>
    <w:rsid w:val="002D313D"/>
    <w:rsid w:val="002D3984"/>
    <w:rsid w:val="002D449C"/>
    <w:rsid w:val="002D599F"/>
    <w:rsid w:val="002D688F"/>
    <w:rsid w:val="002D7E39"/>
    <w:rsid w:val="002D7F6E"/>
    <w:rsid w:val="002E0C8C"/>
    <w:rsid w:val="002E0CDA"/>
    <w:rsid w:val="002E22BF"/>
    <w:rsid w:val="002E2850"/>
    <w:rsid w:val="002E342F"/>
    <w:rsid w:val="002E3840"/>
    <w:rsid w:val="002E3EE9"/>
    <w:rsid w:val="002E4741"/>
    <w:rsid w:val="002E5259"/>
    <w:rsid w:val="002E533F"/>
    <w:rsid w:val="002E621D"/>
    <w:rsid w:val="002E626D"/>
    <w:rsid w:val="002E763B"/>
    <w:rsid w:val="002F2232"/>
    <w:rsid w:val="002F2EAC"/>
    <w:rsid w:val="002F335A"/>
    <w:rsid w:val="002F43CA"/>
    <w:rsid w:val="002F58C8"/>
    <w:rsid w:val="003004F8"/>
    <w:rsid w:val="00301B00"/>
    <w:rsid w:val="00303BF5"/>
    <w:rsid w:val="00306F53"/>
    <w:rsid w:val="00307B0B"/>
    <w:rsid w:val="0031017B"/>
    <w:rsid w:val="00310E5E"/>
    <w:rsid w:val="003136F4"/>
    <w:rsid w:val="003140A0"/>
    <w:rsid w:val="003149A2"/>
    <w:rsid w:val="00315EBF"/>
    <w:rsid w:val="003161F9"/>
    <w:rsid w:val="00316AF4"/>
    <w:rsid w:val="00316F1D"/>
    <w:rsid w:val="00320FA1"/>
    <w:rsid w:val="00321316"/>
    <w:rsid w:val="003232F2"/>
    <w:rsid w:val="00324A9B"/>
    <w:rsid w:val="00324FDF"/>
    <w:rsid w:val="003313E4"/>
    <w:rsid w:val="00331FC8"/>
    <w:rsid w:val="00333AC3"/>
    <w:rsid w:val="00335605"/>
    <w:rsid w:val="00335E60"/>
    <w:rsid w:val="00340DF0"/>
    <w:rsid w:val="0034351D"/>
    <w:rsid w:val="00351E94"/>
    <w:rsid w:val="00353579"/>
    <w:rsid w:val="00357F02"/>
    <w:rsid w:val="00364866"/>
    <w:rsid w:val="00370183"/>
    <w:rsid w:val="003706D4"/>
    <w:rsid w:val="00371E72"/>
    <w:rsid w:val="00372A87"/>
    <w:rsid w:val="0038011E"/>
    <w:rsid w:val="00382138"/>
    <w:rsid w:val="0038371A"/>
    <w:rsid w:val="00384AA0"/>
    <w:rsid w:val="00385942"/>
    <w:rsid w:val="00386DB2"/>
    <w:rsid w:val="00386F12"/>
    <w:rsid w:val="00390702"/>
    <w:rsid w:val="00390A85"/>
    <w:rsid w:val="00392064"/>
    <w:rsid w:val="003938A1"/>
    <w:rsid w:val="003939B6"/>
    <w:rsid w:val="00393B70"/>
    <w:rsid w:val="003954EB"/>
    <w:rsid w:val="0039616B"/>
    <w:rsid w:val="00396F15"/>
    <w:rsid w:val="00397F1B"/>
    <w:rsid w:val="003A08A2"/>
    <w:rsid w:val="003A1B2A"/>
    <w:rsid w:val="003A1E3D"/>
    <w:rsid w:val="003A4149"/>
    <w:rsid w:val="003A4BE5"/>
    <w:rsid w:val="003A68DC"/>
    <w:rsid w:val="003A7B62"/>
    <w:rsid w:val="003B0C49"/>
    <w:rsid w:val="003B14CC"/>
    <w:rsid w:val="003B393D"/>
    <w:rsid w:val="003B3C72"/>
    <w:rsid w:val="003B4A4D"/>
    <w:rsid w:val="003B573C"/>
    <w:rsid w:val="003B7161"/>
    <w:rsid w:val="003C1896"/>
    <w:rsid w:val="003C1D50"/>
    <w:rsid w:val="003C2900"/>
    <w:rsid w:val="003C2E31"/>
    <w:rsid w:val="003C34CD"/>
    <w:rsid w:val="003C4011"/>
    <w:rsid w:val="003C58F2"/>
    <w:rsid w:val="003C75E8"/>
    <w:rsid w:val="003C7FE5"/>
    <w:rsid w:val="003D1EE4"/>
    <w:rsid w:val="003D271A"/>
    <w:rsid w:val="003D319C"/>
    <w:rsid w:val="003D5C61"/>
    <w:rsid w:val="003D777A"/>
    <w:rsid w:val="003E0032"/>
    <w:rsid w:val="003E02BB"/>
    <w:rsid w:val="003E362F"/>
    <w:rsid w:val="003E386E"/>
    <w:rsid w:val="003E3961"/>
    <w:rsid w:val="003E525D"/>
    <w:rsid w:val="003E7514"/>
    <w:rsid w:val="003F1A88"/>
    <w:rsid w:val="003F2A60"/>
    <w:rsid w:val="003F2A8A"/>
    <w:rsid w:val="003F4292"/>
    <w:rsid w:val="003F5005"/>
    <w:rsid w:val="003F5982"/>
    <w:rsid w:val="003F76A4"/>
    <w:rsid w:val="00401121"/>
    <w:rsid w:val="00402167"/>
    <w:rsid w:val="004031A9"/>
    <w:rsid w:val="004045BF"/>
    <w:rsid w:val="00404F14"/>
    <w:rsid w:val="00405A19"/>
    <w:rsid w:val="00406957"/>
    <w:rsid w:val="0040735B"/>
    <w:rsid w:val="00407461"/>
    <w:rsid w:val="004126C9"/>
    <w:rsid w:val="004139A1"/>
    <w:rsid w:val="00417847"/>
    <w:rsid w:val="00421988"/>
    <w:rsid w:val="0042202C"/>
    <w:rsid w:val="00422BB3"/>
    <w:rsid w:val="004237CB"/>
    <w:rsid w:val="00423BED"/>
    <w:rsid w:val="00424568"/>
    <w:rsid w:val="004258E2"/>
    <w:rsid w:val="00425A5E"/>
    <w:rsid w:val="0042620E"/>
    <w:rsid w:val="00426E01"/>
    <w:rsid w:val="0042796E"/>
    <w:rsid w:val="0043121F"/>
    <w:rsid w:val="00431C9B"/>
    <w:rsid w:val="00432E45"/>
    <w:rsid w:val="00435A14"/>
    <w:rsid w:val="004372CA"/>
    <w:rsid w:val="004409D1"/>
    <w:rsid w:val="00440A9F"/>
    <w:rsid w:val="00442480"/>
    <w:rsid w:val="00443720"/>
    <w:rsid w:val="004443E0"/>
    <w:rsid w:val="0045024C"/>
    <w:rsid w:val="00452C87"/>
    <w:rsid w:val="004532CB"/>
    <w:rsid w:val="00453EDD"/>
    <w:rsid w:val="0045461B"/>
    <w:rsid w:val="00454661"/>
    <w:rsid w:val="0045537A"/>
    <w:rsid w:val="00455F02"/>
    <w:rsid w:val="00461738"/>
    <w:rsid w:val="00464E5D"/>
    <w:rsid w:val="004650A5"/>
    <w:rsid w:val="00465B56"/>
    <w:rsid w:val="00465F29"/>
    <w:rsid w:val="00465FE4"/>
    <w:rsid w:val="0047145C"/>
    <w:rsid w:val="00471D3D"/>
    <w:rsid w:val="0047227F"/>
    <w:rsid w:val="004743B7"/>
    <w:rsid w:val="00476449"/>
    <w:rsid w:val="004768BF"/>
    <w:rsid w:val="00476D05"/>
    <w:rsid w:val="00480049"/>
    <w:rsid w:val="0048244B"/>
    <w:rsid w:val="0048302B"/>
    <w:rsid w:val="00485C11"/>
    <w:rsid w:val="004861E7"/>
    <w:rsid w:val="00486C90"/>
    <w:rsid w:val="00490ABA"/>
    <w:rsid w:val="00490EAB"/>
    <w:rsid w:val="00493461"/>
    <w:rsid w:val="004940BE"/>
    <w:rsid w:val="004958E9"/>
    <w:rsid w:val="00495CDE"/>
    <w:rsid w:val="004A50C1"/>
    <w:rsid w:val="004A6C31"/>
    <w:rsid w:val="004A743F"/>
    <w:rsid w:val="004B14F3"/>
    <w:rsid w:val="004B1BB0"/>
    <w:rsid w:val="004B3B99"/>
    <w:rsid w:val="004B59B7"/>
    <w:rsid w:val="004B62AA"/>
    <w:rsid w:val="004B66EB"/>
    <w:rsid w:val="004B6D22"/>
    <w:rsid w:val="004C1173"/>
    <w:rsid w:val="004C12C7"/>
    <w:rsid w:val="004C1706"/>
    <w:rsid w:val="004C3B51"/>
    <w:rsid w:val="004C3BC4"/>
    <w:rsid w:val="004C5CF7"/>
    <w:rsid w:val="004C61C7"/>
    <w:rsid w:val="004C75F7"/>
    <w:rsid w:val="004D107F"/>
    <w:rsid w:val="004D21CF"/>
    <w:rsid w:val="004D306C"/>
    <w:rsid w:val="004D39E8"/>
    <w:rsid w:val="004D49B6"/>
    <w:rsid w:val="004D73DF"/>
    <w:rsid w:val="004E1844"/>
    <w:rsid w:val="004E2FB7"/>
    <w:rsid w:val="004E43E1"/>
    <w:rsid w:val="004F017D"/>
    <w:rsid w:val="004F037E"/>
    <w:rsid w:val="004F0489"/>
    <w:rsid w:val="004F095C"/>
    <w:rsid w:val="004F4FAA"/>
    <w:rsid w:val="004F530B"/>
    <w:rsid w:val="004F535D"/>
    <w:rsid w:val="004F6B58"/>
    <w:rsid w:val="004F6DF6"/>
    <w:rsid w:val="004F6ED8"/>
    <w:rsid w:val="004F709E"/>
    <w:rsid w:val="00504AE7"/>
    <w:rsid w:val="0050505C"/>
    <w:rsid w:val="00505155"/>
    <w:rsid w:val="0050663F"/>
    <w:rsid w:val="005066EA"/>
    <w:rsid w:val="005077D0"/>
    <w:rsid w:val="00507979"/>
    <w:rsid w:val="00512946"/>
    <w:rsid w:val="0051366A"/>
    <w:rsid w:val="00514766"/>
    <w:rsid w:val="00514830"/>
    <w:rsid w:val="00514D05"/>
    <w:rsid w:val="00515EC7"/>
    <w:rsid w:val="00520CC2"/>
    <w:rsid w:val="00521ADF"/>
    <w:rsid w:val="00522D11"/>
    <w:rsid w:val="00525210"/>
    <w:rsid w:val="00532156"/>
    <w:rsid w:val="005328A6"/>
    <w:rsid w:val="00533670"/>
    <w:rsid w:val="005360AA"/>
    <w:rsid w:val="005367EF"/>
    <w:rsid w:val="00541AFF"/>
    <w:rsid w:val="00541B27"/>
    <w:rsid w:val="00541B96"/>
    <w:rsid w:val="00543049"/>
    <w:rsid w:val="005442B4"/>
    <w:rsid w:val="0054638C"/>
    <w:rsid w:val="0055190B"/>
    <w:rsid w:val="00551E11"/>
    <w:rsid w:val="0055239F"/>
    <w:rsid w:val="00554405"/>
    <w:rsid w:val="00555B32"/>
    <w:rsid w:val="0055665B"/>
    <w:rsid w:val="0056051D"/>
    <w:rsid w:val="00560959"/>
    <w:rsid w:val="00560B62"/>
    <w:rsid w:val="00563C81"/>
    <w:rsid w:val="005653FB"/>
    <w:rsid w:val="0056565D"/>
    <w:rsid w:val="0056658C"/>
    <w:rsid w:val="005668CC"/>
    <w:rsid w:val="0056753B"/>
    <w:rsid w:val="00567C22"/>
    <w:rsid w:val="00567D72"/>
    <w:rsid w:val="005704D3"/>
    <w:rsid w:val="00571A11"/>
    <w:rsid w:val="00572F3F"/>
    <w:rsid w:val="0057520A"/>
    <w:rsid w:val="00577F99"/>
    <w:rsid w:val="00577F9B"/>
    <w:rsid w:val="00580100"/>
    <w:rsid w:val="00582E1F"/>
    <w:rsid w:val="0058445E"/>
    <w:rsid w:val="00585927"/>
    <w:rsid w:val="00585C05"/>
    <w:rsid w:val="00590683"/>
    <w:rsid w:val="00590720"/>
    <w:rsid w:val="005908FF"/>
    <w:rsid w:val="0059172C"/>
    <w:rsid w:val="00592379"/>
    <w:rsid w:val="005938A2"/>
    <w:rsid w:val="0059558D"/>
    <w:rsid w:val="005A188C"/>
    <w:rsid w:val="005A237D"/>
    <w:rsid w:val="005A3B32"/>
    <w:rsid w:val="005A3BD5"/>
    <w:rsid w:val="005A3D0B"/>
    <w:rsid w:val="005A55D8"/>
    <w:rsid w:val="005A6BA3"/>
    <w:rsid w:val="005A7737"/>
    <w:rsid w:val="005B124D"/>
    <w:rsid w:val="005B2B13"/>
    <w:rsid w:val="005B471F"/>
    <w:rsid w:val="005B50CC"/>
    <w:rsid w:val="005B78F3"/>
    <w:rsid w:val="005C0F85"/>
    <w:rsid w:val="005C39C2"/>
    <w:rsid w:val="005C3C92"/>
    <w:rsid w:val="005C46FC"/>
    <w:rsid w:val="005C4E37"/>
    <w:rsid w:val="005C5816"/>
    <w:rsid w:val="005C6B7F"/>
    <w:rsid w:val="005C6E53"/>
    <w:rsid w:val="005C78F8"/>
    <w:rsid w:val="005D05F8"/>
    <w:rsid w:val="005D07CB"/>
    <w:rsid w:val="005D0DB3"/>
    <w:rsid w:val="005D23CE"/>
    <w:rsid w:val="005D477A"/>
    <w:rsid w:val="005D55BD"/>
    <w:rsid w:val="005D6522"/>
    <w:rsid w:val="005D6D92"/>
    <w:rsid w:val="005E1420"/>
    <w:rsid w:val="005E1B6D"/>
    <w:rsid w:val="005E27E8"/>
    <w:rsid w:val="005E40E4"/>
    <w:rsid w:val="005E6193"/>
    <w:rsid w:val="005E6B96"/>
    <w:rsid w:val="005E6BF7"/>
    <w:rsid w:val="005F169D"/>
    <w:rsid w:val="005F2135"/>
    <w:rsid w:val="005F2C41"/>
    <w:rsid w:val="005F3300"/>
    <w:rsid w:val="005F4819"/>
    <w:rsid w:val="005F4C4F"/>
    <w:rsid w:val="005F4E2C"/>
    <w:rsid w:val="005F6C39"/>
    <w:rsid w:val="005F6F9F"/>
    <w:rsid w:val="005F72EB"/>
    <w:rsid w:val="005F789E"/>
    <w:rsid w:val="006006FE"/>
    <w:rsid w:val="00601C55"/>
    <w:rsid w:val="00601E2B"/>
    <w:rsid w:val="00602E6B"/>
    <w:rsid w:val="006045E9"/>
    <w:rsid w:val="0060525E"/>
    <w:rsid w:val="00607A35"/>
    <w:rsid w:val="00610B0F"/>
    <w:rsid w:val="00610C7B"/>
    <w:rsid w:val="006110B1"/>
    <w:rsid w:val="00611657"/>
    <w:rsid w:val="00611FEE"/>
    <w:rsid w:val="0061245A"/>
    <w:rsid w:val="00614255"/>
    <w:rsid w:val="00614C19"/>
    <w:rsid w:val="00622233"/>
    <w:rsid w:val="00622557"/>
    <w:rsid w:val="00623464"/>
    <w:rsid w:val="00624D01"/>
    <w:rsid w:val="006328AA"/>
    <w:rsid w:val="0063355B"/>
    <w:rsid w:val="00637ED3"/>
    <w:rsid w:val="0064055E"/>
    <w:rsid w:val="0064139E"/>
    <w:rsid w:val="006441A8"/>
    <w:rsid w:val="00644AD9"/>
    <w:rsid w:val="00645543"/>
    <w:rsid w:val="00646F26"/>
    <w:rsid w:val="00647A6C"/>
    <w:rsid w:val="00650B63"/>
    <w:rsid w:val="00652EF5"/>
    <w:rsid w:val="00654371"/>
    <w:rsid w:val="006607C9"/>
    <w:rsid w:val="006612A5"/>
    <w:rsid w:val="00662C09"/>
    <w:rsid w:val="00663E97"/>
    <w:rsid w:val="006671FD"/>
    <w:rsid w:val="00670C7F"/>
    <w:rsid w:val="00670EDF"/>
    <w:rsid w:val="00672AF1"/>
    <w:rsid w:val="006757BF"/>
    <w:rsid w:val="0067767D"/>
    <w:rsid w:val="006802F7"/>
    <w:rsid w:val="00680574"/>
    <w:rsid w:val="0068345B"/>
    <w:rsid w:val="00685AB4"/>
    <w:rsid w:val="00686E09"/>
    <w:rsid w:val="00691ADC"/>
    <w:rsid w:val="00692118"/>
    <w:rsid w:val="00693B3C"/>
    <w:rsid w:val="006969E9"/>
    <w:rsid w:val="00696AE4"/>
    <w:rsid w:val="006A2739"/>
    <w:rsid w:val="006A3617"/>
    <w:rsid w:val="006A4DDF"/>
    <w:rsid w:val="006A7158"/>
    <w:rsid w:val="006B1169"/>
    <w:rsid w:val="006B2907"/>
    <w:rsid w:val="006B493C"/>
    <w:rsid w:val="006B727B"/>
    <w:rsid w:val="006B7E25"/>
    <w:rsid w:val="006C0963"/>
    <w:rsid w:val="006C134C"/>
    <w:rsid w:val="006C1CE0"/>
    <w:rsid w:val="006C278C"/>
    <w:rsid w:val="006C55B8"/>
    <w:rsid w:val="006C5764"/>
    <w:rsid w:val="006C6725"/>
    <w:rsid w:val="006C69F8"/>
    <w:rsid w:val="006D0149"/>
    <w:rsid w:val="006D0C34"/>
    <w:rsid w:val="006D17F6"/>
    <w:rsid w:val="006D26EC"/>
    <w:rsid w:val="006D59B7"/>
    <w:rsid w:val="006D7B00"/>
    <w:rsid w:val="006E064D"/>
    <w:rsid w:val="006E11E7"/>
    <w:rsid w:val="006E1823"/>
    <w:rsid w:val="006E5BDE"/>
    <w:rsid w:val="006E5CDD"/>
    <w:rsid w:val="006F0D72"/>
    <w:rsid w:val="006F0D79"/>
    <w:rsid w:val="006F117B"/>
    <w:rsid w:val="006F1534"/>
    <w:rsid w:val="006F2671"/>
    <w:rsid w:val="006F3C54"/>
    <w:rsid w:val="006F51EA"/>
    <w:rsid w:val="006F65FE"/>
    <w:rsid w:val="00702936"/>
    <w:rsid w:val="00702AB2"/>
    <w:rsid w:val="00706CE6"/>
    <w:rsid w:val="00707AA0"/>
    <w:rsid w:val="00710111"/>
    <w:rsid w:val="007128CC"/>
    <w:rsid w:val="00715B98"/>
    <w:rsid w:val="00716115"/>
    <w:rsid w:val="007169BF"/>
    <w:rsid w:val="00717237"/>
    <w:rsid w:val="00717F30"/>
    <w:rsid w:val="00720FFF"/>
    <w:rsid w:val="00722F7A"/>
    <w:rsid w:val="007254E7"/>
    <w:rsid w:val="00725CE8"/>
    <w:rsid w:val="00727F8C"/>
    <w:rsid w:val="00730F3B"/>
    <w:rsid w:val="007334BA"/>
    <w:rsid w:val="00735919"/>
    <w:rsid w:val="00735D97"/>
    <w:rsid w:val="00736DA2"/>
    <w:rsid w:val="0074028E"/>
    <w:rsid w:val="00743C54"/>
    <w:rsid w:val="00743FEE"/>
    <w:rsid w:val="00745521"/>
    <w:rsid w:val="007469A0"/>
    <w:rsid w:val="0074703D"/>
    <w:rsid w:val="0075002D"/>
    <w:rsid w:val="007503D2"/>
    <w:rsid w:val="00753107"/>
    <w:rsid w:val="007538F8"/>
    <w:rsid w:val="00753CCE"/>
    <w:rsid w:val="00755A38"/>
    <w:rsid w:val="00756A2C"/>
    <w:rsid w:val="00760895"/>
    <w:rsid w:val="00760B80"/>
    <w:rsid w:val="00760FA3"/>
    <w:rsid w:val="0076103E"/>
    <w:rsid w:val="0076157A"/>
    <w:rsid w:val="007625DC"/>
    <w:rsid w:val="00763388"/>
    <w:rsid w:val="00766A04"/>
    <w:rsid w:val="00766FFE"/>
    <w:rsid w:val="00770D2E"/>
    <w:rsid w:val="00770FAF"/>
    <w:rsid w:val="00771524"/>
    <w:rsid w:val="00772999"/>
    <w:rsid w:val="00772F81"/>
    <w:rsid w:val="00775282"/>
    <w:rsid w:val="00776253"/>
    <w:rsid w:val="00776402"/>
    <w:rsid w:val="00777087"/>
    <w:rsid w:val="007804F2"/>
    <w:rsid w:val="00783973"/>
    <w:rsid w:val="00786E22"/>
    <w:rsid w:val="00790737"/>
    <w:rsid w:val="00793F20"/>
    <w:rsid w:val="00794395"/>
    <w:rsid w:val="007956AC"/>
    <w:rsid w:val="00797724"/>
    <w:rsid w:val="007A0D9E"/>
    <w:rsid w:val="007A3A61"/>
    <w:rsid w:val="007A5E35"/>
    <w:rsid w:val="007A692D"/>
    <w:rsid w:val="007A6B30"/>
    <w:rsid w:val="007A7B48"/>
    <w:rsid w:val="007A7F9A"/>
    <w:rsid w:val="007B2425"/>
    <w:rsid w:val="007B38C5"/>
    <w:rsid w:val="007C11C4"/>
    <w:rsid w:val="007C32D3"/>
    <w:rsid w:val="007C4D22"/>
    <w:rsid w:val="007C70D8"/>
    <w:rsid w:val="007D059B"/>
    <w:rsid w:val="007D13AA"/>
    <w:rsid w:val="007D1F5F"/>
    <w:rsid w:val="007D3C91"/>
    <w:rsid w:val="007D3E83"/>
    <w:rsid w:val="007D7C1D"/>
    <w:rsid w:val="007E221B"/>
    <w:rsid w:val="007E2C11"/>
    <w:rsid w:val="007E3B7D"/>
    <w:rsid w:val="007E55A7"/>
    <w:rsid w:val="007E5CA9"/>
    <w:rsid w:val="007E616B"/>
    <w:rsid w:val="007F0BB0"/>
    <w:rsid w:val="007F16B5"/>
    <w:rsid w:val="007F1976"/>
    <w:rsid w:val="007F1C5B"/>
    <w:rsid w:val="007F2632"/>
    <w:rsid w:val="007F2CAA"/>
    <w:rsid w:val="007F621C"/>
    <w:rsid w:val="007F777A"/>
    <w:rsid w:val="007F784F"/>
    <w:rsid w:val="007F7938"/>
    <w:rsid w:val="007F7A78"/>
    <w:rsid w:val="00803150"/>
    <w:rsid w:val="008041C2"/>
    <w:rsid w:val="00804FFE"/>
    <w:rsid w:val="00805A40"/>
    <w:rsid w:val="00806771"/>
    <w:rsid w:val="00806CA3"/>
    <w:rsid w:val="00807F86"/>
    <w:rsid w:val="00811321"/>
    <w:rsid w:val="00811329"/>
    <w:rsid w:val="00811567"/>
    <w:rsid w:val="00811856"/>
    <w:rsid w:val="00811A5A"/>
    <w:rsid w:val="0081208B"/>
    <w:rsid w:val="00814124"/>
    <w:rsid w:val="008146FA"/>
    <w:rsid w:val="0081611D"/>
    <w:rsid w:val="0082078F"/>
    <w:rsid w:val="00822E65"/>
    <w:rsid w:val="008245EF"/>
    <w:rsid w:val="00824ED1"/>
    <w:rsid w:val="008264C9"/>
    <w:rsid w:val="00826723"/>
    <w:rsid w:val="00826B62"/>
    <w:rsid w:val="00826FF8"/>
    <w:rsid w:val="00830626"/>
    <w:rsid w:val="00831E70"/>
    <w:rsid w:val="008367FB"/>
    <w:rsid w:val="00836FDA"/>
    <w:rsid w:val="00837D25"/>
    <w:rsid w:val="008441C6"/>
    <w:rsid w:val="00844990"/>
    <w:rsid w:val="00844CC3"/>
    <w:rsid w:val="00846B7F"/>
    <w:rsid w:val="00846F6B"/>
    <w:rsid w:val="00847967"/>
    <w:rsid w:val="00852E9B"/>
    <w:rsid w:val="0085454E"/>
    <w:rsid w:val="00854E12"/>
    <w:rsid w:val="0085720A"/>
    <w:rsid w:val="008630CB"/>
    <w:rsid w:val="00865776"/>
    <w:rsid w:val="00865EFD"/>
    <w:rsid w:val="008668B9"/>
    <w:rsid w:val="00867176"/>
    <w:rsid w:val="0087118E"/>
    <w:rsid w:val="00871975"/>
    <w:rsid w:val="0087294A"/>
    <w:rsid w:val="0087346D"/>
    <w:rsid w:val="00876EF8"/>
    <w:rsid w:val="0087748D"/>
    <w:rsid w:val="00880598"/>
    <w:rsid w:val="008806BB"/>
    <w:rsid w:val="0088302E"/>
    <w:rsid w:val="008834F9"/>
    <w:rsid w:val="00885261"/>
    <w:rsid w:val="00885DD3"/>
    <w:rsid w:val="00886D7A"/>
    <w:rsid w:val="00887DD2"/>
    <w:rsid w:val="00891CD7"/>
    <w:rsid w:val="00892B57"/>
    <w:rsid w:val="008964BB"/>
    <w:rsid w:val="008A0EB6"/>
    <w:rsid w:val="008A1790"/>
    <w:rsid w:val="008A273E"/>
    <w:rsid w:val="008A354F"/>
    <w:rsid w:val="008A438A"/>
    <w:rsid w:val="008A5129"/>
    <w:rsid w:val="008A5254"/>
    <w:rsid w:val="008A69D0"/>
    <w:rsid w:val="008B0286"/>
    <w:rsid w:val="008B130C"/>
    <w:rsid w:val="008B2654"/>
    <w:rsid w:val="008B26D7"/>
    <w:rsid w:val="008B48CA"/>
    <w:rsid w:val="008B4902"/>
    <w:rsid w:val="008B4C93"/>
    <w:rsid w:val="008B6238"/>
    <w:rsid w:val="008B75A3"/>
    <w:rsid w:val="008B7DD3"/>
    <w:rsid w:val="008C14FB"/>
    <w:rsid w:val="008C2035"/>
    <w:rsid w:val="008C2AA8"/>
    <w:rsid w:val="008C2E40"/>
    <w:rsid w:val="008C547C"/>
    <w:rsid w:val="008C5B5E"/>
    <w:rsid w:val="008C6777"/>
    <w:rsid w:val="008C6A17"/>
    <w:rsid w:val="008C7292"/>
    <w:rsid w:val="008C7499"/>
    <w:rsid w:val="008D0646"/>
    <w:rsid w:val="008D53CD"/>
    <w:rsid w:val="008D5D27"/>
    <w:rsid w:val="008D5E04"/>
    <w:rsid w:val="008E0264"/>
    <w:rsid w:val="008E0DB2"/>
    <w:rsid w:val="008E132A"/>
    <w:rsid w:val="008F091A"/>
    <w:rsid w:val="008F2282"/>
    <w:rsid w:val="008F3F9A"/>
    <w:rsid w:val="008F4895"/>
    <w:rsid w:val="008F52B5"/>
    <w:rsid w:val="008F5B71"/>
    <w:rsid w:val="008F60E3"/>
    <w:rsid w:val="008F64D1"/>
    <w:rsid w:val="008F6BFF"/>
    <w:rsid w:val="00900710"/>
    <w:rsid w:val="0090098D"/>
    <w:rsid w:val="00900D0D"/>
    <w:rsid w:val="00900FD4"/>
    <w:rsid w:val="00902AF3"/>
    <w:rsid w:val="00903A69"/>
    <w:rsid w:val="009052FD"/>
    <w:rsid w:val="00910777"/>
    <w:rsid w:val="00911A09"/>
    <w:rsid w:val="00911B30"/>
    <w:rsid w:val="009126E4"/>
    <w:rsid w:val="00914568"/>
    <w:rsid w:val="009146FA"/>
    <w:rsid w:val="00916C47"/>
    <w:rsid w:val="0092066E"/>
    <w:rsid w:val="009215DC"/>
    <w:rsid w:val="00921DFA"/>
    <w:rsid w:val="00921F7D"/>
    <w:rsid w:val="00926022"/>
    <w:rsid w:val="00926350"/>
    <w:rsid w:val="009271F4"/>
    <w:rsid w:val="00927FEE"/>
    <w:rsid w:val="00930432"/>
    <w:rsid w:val="0093137C"/>
    <w:rsid w:val="00932DC8"/>
    <w:rsid w:val="009409FA"/>
    <w:rsid w:val="00941350"/>
    <w:rsid w:val="00942ED7"/>
    <w:rsid w:val="009434E4"/>
    <w:rsid w:val="00944972"/>
    <w:rsid w:val="00944A01"/>
    <w:rsid w:val="00944CC7"/>
    <w:rsid w:val="009460E0"/>
    <w:rsid w:val="009461C2"/>
    <w:rsid w:val="0094769C"/>
    <w:rsid w:val="00947861"/>
    <w:rsid w:val="00947C36"/>
    <w:rsid w:val="00950353"/>
    <w:rsid w:val="00954948"/>
    <w:rsid w:val="00954AB5"/>
    <w:rsid w:val="00955B0F"/>
    <w:rsid w:val="009577EB"/>
    <w:rsid w:val="009613A9"/>
    <w:rsid w:val="00961FE6"/>
    <w:rsid w:val="0096565A"/>
    <w:rsid w:val="009658AD"/>
    <w:rsid w:val="00965D4D"/>
    <w:rsid w:val="00967524"/>
    <w:rsid w:val="009708AB"/>
    <w:rsid w:val="00972063"/>
    <w:rsid w:val="00972D61"/>
    <w:rsid w:val="009777F6"/>
    <w:rsid w:val="00977AA7"/>
    <w:rsid w:val="00977ACE"/>
    <w:rsid w:val="00977D5A"/>
    <w:rsid w:val="009825BC"/>
    <w:rsid w:val="00982CED"/>
    <w:rsid w:val="009834C2"/>
    <w:rsid w:val="0098360D"/>
    <w:rsid w:val="00985E99"/>
    <w:rsid w:val="00987270"/>
    <w:rsid w:val="0098784C"/>
    <w:rsid w:val="00990B28"/>
    <w:rsid w:val="0099104E"/>
    <w:rsid w:val="00991C77"/>
    <w:rsid w:val="00995E8E"/>
    <w:rsid w:val="00996215"/>
    <w:rsid w:val="00996BB7"/>
    <w:rsid w:val="009A0833"/>
    <w:rsid w:val="009A12A6"/>
    <w:rsid w:val="009A1345"/>
    <w:rsid w:val="009A2BD9"/>
    <w:rsid w:val="009A3165"/>
    <w:rsid w:val="009A3671"/>
    <w:rsid w:val="009A3BEE"/>
    <w:rsid w:val="009A4676"/>
    <w:rsid w:val="009A6053"/>
    <w:rsid w:val="009B0F5D"/>
    <w:rsid w:val="009B1668"/>
    <w:rsid w:val="009B307D"/>
    <w:rsid w:val="009B6454"/>
    <w:rsid w:val="009B6F39"/>
    <w:rsid w:val="009C0111"/>
    <w:rsid w:val="009C15AD"/>
    <w:rsid w:val="009C290D"/>
    <w:rsid w:val="009C3F33"/>
    <w:rsid w:val="009C560A"/>
    <w:rsid w:val="009C5A81"/>
    <w:rsid w:val="009C5E64"/>
    <w:rsid w:val="009C60BB"/>
    <w:rsid w:val="009D0BE2"/>
    <w:rsid w:val="009D0C86"/>
    <w:rsid w:val="009D0D76"/>
    <w:rsid w:val="009D1C19"/>
    <w:rsid w:val="009D1E57"/>
    <w:rsid w:val="009D256F"/>
    <w:rsid w:val="009D3106"/>
    <w:rsid w:val="009D324B"/>
    <w:rsid w:val="009D3777"/>
    <w:rsid w:val="009D40D2"/>
    <w:rsid w:val="009D60DE"/>
    <w:rsid w:val="009D7EFE"/>
    <w:rsid w:val="009E0FAB"/>
    <w:rsid w:val="009E24BC"/>
    <w:rsid w:val="009E2B52"/>
    <w:rsid w:val="009E2B73"/>
    <w:rsid w:val="009E3B48"/>
    <w:rsid w:val="009E5EB6"/>
    <w:rsid w:val="009F1D7C"/>
    <w:rsid w:val="009F3738"/>
    <w:rsid w:val="009F4D8A"/>
    <w:rsid w:val="009F7967"/>
    <w:rsid w:val="00A01D49"/>
    <w:rsid w:val="00A02DBC"/>
    <w:rsid w:val="00A0349B"/>
    <w:rsid w:val="00A04170"/>
    <w:rsid w:val="00A052ED"/>
    <w:rsid w:val="00A05C39"/>
    <w:rsid w:val="00A06A0D"/>
    <w:rsid w:val="00A10EB6"/>
    <w:rsid w:val="00A123C4"/>
    <w:rsid w:val="00A131C7"/>
    <w:rsid w:val="00A13C19"/>
    <w:rsid w:val="00A13F0F"/>
    <w:rsid w:val="00A1529C"/>
    <w:rsid w:val="00A17054"/>
    <w:rsid w:val="00A20B26"/>
    <w:rsid w:val="00A21302"/>
    <w:rsid w:val="00A21982"/>
    <w:rsid w:val="00A24B99"/>
    <w:rsid w:val="00A265D2"/>
    <w:rsid w:val="00A27F54"/>
    <w:rsid w:val="00A30AE8"/>
    <w:rsid w:val="00A30D61"/>
    <w:rsid w:val="00A34009"/>
    <w:rsid w:val="00A43350"/>
    <w:rsid w:val="00A47651"/>
    <w:rsid w:val="00A47D1E"/>
    <w:rsid w:val="00A51774"/>
    <w:rsid w:val="00A52C04"/>
    <w:rsid w:val="00A540EB"/>
    <w:rsid w:val="00A5753F"/>
    <w:rsid w:val="00A60241"/>
    <w:rsid w:val="00A613E6"/>
    <w:rsid w:val="00A62938"/>
    <w:rsid w:val="00A64B48"/>
    <w:rsid w:val="00A64F16"/>
    <w:rsid w:val="00A67868"/>
    <w:rsid w:val="00A724DB"/>
    <w:rsid w:val="00A75D69"/>
    <w:rsid w:val="00A769C2"/>
    <w:rsid w:val="00A835A2"/>
    <w:rsid w:val="00A83912"/>
    <w:rsid w:val="00A840F5"/>
    <w:rsid w:val="00A84993"/>
    <w:rsid w:val="00A86175"/>
    <w:rsid w:val="00A86F04"/>
    <w:rsid w:val="00A874C1"/>
    <w:rsid w:val="00A87A5D"/>
    <w:rsid w:val="00A9153C"/>
    <w:rsid w:val="00A91F51"/>
    <w:rsid w:val="00A91FDD"/>
    <w:rsid w:val="00A922E8"/>
    <w:rsid w:val="00A9330F"/>
    <w:rsid w:val="00A93DB8"/>
    <w:rsid w:val="00A94207"/>
    <w:rsid w:val="00A95809"/>
    <w:rsid w:val="00A95A00"/>
    <w:rsid w:val="00A96C23"/>
    <w:rsid w:val="00A975AD"/>
    <w:rsid w:val="00A97AC2"/>
    <w:rsid w:val="00AA0285"/>
    <w:rsid w:val="00AA0473"/>
    <w:rsid w:val="00AA1147"/>
    <w:rsid w:val="00AA1ED9"/>
    <w:rsid w:val="00AA61AB"/>
    <w:rsid w:val="00AB17E7"/>
    <w:rsid w:val="00AB1EE0"/>
    <w:rsid w:val="00AB2952"/>
    <w:rsid w:val="00AB4F49"/>
    <w:rsid w:val="00AB59D0"/>
    <w:rsid w:val="00AB6DB8"/>
    <w:rsid w:val="00AB6F0F"/>
    <w:rsid w:val="00AB6FC2"/>
    <w:rsid w:val="00AB78FA"/>
    <w:rsid w:val="00AC0F40"/>
    <w:rsid w:val="00AC478F"/>
    <w:rsid w:val="00AD1B45"/>
    <w:rsid w:val="00AD2014"/>
    <w:rsid w:val="00AD240A"/>
    <w:rsid w:val="00AD292F"/>
    <w:rsid w:val="00AD29A2"/>
    <w:rsid w:val="00AD3779"/>
    <w:rsid w:val="00AD3E39"/>
    <w:rsid w:val="00AD44DA"/>
    <w:rsid w:val="00AE067B"/>
    <w:rsid w:val="00AE2EC1"/>
    <w:rsid w:val="00AE34F4"/>
    <w:rsid w:val="00AE5531"/>
    <w:rsid w:val="00AE6986"/>
    <w:rsid w:val="00AE69B5"/>
    <w:rsid w:val="00AE75F6"/>
    <w:rsid w:val="00AF1664"/>
    <w:rsid w:val="00AF2CAD"/>
    <w:rsid w:val="00AF3C7E"/>
    <w:rsid w:val="00AF3E36"/>
    <w:rsid w:val="00AF421C"/>
    <w:rsid w:val="00AF4247"/>
    <w:rsid w:val="00AF439B"/>
    <w:rsid w:val="00AF49EA"/>
    <w:rsid w:val="00AF4D87"/>
    <w:rsid w:val="00AF6B09"/>
    <w:rsid w:val="00AF6CA5"/>
    <w:rsid w:val="00AF7DC6"/>
    <w:rsid w:val="00B01015"/>
    <w:rsid w:val="00B019B2"/>
    <w:rsid w:val="00B03A51"/>
    <w:rsid w:val="00B075D7"/>
    <w:rsid w:val="00B07EBF"/>
    <w:rsid w:val="00B119FB"/>
    <w:rsid w:val="00B12012"/>
    <w:rsid w:val="00B13E3F"/>
    <w:rsid w:val="00B14499"/>
    <w:rsid w:val="00B17851"/>
    <w:rsid w:val="00B215CA"/>
    <w:rsid w:val="00B2180A"/>
    <w:rsid w:val="00B24F2E"/>
    <w:rsid w:val="00B25A5A"/>
    <w:rsid w:val="00B26624"/>
    <w:rsid w:val="00B26CC6"/>
    <w:rsid w:val="00B27070"/>
    <w:rsid w:val="00B32777"/>
    <w:rsid w:val="00B328AF"/>
    <w:rsid w:val="00B32C0A"/>
    <w:rsid w:val="00B3449B"/>
    <w:rsid w:val="00B34D58"/>
    <w:rsid w:val="00B356D9"/>
    <w:rsid w:val="00B358FB"/>
    <w:rsid w:val="00B36B73"/>
    <w:rsid w:val="00B37A43"/>
    <w:rsid w:val="00B4252A"/>
    <w:rsid w:val="00B43714"/>
    <w:rsid w:val="00B43AD4"/>
    <w:rsid w:val="00B43C51"/>
    <w:rsid w:val="00B45330"/>
    <w:rsid w:val="00B50A66"/>
    <w:rsid w:val="00B51EB2"/>
    <w:rsid w:val="00B52691"/>
    <w:rsid w:val="00B53386"/>
    <w:rsid w:val="00B53556"/>
    <w:rsid w:val="00B5574C"/>
    <w:rsid w:val="00B575C2"/>
    <w:rsid w:val="00B6289C"/>
    <w:rsid w:val="00B64164"/>
    <w:rsid w:val="00B6483E"/>
    <w:rsid w:val="00B72508"/>
    <w:rsid w:val="00B72ED2"/>
    <w:rsid w:val="00B7320E"/>
    <w:rsid w:val="00B73345"/>
    <w:rsid w:val="00B735AB"/>
    <w:rsid w:val="00B77300"/>
    <w:rsid w:val="00B77E55"/>
    <w:rsid w:val="00B811F1"/>
    <w:rsid w:val="00B8240E"/>
    <w:rsid w:val="00B83C74"/>
    <w:rsid w:val="00B843C6"/>
    <w:rsid w:val="00B868BB"/>
    <w:rsid w:val="00B909F6"/>
    <w:rsid w:val="00B90D01"/>
    <w:rsid w:val="00B917F9"/>
    <w:rsid w:val="00B946C5"/>
    <w:rsid w:val="00B96152"/>
    <w:rsid w:val="00B97CFE"/>
    <w:rsid w:val="00BA2122"/>
    <w:rsid w:val="00BA4F0B"/>
    <w:rsid w:val="00BA59B5"/>
    <w:rsid w:val="00BA5EB1"/>
    <w:rsid w:val="00BA65E9"/>
    <w:rsid w:val="00BA72F9"/>
    <w:rsid w:val="00BA73E3"/>
    <w:rsid w:val="00BA79CA"/>
    <w:rsid w:val="00BA7F71"/>
    <w:rsid w:val="00BB0126"/>
    <w:rsid w:val="00BB10D0"/>
    <w:rsid w:val="00BB1453"/>
    <w:rsid w:val="00BB42A7"/>
    <w:rsid w:val="00BB472C"/>
    <w:rsid w:val="00BB4B7A"/>
    <w:rsid w:val="00BB5AA8"/>
    <w:rsid w:val="00BB7781"/>
    <w:rsid w:val="00BB7944"/>
    <w:rsid w:val="00BC048F"/>
    <w:rsid w:val="00BC2CB1"/>
    <w:rsid w:val="00BC5216"/>
    <w:rsid w:val="00BC5A36"/>
    <w:rsid w:val="00BC78AD"/>
    <w:rsid w:val="00BD0278"/>
    <w:rsid w:val="00BD0638"/>
    <w:rsid w:val="00BD2EE9"/>
    <w:rsid w:val="00BD488B"/>
    <w:rsid w:val="00BD49C8"/>
    <w:rsid w:val="00BE047B"/>
    <w:rsid w:val="00BE20EB"/>
    <w:rsid w:val="00BE2435"/>
    <w:rsid w:val="00BE2E10"/>
    <w:rsid w:val="00BE2E9A"/>
    <w:rsid w:val="00BE4EA4"/>
    <w:rsid w:val="00BE5B2E"/>
    <w:rsid w:val="00BF3ACB"/>
    <w:rsid w:val="00BF4F26"/>
    <w:rsid w:val="00BF716D"/>
    <w:rsid w:val="00BF7430"/>
    <w:rsid w:val="00C01356"/>
    <w:rsid w:val="00C0168A"/>
    <w:rsid w:val="00C0212B"/>
    <w:rsid w:val="00C027B0"/>
    <w:rsid w:val="00C02CB4"/>
    <w:rsid w:val="00C03FE8"/>
    <w:rsid w:val="00C1001E"/>
    <w:rsid w:val="00C1280A"/>
    <w:rsid w:val="00C12DA0"/>
    <w:rsid w:val="00C159ED"/>
    <w:rsid w:val="00C1781A"/>
    <w:rsid w:val="00C211BA"/>
    <w:rsid w:val="00C21DC8"/>
    <w:rsid w:val="00C22252"/>
    <w:rsid w:val="00C23283"/>
    <w:rsid w:val="00C23AC9"/>
    <w:rsid w:val="00C257E9"/>
    <w:rsid w:val="00C2637C"/>
    <w:rsid w:val="00C30446"/>
    <w:rsid w:val="00C3110E"/>
    <w:rsid w:val="00C31113"/>
    <w:rsid w:val="00C31B90"/>
    <w:rsid w:val="00C32D4F"/>
    <w:rsid w:val="00C33764"/>
    <w:rsid w:val="00C346A9"/>
    <w:rsid w:val="00C351DD"/>
    <w:rsid w:val="00C376AD"/>
    <w:rsid w:val="00C415E6"/>
    <w:rsid w:val="00C41FAE"/>
    <w:rsid w:val="00C469E3"/>
    <w:rsid w:val="00C47837"/>
    <w:rsid w:val="00C47CDC"/>
    <w:rsid w:val="00C47FB6"/>
    <w:rsid w:val="00C507FA"/>
    <w:rsid w:val="00C50AEC"/>
    <w:rsid w:val="00C51F97"/>
    <w:rsid w:val="00C52509"/>
    <w:rsid w:val="00C52F6B"/>
    <w:rsid w:val="00C54639"/>
    <w:rsid w:val="00C56215"/>
    <w:rsid w:val="00C640C8"/>
    <w:rsid w:val="00C64D17"/>
    <w:rsid w:val="00C65FD8"/>
    <w:rsid w:val="00C66949"/>
    <w:rsid w:val="00C7379D"/>
    <w:rsid w:val="00C747CB"/>
    <w:rsid w:val="00C75251"/>
    <w:rsid w:val="00C75B75"/>
    <w:rsid w:val="00C769F0"/>
    <w:rsid w:val="00C76D4D"/>
    <w:rsid w:val="00C7786D"/>
    <w:rsid w:val="00C8142E"/>
    <w:rsid w:val="00C81574"/>
    <w:rsid w:val="00C8157D"/>
    <w:rsid w:val="00C833C0"/>
    <w:rsid w:val="00C83BA5"/>
    <w:rsid w:val="00C863ED"/>
    <w:rsid w:val="00C906BC"/>
    <w:rsid w:val="00C90755"/>
    <w:rsid w:val="00C93AFE"/>
    <w:rsid w:val="00C946CF"/>
    <w:rsid w:val="00C94C76"/>
    <w:rsid w:val="00C97DD4"/>
    <w:rsid w:val="00CA03EA"/>
    <w:rsid w:val="00CA0F22"/>
    <w:rsid w:val="00CA15ED"/>
    <w:rsid w:val="00CA339D"/>
    <w:rsid w:val="00CA3E79"/>
    <w:rsid w:val="00CA57FD"/>
    <w:rsid w:val="00CA6366"/>
    <w:rsid w:val="00CA7528"/>
    <w:rsid w:val="00CB616D"/>
    <w:rsid w:val="00CB6442"/>
    <w:rsid w:val="00CC2245"/>
    <w:rsid w:val="00CC4F9F"/>
    <w:rsid w:val="00CC58DF"/>
    <w:rsid w:val="00CC7F9F"/>
    <w:rsid w:val="00CD0738"/>
    <w:rsid w:val="00CD1E47"/>
    <w:rsid w:val="00CD2287"/>
    <w:rsid w:val="00CD2610"/>
    <w:rsid w:val="00CD411C"/>
    <w:rsid w:val="00CD540F"/>
    <w:rsid w:val="00CD7BE3"/>
    <w:rsid w:val="00CD7E49"/>
    <w:rsid w:val="00CE1B15"/>
    <w:rsid w:val="00CE648A"/>
    <w:rsid w:val="00CE64F2"/>
    <w:rsid w:val="00CE6603"/>
    <w:rsid w:val="00CE77CA"/>
    <w:rsid w:val="00CF31EB"/>
    <w:rsid w:val="00CF35DD"/>
    <w:rsid w:val="00CF49F8"/>
    <w:rsid w:val="00CF5412"/>
    <w:rsid w:val="00CF6241"/>
    <w:rsid w:val="00D001F3"/>
    <w:rsid w:val="00D0097A"/>
    <w:rsid w:val="00D00BF7"/>
    <w:rsid w:val="00D01818"/>
    <w:rsid w:val="00D02638"/>
    <w:rsid w:val="00D02FC3"/>
    <w:rsid w:val="00D03203"/>
    <w:rsid w:val="00D0344C"/>
    <w:rsid w:val="00D03694"/>
    <w:rsid w:val="00D048D8"/>
    <w:rsid w:val="00D10898"/>
    <w:rsid w:val="00D12AB1"/>
    <w:rsid w:val="00D131D0"/>
    <w:rsid w:val="00D13AB7"/>
    <w:rsid w:val="00D14142"/>
    <w:rsid w:val="00D20F64"/>
    <w:rsid w:val="00D2304F"/>
    <w:rsid w:val="00D23241"/>
    <w:rsid w:val="00D23FF0"/>
    <w:rsid w:val="00D249F8"/>
    <w:rsid w:val="00D2699A"/>
    <w:rsid w:val="00D270BD"/>
    <w:rsid w:val="00D2766D"/>
    <w:rsid w:val="00D27D58"/>
    <w:rsid w:val="00D3013D"/>
    <w:rsid w:val="00D31008"/>
    <w:rsid w:val="00D3115C"/>
    <w:rsid w:val="00D31ACB"/>
    <w:rsid w:val="00D37117"/>
    <w:rsid w:val="00D37EB8"/>
    <w:rsid w:val="00D40930"/>
    <w:rsid w:val="00D40E03"/>
    <w:rsid w:val="00D40FD2"/>
    <w:rsid w:val="00D42925"/>
    <w:rsid w:val="00D42CFA"/>
    <w:rsid w:val="00D4435A"/>
    <w:rsid w:val="00D44F4E"/>
    <w:rsid w:val="00D46A03"/>
    <w:rsid w:val="00D50053"/>
    <w:rsid w:val="00D50308"/>
    <w:rsid w:val="00D52108"/>
    <w:rsid w:val="00D525F0"/>
    <w:rsid w:val="00D53F93"/>
    <w:rsid w:val="00D542B6"/>
    <w:rsid w:val="00D57D7A"/>
    <w:rsid w:val="00D614E0"/>
    <w:rsid w:val="00D61838"/>
    <w:rsid w:val="00D6198C"/>
    <w:rsid w:val="00D62CA1"/>
    <w:rsid w:val="00D63512"/>
    <w:rsid w:val="00D6352A"/>
    <w:rsid w:val="00D637C3"/>
    <w:rsid w:val="00D64A75"/>
    <w:rsid w:val="00D655C1"/>
    <w:rsid w:val="00D675AB"/>
    <w:rsid w:val="00D75D42"/>
    <w:rsid w:val="00D80EDA"/>
    <w:rsid w:val="00D84118"/>
    <w:rsid w:val="00D86102"/>
    <w:rsid w:val="00D8631D"/>
    <w:rsid w:val="00D86BD4"/>
    <w:rsid w:val="00D87277"/>
    <w:rsid w:val="00D87763"/>
    <w:rsid w:val="00D904DF"/>
    <w:rsid w:val="00D91EAB"/>
    <w:rsid w:val="00D92FA3"/>
    <w:rsid w:val="00D94970"/>
    <w:rsid w:val="00D960E1"/>
    <w:rsid w:val="00DA0084"/>
    <w:rsid w:val="00DA3979"/>
    <w:rsid w:val="00DA60A9"/>
    <w:rsid w:val="00DA60AA"/>
    <w:rsid w:val="00DB0C41"/>
    <w:rsid w:val="00DB2FAF"/>
    <w:rsid w:val="00DB3574"/>
    <w:rsid w:val="00DB3E8D"/>
    <w:rsid w:val="00DB56F7"/>
    <w:rsid w:val="00DB6B13"/>
    <w:rsid w:val="00DB6B56"/>
    <w:rsid w:val="00DB6C61"/>
    <w:rsid w:val="00DC16E7"/>
    <w:rsid w:val="00DD0CC7"/>
    <w:rsid w:val="00DD3862"/>
    <w:rsid w:val="00DE0F2C"/>
    <w:rsid w:val="00DE2EF5"/>
    <w:rsid w:val="00DE3B05"/>
    <w:rsid w:val="00DE4A99"/>
    <w:rsid w:val="00DE5AB6"/>
    <w:rsid w:val="00DE6A68"/>
    <w:rsid w:val="00DF01C7"/>
    <w:rsid w:val="00DF0551"/>
    <w:rsid w:val="00DF3CE3"/>
    <w:rsid w:val="00DF4FF5"/>
    <w:rsid w:val="00DF6411"/>
    <w:rsid w:val="00E03A67"/>
    <w:rsid w:val="00E04585"/>
    <w:rsid w:val="00E04A4B"/>
    <w:rsid w:val="00E04C6A"/>
    <w:rsid w:val="00E06137"/>
    <w:rsid w:val="00E0683B"/>
    <w:rsid w:val="00E068FD"/>
    <w:rsid w:val="00E07EC0"/>
    <w:rsid w:val="00E10DAC"/>
    <w:rsid w:val="00E12D47"/>
    <w:rsid w:val="00E143A0"/>
    <w:rsid w:val="00E14662"/>
    <w:rsid w:val="00E14D91"/>
    <w:rsid w:val="00E16B4F"/>
    <w:rsid w:val="00E21DEF"/>
    <w:rsid w:val="00E21FA6"/>
    <w:rsid w:val="00E30530"/>
    <w:rsid w:val="00E314A1"/>
    <w:rsid w:val="00E3242F"/>
    <w:rsid w:val="00E3301D"/>
    <w:rsid w:val="00E33A75"/>
    <w:rsid w:val="00E347A2"/>
    <w:rsid w:val="00E35151"/>
    <w:rsid w:val="00E3543B"/>
    <w:rsid w:val="00E36ADC"/>
    <w:rsid w:val="00E36F8F"/>
    <w:rsid w:val="00E41103"/>
    <w:rsid w:val="00E41DD8"/>
    <w:rsid w:val="00E42878"/>
    <w:rsid w:val="00E43265"/>
    <w:rsid w:val="00E46012"/>
    <w:rsid w:val="00E46EC6"/>
    <w:rsid w:val="00E52971"/>
    <w:rsid w:val="00E534FD"/>
    <w:rsid w:val="00E55A50"/>
    <w:rsid w:val="00E64193"/>
    <w:rsid w:val="00E658F6"/>
    <w:rsid w:val="00E7160B"/>
    <w:rsid w:val="00E71E40"/>
    <w:rsid w:val="00E72544"/>
    <w:rsid w:val="00E72C41"/>
    <w:rsid w:val="00E74B72"/>
    <w:rsid w:val="00E74BC9"/>
    <w:rsid w:val="00E75040"/>
    <w:rsid w:val="00E769F9"/>
    <w:rsid w:val="00E773E8"/>
    <w:rsid w:val="00E811A4"/>
    <w:rsid w:val="00E8125E"/>
    <w:rsid w:val="00E85D63"/>
    <w:rsid w:val="00E8782E"/>
    <w:rsid w:val="00E87E7B"/>
    <w:rsid w:val="00E90509"/>
    <w:rsid w:val="00E916A9"/>
    <w:rsid w:val="00E9246B"/>
    <w:rsid w:val="00E9285C"/>
    <w:rsid w:val="00E94AFB"/>
    <w:rsid w:val="00E954A8"/>
    <w:rsid w:val="00E95813"/>
    <w:rsid w:val="00E96844"/>
    <w:rsid w:val="00E97115"/>
    <w:rsid w:val="00E97D73"/>
    <w:rsid w:val="00EA2E96"/>
    <w:rsid w:val="00EA4408"/>
    <w:rsid w:val="00EA4E46"/>
    <w:rsid w:val="00EA5ED0"/>
    <w:rsid w:val="00EA683C"/>
    <w:rsid w:val="00EA6BB0"/>
    <w:rsid w:val="00EA6C28"/>
    <w:rsid w:val="00EB0EF5"/>
    <w:rsid w:val="00EB4EBA"/>
    <w:rsid w:val="00EB7352"/>
    <w:rsid w:val="00EB7ED2"/>
    <w:rsid w:val="00EC160D"/>
    <w:rsid w:val="00EC5BBA"/>
    <w:rsid w:val="00EC757F"/>
    <w:rsid w:val="00EC7DC0"/>
    <w:rsid w:val="00ED0AA1"/>
    <w:rsid w:val="00ED1058"/>
    <w:rsid w:val="00ED1D2D"/>
    <w:rsid w:val="00ED262C"/>
    <w:rsid w:val="00ED30B7"/>
    <w:rsid w:val="00ED365B"/>
    <w:rsid w:val="00ED4AC9"/>
    <w:rsid w:val="00ED6413"/>
    <w:rsid w:val="00ED755D"/>
    <w:rsid w:val="00ED7DFA"/>
    <w:rsid w:val="00EE0870"/>
    <w:rsid w:val="00EE52B8"/>
    <w:rsid w:val="00EE671F"/>
    <w:rsid w:val="00EE67EE"/>
    <w:rsid w:val="00EF098B"/>
    <w:rsid w:val="00EF1643"/>
    <w:rsid w:val="00EF4DBF"/>
    <w:rsid w:val="00EF4E95"/>
    <w:rsid w:val="00EF7690"/>
    <w:rsid w:val="00F00297"/>
    <w:rsid w:val="00F0153B"/>
    <w:rsid w:val="00F01E65"/>
    <w:rsid w:val="00F0251F"/>
    <w:rsid w:val="00F02C08"/>
    <w:rsid w:val="00F06345"/>
    <w:rsid w:val="00F07706"/>
    <w:rsid w:val="00F11F55"/>
    <w:rsid w:val="00F11FC0"/>
    <w:rsid w:val="00F12324"/>
    <w:rsid w:val="00F12422"/>
    <w:rsid w:val="00F1349A"/>
    <w:rsid w:val="00F1457C"/>
    <w:rsid w:val="00F16A7A"/>
    <w:rsid w:val="00F2403C"/>
    <w:rsid w:val="00F24762"/>
    <w:rsid w:val="00F24AEE"/>
    <w:rsid w:val="00F24BEF"/>
    <w:rsid w:val="00F24DDF"/>
    <w:rsid w:val="00F255AA"/>
    <w:rsid w:val="00F3139C"/>
    <w:rsid w:val="00F32560"/>
    <w:rsid w:val="00F3276F"/>
    <w:rsid w:val="00F339F4"/>
    <w:rsid w:val="00F35F3F"/>
    <w:rsid w:val="00F36D6B"/>
    <w:rsid w:val="00F3743C"/>
    <w:rsid w:val="00F40653"/>
    <w:rsid w:val="00F42F50"/>
    <w:rsid w:val="00F446B1"/>
    <w:rsid w:val="00F458AD"/>
    <w:rsid w:val="00F511A5"/>
    <w:rsid w:val="00F513A7"/>
    <w:rsid w:val="00F51A2D"/>
    <w:rsid w:val="00F5268E"/>
    <w:rsid w:val="00F52E29"/>
    <w:rsid w:val="00F5354E"/>
    <w:rsid w:val="00F54980"/>
    <w:rsid w:val="00F54C09"/>
    <w:rsid w:val="00F559F0"/>
    <w:rsid w:val="00F5699B"/>
    <w:rsid w:val="00F61DC1"/>
    <w:rsid w:val="00F63EFE"/>
    <w:rsid w:val="00F641AC"/>
    <w:rsid w:val="00F65C28"/>
    <w:rsid w:val="00F67735"/>
    <w:rsid w:val="00F70136"/>
    <w:rsid w:val="00F7020D"/>
    <w:rsid w:val="00F70997"/>
    <w:rsid w:val="00F70B61"/>
    <w:rsid w:val="00F71FF8"/>
    <w:rsid w:val="00F72675"/>
    <w:rsid w:val="00F74779"/>
    <w:rsid w:val="00F766A2"/>
    <w:rsid w:val="00F7733D"/>
    <w:rsid w:val="00F77A67"/>
    <w:rsid w:val="00F80D7C"/>
    <w:rsid w:val="00F81A9D"/>
    <w:rsid w:val="00F83270"/>
    <w:rsid w:val="00F84C4B"/>
    <w:rsid w:val="00F8776B"/>
    <w:rsid w:val="00F90740"/>
    <w:rsid w:val="00F92E63"/>
    <w:rsid w:val="00F94C33"/>
    <w:rsid w:val="00F95A98"/>
    <w:rsid w:val="00F96CF3"/>
    <w:rsid w:val="00F973BD"/>
    <w:rsid w:val="00FA04B3"/>
    <w:rsid w:val="00FA0746"/>
    <w:rsid w:val="00FA1896"/>
    <w:rsid w:val="00FA202F"/>
    <w:rsid w:val="00FA2917"/>
    <w:rsid w:val="00FA3428"/>
    <w:rsid w:val="00FA3BED"/>
    <w:rsid w:val="00FA408C"/>
    <w:rsid w:val="00FA4F1D"/>
    <w:rsid w:val="00FA506E"/>
    <w:rsid w:val="00FA56F7"/>
    <w:rsid w:val="00FA620B"/>
    <w:rsid w:val="00FA6F94"/>
    <w:rsid w:val="00FB00E7"/>
    <w:rsid w:val="00FB01D9"/>
    <w:rsid w:val="00FB1506"/>
    <w:rsid w:val="00FB1625"/>
    <w:rsid w:val="00FB1C91"/>
    <w:rsid w:val="00FB3708"/>
    <w:rsid w:val="00FB3BDF"/>
    <w:rsid w:val="00FB5A9C"/>
    <w:rsid w:val="00FB6614"/>
    <w:rsid w:val="00FB6FAD"/>
    <w:rsid w:val="00FB727D"/>
    <w:rsid w:val="00FC0E8A"/>
    <w:rsid w:val="00FC5E12"/>
    <w:rsid w:val="00FD0153"/>
    <w:rsid w:val="00FD2E5B"/>
    <w:rsid w:val="00FD3453"/>
    <w:rsid w:val="00FD51EF"/>
    <w:rsid w:val="00FD5A6B"/>
    <w:rsid w:val="00FD6A8A"/>
    <w:rsid w:val="00FD6BDF"/>
    <w:rsid w:val="00FD6F86"/>
    <w:rsid w:val="00FD7380"/>
    <w:rsid w:val="00FE342E"/>
    <w:rsid w:val="00FE3520"/>
    <w:rsid w:val="00FE428E"/>
    <w:rsid w:val="00FE5FC5"/>
    <w:rsid w:val="00FE6636"/>
    <w:rsid w:val="00FE7A52"/>
    <w:rsid w:val="00FF1685"/>
    <w:rsid w:val="00FF3598"/>
    <w:rsid w:val="00FF4634"/>
    <w:rsid w:val="00FF51EA"/>
    <w:rsid w:val="00FF5476"/>
    <w:rsid w:val="00FF5673"/>
    <w:rsid w:val="00FF5CCA"/>
    <w:rsid w:val="00FF62AF"/>
    <w:rsid w:val="00FF657B"/>
    <w:rsid w:val="00FF6743"/>
    <w:rsid w:val="00FF6EA5"/>
    <w:rsid w:val="00FF789A"/>
    <w:rsid w:val="016C37CC"/>
    <w:rsid w:val="034660DC"/>
    <w:rsid w:val="0514FDFF"/>
    <w:rsid w:val="05B3D0BD"/>
    <w:rsid w:val="090D6C11"/>
    <w:rsid w:val="0A5C285A"/>
    <w:rsid w:val="0C46A52D"/>
    <w:rsid w:val="0CEE13A5"/>
    <w:rsid w:val="12E6383E"/>
    <w:rsid w:val="14DCF3ED"/>
    <w:rsid w:val="15E9A94C"/>
    <w:rsid w:val="1AA1800D"/>
    <w:rsid w:val="1B0265CF"/>
    <w:rsid w:val="1B615F14"/>
    <w:rsid w:val="1C88CF83"/>
    <w:rsid w:val="1E1161FF"/>
    <w:rsid w:val="1F4705F1"/>
    <w:rsid w:val="21BFF327"/>
    <w:rsid w:val="23B45BED"/>
    <w:rsid w:val="24003A64"/>
    <w:rsid w:val="2B141EEB"/>
    <w:rsid w:val="2D25565B"/>
    <w:rsid w:val="316C34D9"/>
    <w:rsid w:val="367F519B"/>
    <w:rsid w:val="394F370E"/>
    <w:rsid w:val="3A4AAAFF"/>
    <w:rsid w:val="3B69B607"/>
    <w:rsid w:val="4212BBE7"/>
    <w:rsid w:val="454C38F5"/>
    <w:rsid w:val="46E30114"/>
    <w:rsid w:val="491418D9"/>
    <w:rsid w:val="4B90F60D"/>
    <w:rsid w:val="4D5EA8DF"/>
    <w:rsid w:val="51C5165D"/>
    <w:rsid w:val="52BDD39D"/>
    <w:rsid w:val="5535D316"/>
    <w:rsid w:val="5979F2C0"/>
    <w:rsid w:val="5DE7D8E4"/>
    <w:rsid w:val="5E705CCC"/>
    <w:rsid w:val="5E9BD30E"/>
    <w:rsid w:val="6067CDF7"/>
    <w:rsid w:val="61DC762F"/>
    <w:rsid w:val="628E189F"/>
    <w:rsid w:val="6453B46D"/>
    <w:rsid w:val="66E0386C"/>
    <w:rsid w:val="7346EF61"/>
    <w:rsid w:val="734A50CC"/>
    <w:rsid w:val="761DBA73"/>
    <w:rsid w:val="763648BA"/>
    <w:rsid w:val="7870FC46"/>
    <w:rsid w:val="7E267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9F87D"/>
  <w15:chartTrackingRefBased/>
  <w15:docId w15:val="{AEC8B88F-81D4-4474-AD3B-89A0F95E9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921"/>
    <w:pPr>
      <w:spacing w:after="120" w:line="360" w:lineRule="auto"/>
    </w:pPr>
    <w:rPr>
      <w:sz w:val="22"/>
    </w:rPr>
  </w:style>
  <w:style w:type="paragraph" w:styleId="Heading1">
    <w:name w:val="heading 1"/>
    <w:basedOn w:val="Normal"/>
    <w:next w:val="Normal"/>
    <w:link w:val="Heading1Char"/>
    <w:uiPriority w:val="9"/>
    <w:qFormat/>
    <w:rsid w:val="00235AE9"/>
    <w:pPr>
      <w:keepNext/>
      <w:keepLines/>
      <w:spacing w:before="360" w:after="80"/>
      <w:outlineLvl w:val="0"/>
    </w:pPr>
    <w:rPr>
      <w:rFonts w:asciiTheme="majorHAnsi" w:eastAsiaTheme="majorEastAsia" w:hAnsiTheme="majorHAnsi" w:cstheme="majorBidi"/>
      <w:color w:val="215E99" w:themeColor="text2" w:themeTint="BF"/>
      <w:sz w:val="32"/>
      <w:szCs w:val="40"/>
    </w:rPr>
  </w:style>
  <w:style w:type="paragraph" w:styleId="Heading2">
    <w:name w:val="heading 2"/>
    <w:basedOn w:val="Normal"/>
    <w:next w:val="Normal"/>
    <w:link w:val="Heading2Char"/>
    <w:uiPriority w:val="9"/>
    <w:unhideWhenUsed/>
    <w:qFormat/>
    <w:rsid w:val="00811856"/>
    <w:pPr>
      <w:keepNext/>
      <w:keepLines/>
      <w:spacing w:before="160" w:after="80"/>
      <w:outlineLvl w:val="1"/>
    </w:pPr>
    <w:rPr>
      <w:rFonts w:asciiTheme="majorHAnsi" w:eastAsiaTheme="majorEastAsia" w:hAnsiTheme="majorHAnsi" w:cstheme="majorBidi"/>
      <w:color w:val="215E99" w:themeColor="text2" w:themeTint="BF"/>
      <w:sz w:val="28"/>
      <w:szCs w:val="32"/>
    </w:rPr>
  </w:style>
  <w:style w:type="paragraph" w:styleId="Heading3">
    <w:name w:val="heading 3"/>
    <w:basedOn w:val="Normal"/>
    <w:next w:val="Normal"/>
    <w:link w:val="Heading3Char"/>
    <w:uiPriority w:val="9"/>
    <w:unhideWhenUsed/>
    <w:qFormat/>
    <w:rsid w:val="009708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8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8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8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8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8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8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AE9"/>
    <w:rPr>
      <w:rFonts w:asciiTheme="majorHAnsi" w:eastAsiaTheme="majorEastAsia" w:hAnsiTheme="majorHAnsi" w:cstheme="majorBidi"/>
      <w:color w:val="215E99" w:themeColor="text2" w:themeTint="BF"/>
      <w:sz w:val="32"/>
      <w:szCs w:val="40"/>
    </w:rPr>
  </w:style>
  <w:style w:type="character" w:customStyle="1" w:styleId="Heading2Char">
    <w:name w:val="Heading 2 Char"/>
    <w:basedOn w:val="DefaultParagraphFont"/>
    <w:link w:val="Heading2"/>
    <w:uiPriority w:val="9"/>
    <w:rsid w:val="00811856"/>
    <w:rPr>
      <w:rFonts w:asciiTheme="majorHAnsi" w:eastAsiaTheme="majorEastAsia" w:hAnsiTheme="majorHAnsi" w:cstheme="majorBidi"/>
      <w:color w:val="215E99" w:themeColor="text2" w:themeTint="BF"/>
      <w:sz w:val="28"/>
      <w:szCs w:val="32"/>
    </w:rPr>
  </w:style>
  <w:style w:type="character" w:customStyle="1" w:styleId="Heading3Char">
    <w:name w:val="Heading 3 Char"/>
    <w:basedOn w:val="DefaultParagraphFont"/>
    <w:link w:val="Heading3"/>
    <w:uiPriority w:val="9"/>
    <w:rsid w:val="009708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8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8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8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8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8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8AB"/>
    <w:rPr>
      <w:rFonts w:eastAsiaTheme="majorEastAsia" w:cstheme="majorBidi"/>
      <w:color w:val="272727" w:themeColor="text1" w:themeTint="D8"/>
    </w:rPr>
  </w:style>
  <w:style w:type="paragraph" w:styleId="Title">
    <w:name w:val="Title"/>
    <w:basedOn w:val="Normal"/>
    <w:next w:val="Normal"/>
    <w:link w:val="TitleChar"/>
    <w:uiPriority w:val="10"/>
    <w:qFormat/>
    <w:rsid w:val="009708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8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8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8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8AB"/>
    <w:pPr>
      <w:spacing w:before="160"/>
      <w:jc w:val="center"/>
    </w:pPr>
    <w:rPr>
      <w:i/>
      <w:iCs/>
      <w:color w:val="404040" w:themeColor="text1" w:themeTint="BF"/>
    </w:rPr>
  </w:style>
  <w:style w:type="character" w:customStyle="1" w:styleId="QuoteChar">
    <w:name w:val="Quote Char"/>
    <w:basedOn w:val="DefaultParagraphFont"/>
    <w:link w:val="Quote"/>
    <w:uiPriority w:val="29"/>
    <w:rsid w:val="009708AB"/>
    <w:rPr>
      <w:i/>
      <w:iCs/>
      <w:color w:val="404040" w:themeColor="text1" w:themeTint="BF"/>
    </w:rPr>
  </w:style>
  <w:style w:type="paragraph" w:styleId="ListParagraph">
    <w:name w:val="List Paragraph"/>
    <w:basedOn w:val="Normal"/>
    <w:uiPriority w:val="34"/>
    <w:qFormat/>
    <w:rsid w:val="009708AB"/>
    <w:pPr>
      <w:ind w:left="720"/>
      <w:contextualSpacing/>
    </w:pPr>
  </w:style>
  <w:style w:type="character" w:styleId="IntenseEmphasis">
    <w:name w:val="Intense Emphasis"/>
    <w:basedOn w:val="DefaultParagraphFont"/>
    <w:uiPriority w:val="21"/>
    <w:qFormat/>
    <w:rsid w:val="009708AB"/>
    <w:rPr>
      <w:i/>
      <w:iCs/>
      <w:color w:val="0F4761" w:themeColor="accent1" w:themeShade="BF"/>
    </w:rPr>
  </w:style>
  <w:style w:type="paragraph" w:styleId="IntenseQuote">
    <w:name w:val="Intense Quote"/>
    <w:basedOn w:val="Normal"/>
    <w:next w:val="Normal"/>
    <w:link w:val="IntenseQuoteChar"/>
    <w:uiPriority w:val="30"/>
    <w:qFormat/>
    <w:rsid w:val="009708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8AB"/>
    <w:rPr>
      <w:i/>
      <w:iCs/>
      <w:color w:val="0F4761" w:themeColor="accent1" w:themeShade="BF"/>
    </w:rPr>
  </w:style>
  <w:style w:type="character" w:styleId="IntenseReference">
    <w:name w:val="Intense Reference"/>
    <w:basedOn w:val="DefaultParagraphFont"/>
    <w:uiPriority w:val="32"/>
    <w:qFormat/>
    <w:rsid w:val="009708AB"/>
    <w:rPr>
      <w:b/>
      <w:bCs/>
      <w:smallCaps/>
      <w:color w:val="0F4761" w:themeColor="accent1" w:themeShade="BF"/>
      <w:spacing w:val="5"/>
    </w:rPr>
  </w:style>
  <w:style w:type="paragraph" w:styleId="Header">
    <w:name w:val="header"/>
    <w:basedOn w:val="Normal"/>
    <w:link w:val="HeaderChar"/>
    <w:uiPriority w:val="99"/>
    <w:unhideWhenUsed/>
    <w:rsid w:val="00BC5A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5A36"/>
  </w:style>
  <w:style w:type="paragraph" w:styleId="Footer">
    <w:name w:val="footer"/>
    <w:basedOn w:val="Normal"/>
    <w:link w:val="FooterChar"/>
    <w:uiPriority w:val="99"/>
    <w:unhideWhenUsed/>
    <w:rsid w:val="00BC5A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5A36"/>
  </w:style>
  <w:style w:type="paragraph" w:customStyle="1" w:styleId="Title1">
    <w:name w:val="Title 1"/>
    <w:autoRedefine/>
    <w:qFormat/>
    <w:rsid w:val="00D40930"/>
    <w:pPr>
      <w:spacing w:after="240" w:line="240" w:lineRule="auto"/>
      <w:jc w:val="center"/>
    </w:pPr>
    <w:rPr>
      <w:rFonts w:asciiTheme="majorHAnsi" w:eastAsiaTheme="majorEastAsia" w:hAnsiTheme="majorHAnsi" w:cstheme="minorHAnsi"/>
      <w:b/>
      <w:bCs/>
      <w:color w:val="215E99" w:themeColor="text2" w:themeTint="BF"/>
      <w:kern w:val="0"/>
      <w:sz w:val="44"/>
      <w:szCs w:val="56"/>
      <w14:ligatures w14:val="none"/>
    </w:rPr>
  </w:style>
  <w:style w:type="paragraph" w:customStyle="1" w:styleId="Subtitle1">
    <w:name w:val="Subtitle 1"/>
    <w:basedOn w:val="NoSpacing"/>
    <w:autoRedefine/>
    <w:qFormat/>
    <w:rsid w:val="00AA1147"/>
    <w:pPr>
      <w:spacing w:before="120" w:after="240"/>
      <w:ind w:left="-1350"/>
      <w:jc w:val="center"/>
    </w:pPr>
    <w:rPr>
      <w:rFonts w:asciiTheme="majorHAnsi" w:eastAsiaTheme="majorEastAsia" w:hAnsiTheme="majorHAnsi" w:cstheme="majorBidi"/>
      <w:noProof/>
      <w:color w:val="215E99" w:themeColor="text2" w:themeTint="BF"/>
      <w:kern w:val="0"/>
      <w:sz w:val="28"/>
      <w:szCs w:val="44"/>
      <w:lang w:val="en-ZA"/>
      <w14:ligatures w14:val="none"/>
    </w:rPr>
  </w:style>
  <w:style w:type="character" w:styleId="Strong">
    <w:name w:val="Strong"/>
    <w:basedOn w:val="DefaultParagraphFont"/>
    <w:uiPriority w:val="22"/>
    <w:qFormat/>
    <w:rsid w:val="00BC5A36"/>
    <w:rPr>
      <w:b/>
      <w:bCs/>
    </w:rPr>
  </w:style>
  <w:style w:type="paragraph" w:styleId="NoSpacing">
    <w:name w:val="No Spacing"/>
    <w:uiPriority w:val="1"/>
    <w:qFormat/>
    <w:rsid w:val="00BC5A36"/>
    <w:pPr>
      <w:spacing w:after="0" w:line="240" w:lineRule="auto"/>
    </w:pPr>
  </w:style>
  <w:style w:type="paragraph" w:styleId="TOCHeading">
    <w:name w:val="TOC Heading"/>
    <w:basedOn w:val="Heading1"/>
    <w:next w:val="Normal"/>
    <w:uiPriority w:val="39"/>
    <w:unhideWhenUsed/>
    <w:qFormat/>
    <w:rsid w:val="00306F53"/>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E74B72"/>
    <w:pPr>
      <w:spacing w:before="120" w:after="0"/>
    </w:pPr>
    <w:rPr>
      <w:b/>
      <w:bCs/>
      <w:i/>
      <w:iCs/>
      <w:sz w:val="24"/>
    </w:rPr>
  </w:style>
  <w:style w:type="character" w:styleId="Hyperlink">
    <w:name w:val="Hyperlink"/>
    <w:basedOn w:val="DefaultParagraphFont"/>
    <w:uiPriority w:val="99"/>
    <w:unhideWhenUsed/>
    <w:rsid w:val="00306F53"/>
    <w:rPr>
      <w:color w:val="467886" w:themeColor="hyperlink"/>
      <w:u w:val="single"/>
    </w:rPr>
  </w:style>
  <w:style w:type="paragraph" w:styleId="TOC2">
    <w:name w:val="toc 2"/>
    <w:basedOn w:val="Normal"/>
    <w:next w:val="Normal"/>
    <w:autoRedefine/>
    <w:uiPriority w:val="39"/>
    <w:unhideWhenUsed/>
    <w:rsid w:val="00306F53"/>
    <w:pPr>
      <w:spacing w:before="120" w:after="0"/>
      <w:ind w:left="220"/>
    </w:pPr>
    <w:rPr>
      <w:b/>
      <w:bCs/>
      <w:szCs w:val="22"/>
    </w:rPr>
  </w:style>
  <w:style w:type="paragraph" w:styleId="TOC3">
    <w:name w:val="toc 3"/>
    <w:basedOn w:val="Normal"/>
    <w:next w:val="Normal"/>
    <w:autoRedefine/>
    <w:uiPriority w:val="39"/>
    <w:unhideWhenUsed/>
    <w:rsid w:val="00306F53"/>
    <w:pPr>
      <w:spacing w:after="0"/>
      <w:ind w:left="440"/>
    </w:pPr>
    <w:rPr>
      <w:sz w:val="20"/>
      <w:szCs w:val="20"/>
    </w:rPr>
  </w:style>
  <w:style w:type="paragraph" w:styleId="TOC4">
    <w:name w:val="toc 4"/>
    <w:basedOn w:val="Normal"/>
    <w:next w:val="Normal"/>
    <w:autoRedefine/>
    <w:uiPriority w:val="39"/>
    <w:semiHidden/>
    <w:unhideWhenUsed/>
    <w:rsid w:val="00306F53"/>
    <w:pPr>
      <w:spacing w:after="0"/>
      <w:ind w:left="660"/>
    </w:pPr>
    <w:rPr>
      <w:sz w:val="20"/>
      <w:szCs w:val="20"/>
    </w:rPr>
  </w:style>
  <w:style w:type="paragraph" w:styleId="TOC5">
    <w:name w:val="toc 5"/>
    <w:basedOn w:val="Normal"/>
    <w:next w:val="Normal"/>
    <w:autoRedefine/>
    <w:uiPriority w:val="39"/>
    <w:semiHidden/>
    <w:unhideWhenUsed/>
    <w:rsid w:val="00306F53"/>
    <w:pPr>
      <w:spacing w:after="0"/>
      <w:ind w:left="880"/>
    </w:pPr>
    <w:rPr>
      <w:sz w:val="20"/>
      <w:szCs w:val="20"/>
    </w:rPr>
  </w:style>
  <w:style w:type="paragraph" w:styleId="TOC6">
    <w:name w:val="toc 6"/>
    <w:basedOn w:val="Normal"/>
    <w:next w:val="Normal"/>
    <w:autoRedefine/>
    <w:uiPriority w:val="39"/>
    <w:semiHidden/>
    <w:unhideWhenUsed/>
    <w:rsid w:val="00306F53"/>
    <w:pPr>
      <w:spacing w:after="0"/>
      <w:ind w:left="1100"/>
    </w:pPr>
    <w:rPr>
      <w:sz w:val="20"/>
      <w:szCs w:val="20"/>
    </w:rPr>
  </w:style>
  <w:style w:type="paragraph" w:styleId="TOC7">
    <w:name w:val="toc 7"/>
    <w:basedOn w:val="Normal"/>
    <w:next w:val="Normal"/>
    <w:autoRedefine/>
    <w:uiPriority w:val="39"/>
    <w:semiHidden/>
    <w:unhideWhenUsed/>
    <w:rsid w:val="00306F53"/>
    <w:pPr>
      <w:spacing w:after="0"/>
      <w:ind w:left="1320"/>
    </w:pPr>
    <w:rPr>
      <w:sz w:val="20"/>
      <w:szCs w:val="20"/>
    </w:rPr>
  </w:style>
  <w:style w:type="paragraph" w:styleId="TOC8">
    <w:name w:val="toc 8"/>
    <w:basedOn w:val="Normal"/>
    <w:next w:val="Normal"/>
    <w:autoRedefine/>
    <w:uiPriority w:val="39"/>
    <w:semiHidden/>
    <w:unhideWhenUsed/>
    <w:rsid w:val="00306F53"/>
    <w:pPr>
      <w:spacing w:after="0"/>
      <w:ind w:left="1540"/>
    </w:pPr>
    <w:rPr>
      <w:sz w:val="20"/>
      <w:szCs w:val="20"/>
    </w:rPr>
  </w:style>
  <w:style w:type="paragraph" w:styleId="TOC9">
    <w:name w:val="toc 9"/>
    <w:basedOn w:val="Normal"/>
    <w:next w:val="Normal"/>
    <w:autoRedefine/>
    <w:uiPriority w:val="39"/>
    <w:semiHidden/>
    <w:unhideWhenUsed/>
    <w:rsid w:val="00306F53"/>
    <w:pPr>
      <w:spacing w:after="0"/>
      <w:ind w:left="1760"/>
    </w:pPr>
    <w:rPr>
      <w:sz w:val="20"/>
      <w:szCs w:val="20"/>
    </w:rPr>
  </w:style>
  <w:style w:type="paragraph" w:styleId="NormalWeb">
    <w:name w:val="Normal (Web)"/>
    <w:basedOn w:val="Normal"/>
    <w:uiPriority w:val="99"/>
    <w:unhideWhenUsed/>
    <w:rsid w:val="00280ACE"/>
    <w:pPr>
      <w:spacing w:before="100" w:beforeAutospacing="1" w:after="100" w:afterAutospacing="1" w:line="240" w:lineRule="auto"/>
    </w:pPr>
    <w:rPr>
      <w:rFonts w:ascii="Times New Roman" w:eastAsia="Times New Roman" w:hAnsi="Times New Roman" w:cs="Times New Roman"/>
      <w:kern w:val="0"/>
      <w:sz w:val="24"/>
      <w14:ligatures w14:val="none"/>
    </w:rPr>
  </w:style>
  <w:style w:type="table" w:styleId="TableGrid">
    <w:name w:val="Table Grid"/>
    <w:basedOn w:val="TableNormal"/>
    <w:uiPriority w:val="39"/>
    <w:rsid w:val="00EB7352"/>
    <w:pPr>
      <w:spacing w:after="0" w:line="240" w:lineRule="auto"/>
    </w:pPr>
    <w:tblPr>
      <w:tblInd w:w="0" w:type="nil"/>
      <w:tblCellMar>
        <w:left w:w="0" w:type="dxa"/>
        <w:right w:w="0" w:type="dxa"/>
      </w:tblCellMar>
    </w:tblPr>
  </w:style>
  <w:style w:type="character" w:styleId="UnresolvedMention">
    <w:name w:val="Unresolved Mention"/>
    <w:basedOn w:val="DefaultParagraphFont"/>
    <w:uiPriority w:val="99"/>
    <w:semiHidden/>
    <w:unhideWhenUsed/>
    <w:rsid w:val="00FA2917"/>
    <w:rPr>
      <w:color w:val="605E5C"/>
      <w:shd w:val="clear" w:color="auto" w:fill="E1DFDD"/>
    </w:rPr>
  </w:style>
  <w:style w:type="character" w:styleId="PlaceholderText">
    <w:name w:val="Placeholder Text"/>
    <w:basedOn w:val="DefaultParagraphFont"/>
    <w:uiPriority w:val="99"/>
    <w:semiHidden/>
    <w:rsid w:val="00D525F0"/>
    <w:rPr>
      <w:color w:val="666666"/>
    </w:rPr>
  </w:style>
  <w:style w:type="character" w:customStyle="1" w:styleId="mord">
    <w:name w:val="mord"/>
    <w:basedOn w:val="DefaultParagraphFont"/>
    <w:rsid w:val="00D525F0"/>
  </w:style>
  <w:style w:type="character" w:customStyle="1" w:styleId="vlist-s">
    <w:name w:val="vlist-s"/>
    <w:basedOn w:val="DefaultParagraphFont"/>
    <w:rsid w:val="00D525F0"/>
  </w:style>
  <w:style w:type="character" w:customStyle="1" w:styleId="mopen">
    <w:name w:val="mopen"/>
    <w:basedOn w:val="DefaultParagraphFont"/>
    <w:rsid w:val="00D525F0"/>
  </w:style>
  <w:style w:type="character" w:customStyle="1" w:styleId="mclose">
    <w:name w:val="mclose"/>
    <w:basedOn w:val="DefaultParagraphFont"/>
    <w:rsid w:val="00D525F0"/>
  </w:style>
  <w:style w:type="character" w:customStyle="1" w:styleId="mrel">
    <w:name w:val="mrel"/>
    <w:basedOn w:val="DefaultParagraphFont"/>
    <w:rsid w:val="00D525F0"/>
  </w:style>
  <w:style w:type="character" w:customStyle="1" w:styleId="mop">
    <w:name w:val="mop"/>
    <w:basedOn w:val="DefaultParagraphFont"/>
    <w:rsid w:val="00D525F0"/>
  </w:style>
  <w:style w:type="character" w:customStyle="1" w:styleId="mbin">
    <w:name w:val="mbin"/>
    <w:basedOn w:val="DefaultParagraphFont"/>
    <w:rsid w:val="00E0683B"/>
  </w:style>
  <w:style w:type="character" w:customStyle="1" w:styleId="delimsizing">
    <w:name w:val="delimsizing"/>
    <w:basedOn w:val="DefaultParagraphFont"/>
    <w:rsid w:val="003C2E31"/>
  </w:style>
  <w:style w:type="character" w:styleId="Emphasis">
    <w:name w:val="Emphasis"/>
    <w:basedOn w:val="DefaultParagraphFont"/>
    <w:uiPriority w:val="20"/>
    <w:qFormat/>
    <w:rsid w:val="000E3775"/>
    <w:rPr>
      <w:i/>
      <w:iCs/>
    </w:rPr>
  </w:style>
  <w:style w:type="character" w:customStyle="1" w:styleId="mpunct">
    <w:name w:val="mpunct"/>
    <w:basedOn w:val="DefaultParagraphFont"/>
    <w:rsid w:val="000360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3928">
      <w:bodyDiv w:val="1"/>
      <w:marLeft w:val="0"/>
      <w:marRight w:val="0"/>
      <w:marTop w:val="0"/>
      <w:marBottom w:val="0"/>
      <w:divBdr>
        <w:top w:val="none" w:sz="0" w:space="0" w:color="auto"/>
        <w:left w:val="none" w:sz="0" w:space="0" w:color="auto"/>
        <w:bottom w:val="none" w:sz="0" w:space="0" w:color="auto"/>
        <w:right w:val="none" w:sz="0" w:space="0" w:color="auto"/>
      </w:divBdr>
    </w:div>
    <w:div w:id="38166215">
      <w:bodyDiv w:val="1"/>
      <w:marLeft w:val="0"/>
      <w:marRight w:val="0"/>
      <w:marTop w:val="0"/>
      <w:marBottom w:val="0"/>
      <w:divBdr>
        <w:top w:val="none" w:sz="0" w:space="0" w:color="auto"/>
        <w:left w:val="none" w:sz="0" w:space="0" w:color="auto"/>
        <w:bottom w:val="none" w:sz="0" w:space="0" w:color="auto"/>
        <w:right w:val="none" w:sz="0" w:space="0" w:color="auto"/>
      </w:divBdr>
      <w:divsChild>
        <w:div w:id="1852448984">
          <w:marLeft w:val="0"/>
          <w:marRight w:val="0"/>
          <w:marTop w:val="0"/>
          <w:marBottom w:val="0"/>
          <w:divBdr>
            <w:top w:val="none" w:sz="0" w:space="0" w:color="auto"/>
            <w:left w:val="none" w:sz="0" w:space="0" w:color="auto"/>
            <w:bottom w:val="none" w:sz="0" w:space="0" w:color="auto"/>
            <w:right w:val="none" w:sz="0" w:space="0" w:color="auto"/>
          </w:divBdr>
          <w:divsChild>
            <w:div w:id="152366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3248">
      <w:bodyDiv w:val="1"/>
      <w:marLeft w:val="0"/>
      <w:marRight w:val="0"/>
      <w:marTop w:val="0"/>
      <w:marBottom w:val="0"/>
      <w:divBdr>
        <w:top w:val="none" w:sz="0" w:space="0" w:color="auto"/>
        <w:left w:val="none" w:sz="0" w:space="0" w:color="auto"/>
        <w:bottom w:val="none" w:sz="0" w:space="0" w:color="auto"/>
        <w:right w:val="none" w:sz="0" w:space="0" w:color="auto"/>
      </w:divBdr>
    </w:div>
    <w:div w:id="91049356">
      <w:bodyDiv w:val="1"/>
      <w:marLeft w:val="0"/>
      <w:marRight w:val="0"/>
      <w:marTop w:val="0"/>
      <w:marBottom w:val="0"/>
      <w:divBdr>
        <w:top w:val="none" w:sz="0" w:space="0" w:color="auto"/>
        <w:left w:val="none" w:sz="0" w:space="0" w:color="auto"/>
        <w:bottom w:val="none" w:sz="0" w:space="0" w:color="auto"/>
        <w:right w:val="none" w:sz="0" w:space="0" w:color="auto"/>
      </w:divBdr>
    </w:div>
    <w:div w:id="162670283">
      <w:bodyDiv w:val="1"/>
      <w:marLeft w:val="0"/>
      <w:marRight w:val="0"/>
      <w:marTop w:val="0"/>
      <w:marBottom w:val="0"/>
      <w:divBdr>
        <w:top w:val="none" w:sz="0" w:space="0" w:color="auto"/>
        <w:left w:val="none" w:sz="0" w:space="0" w:color="auto"/>
        <w:bottom w:val="none" w:sz="0" w:space="0" w:color="auto"/>
        <w:right w:val="none" w:sz="0" w:space="0" w:color="auto"/>
      </w:divBdr>
    </w:div>
    <w:div w:id="218325416">
      <w:bodyDiv w:val="1"/>
      <w:marLeft w:val="0"/>
      <w:marRight w:val="0"/>
      <w:marTop w:val="0"/>
      <w:marBottom w:val="0"/>
      <w:divBdr>
        <w:top w:val="none" w:sz="0" w:space="0" w:color="auto"/>
        <w:left w:val="none" w:sz="0" w:space="0" w:color="auto"/>
        <w:bottom w:val="none" w:sz="0" w:space="0" w:color="auto"/>
        <w:right w:val="none" w:sz="0" w:space="0" w:color="auto"/>
      </w:divBdr>
      <w:divsChild>
        <w:div w:id="80417337">
          <w:marLeft w:val="274"/>
          <w:marRight w:val="0"/>
          <w:marTop w:val="0"/>
          <w:marBottom w:val="120"/>
          <w:divBdr>
            <w:top w:val="none" w:sz="0" w:space="0" w:color="auto"/>
            <w:left w:val="none" w:sz="0" w:space="0" w:color="auto"/>
            <w:bottom w:val="none" w:sz="0" w:space="0" w:color="auto"/>
            <w:right w:val="none" w:sz="0" w:space="0" w:color="auto"/>
          </w:divBdr>
        </w:div>
        <w:div w:id="341015235">
          <w:marLeft w:val="274"/>
          <w:marRight w:val="0"/>
          <w:marTop w:val="0"/>
          <w:marBottom w:val="120"/>
          <w:divBdr>
            <w:top w:val="none" w:sz="0" w:space="0" w:color="auto"/>
            <w:left w:val="none" w:sz="0" w:space="0" w:color="auto"/>
            <w:bottom w:val="none" w:sz="0" w:space="0" w:color="auto"/>
            <w:right w:val="none" w:sz="0" w:space="0" w:color="auto"/>
          </w:divBdr>
        </w:div>
        <w:div w:id="1105617513">
          <w:marLeft w:val="274"/>
          <w:marRight w:val="0"/>
          <w:marTop w:val="0"/>
          <w:marBottom w:val="120"/>
          <w:divBdr>
            <w:top w:val="none" w:sz="0" w:space="0" w:color="auto"/>
            <w:left w:val="none" w:sz="0" w:space="0" w:color="auto"/>
            <w:bottom w:val="none" w:sz="0" w:space="0" w:color="auto"/>
            <w:right w:val="none" w:sz="0" w:space="0" w:color="auto"/>
          </w:divBdr>
        </w:div>
        <w:div w:id="1302534840">
          <w:marLeft w:val="274"/>
          <w:marRight w:val="0"/>
          <w:marTop w:val="0"/>
          <w:marBottom w:val="120"/>
          <w:divBdr>
            <w:top w:val="none" w:sz="0" w:space="0" w:color="auto"/>
            <w:left w:val="none" w:sz="0" w:space="0" w:color="auto"/>
            <w:bottom w:val="none" w:sz="0" w:space="0" w:color="auto"/>
            <w:right w:val="none" w:sz="0" w:space="0" w:color="auto"/>
          </w:divBdr>
        </w:div>
        <w:div w:id="1981684662">
          <w:marLeft w:val="274"/>
          <w:marRight w:val="0"/>
          <w:marTop w:val="0"/>
          <w:marBottom w:val="120"/>
          <w:divBdr>
            <w:top w:val="none" w:sz="0" w:space="0" w:color="auto"/>
            <w:left w:val="none" w:sz="0" w:space="0" w:color="auto"/>
            <w:bottom w:val="none" w:sz="0" w:space="0" w:color="auto"/>
            <w:right w:val="none" w:sz="0" w:space="0" w:color="auto"/>
          </w:divBdr>
        </w:div>
      </w:divsChild>
    </w:div>
    <w:div w:id="273367354">
      <w:bodyDiv w:val="1"/>
      <w:marLeft w:val="0"/>
      <w:marRight w:val="0"/>
      <w:marTop w:val="0"/>
      <w:marBottom w:val="0"/>
      <w:divBdr>
        <w:top w:val="none" w:sz="0" w:space="0" w:color="auto"/>
        <w:left w:val="none" w:sz="0" w:space="0" w:color="auto"/>
        <w:bottom w:val="none" w:sz="0" w:space="0" w:color="auto"/>
        <w:right w:val="none" w:sz="0" w:space="0" w:color="auto"/>
      </w:divBdr>
    </w:div>
    <w:div w:id="290475631">
      <w:bodyDiv w:val="1"/>
      <w:marLeft w:val="0"/>
      <w:marRight w:val="0"/>
      <w:marTop w:val="0"/>
      <w:marBottom w:val="0"/>
      <w:divBdr>
        <w:top w:val="none" w:sz="0" w:space="0" w:color="auto"/>
        <w:left w:val="none" w:sz="0" w:space="0" w:color="auto"/>
        <w:bottom w:val="none" w:sz="0" w:space="0" w:color="auto"/>
        <w:right w:val="none" w:sz="0" w:space="0" w:color="auto"/>
      </w:divBdr>
    </w:div>
    <w:div w:id="408306974">
      <w:bodyDiv w:val="1"/>
      <w:marLeft w:val="0"/>
      <w:marRight w:val="0"/>
      <w:marTop w:val="0"/>
      <w:marBottom w:val="0"/>
      <w:divBdr>
        <w:top w:val="none" w:sz="0" w:space="0" w:color="auto"/>
        <w:left w:val="none" w:sz="0" w:space="0" w:color="auto"/>
        <w:bottom w:val="none" w:sz="0" w:space="0" w:color="auto"/>
        <w:right w:val="none" w:sz="0" w:space="0" w:color="auto"/>
      </w:divBdr>
    </w:div>
    <w:div w:id="408579348">
      <w:bodyDiv w:val="1"/>
      <w:marLeft w:val="0"/>
      <w:marRight w:val="0"/>
      <w:marTop w:val="0"/>
      <w:marBottom w:val="0"/>
      <w:divBdr>
        <w:top w:val="none" w:sz="0" w:space="0" w:color="auto"/>
        <w:left w:val="none" w:sz="0" w:space="0" w:color="auto"/>
        <w:bottom w:val="none" w:sz="0" w:space="0" w:color="auto"/>
        <w:right w:val="none" w:sz="0" w:space="0" w:color="auto"/>
      </w:divBdr>
    </w:div>
    <w:div w:id="413206602">
      <w:bodyDiv w:val="1"/>
      <w:marLeft w:val="0"/>
      <w:marRight w:val="0"/>
      <w:marTop w:val="0"/>
      <w:marBottom w:val="0"/>
      <w:divBdr>
        <w:top w:val="none" w:sz="0" w:space="0" w:color="auto"/>
        <w:left w:val="none" w:sz="0" w:space="0" w:color="auto"/>
        <w:bottom w:val="none" w:sz="0" w:space="0" w:color="auto"/>
        <w:right w:val="none" w:sz="0" w:space="0" w:color="auto"/>
      </w:divBdr>
    </w:div>
    <w:div w:id="414941057">
      <w:bodyDiv w:val="1"/>
      <w:marLeft w:val="0"/>
      <w:marRight w:val="0"/>
      <w:marTop w:val="0"/>
      <w:marBottom w:val="0"/>
      <w:divBdr>
        <w:top w:val="none" w:sz="0" w:space="0" w:color="auto"/>
        <w:left w:val="none" w:sz="0" w:space="0" w:color="auto"/>
        <w:bottom w:val="none" w:sz="0" w:space="0" w:color="auto"/>
        <w:right w:val="none" w:sz="0" w:space="0" w:color="auto"/>
      </w:divBdr>
    </w:div>
    <w:div w:id="456800085">
      <w:bodyDiv w:val="1"/>
      <w:marLeft w:val="0"/>
      <w:marRight w:val="0"/>
      <w:marTop w:val="0"/>
      <w:marBottom w:val="0"/>
      <w:divBdr>
        <w:top w:val="none" w:sz="0" w:space="0" w:color="auto"/>
        <w:left w:val="none" w:sz="0" w:space="0" w:color="auto"/>
        <w:bottom w:val="none" w:sz="0" w:space="0" w:color="auto"/>
        <w:right w:val="none" w:sz="0" w:space="0" w:color="auto"/>
      </w:divBdr>
    </w:div>
    <w:div w:id="469903058">
      <w:bodyDiv w:val="1"/>
      <w:marLeft w:val="0"/>
      <w:marRight w:val="0"/>
      <w:marTop w:val="0"/>
      <w:marBottom w:val="0"/>
      <w:divBdr>
        <w:top w:val="none" w:sz="0" w:space="0" w:color="auto"/>
        <w:left w:val="none" w:sz="0" w:space="0" w:color="auto"/>
        <w:bottom w:val="none" w:sz="0" w:space="0" w:color="auto"/>
        <w:right w:val="none" w:sz="0" w:space="0" w:color="auto"/>
      </w:divBdr>
    </w:div>
    <w:div w:id="475881475">
      <w:bodyDiv w:val="1"/>
      <w:marLeft w:val="0"/>
      <w:marRight w:val="0"/>
      <w:marTop w:val="0"/>
      <w:marBottom w:val="0"/>
      <w:divBdr>
        <w:top w:val="none" w:sz="0" w:space="0" w:color="auto"/>
        <w:left w:val="none" w:sz="0" w:space="0" w:color="auto"/>
        <w:bottom w:val="none" w:sz="0" w:space="0" w:color="auto"/>
        <w:right w:val="none" w:sz="0" w:space="0" w:color="auto"/>
      </w:divBdr>
    </w:div>
    <w:div w:id="490949389">
      <w:bodyDiv w:val="1"/>
      <w:marLeft w:val="0"/>
      <w:marRight w:val="0"/>
      <w:marTop w:val="0"/>
      <w:marBottom w:val="0"/>
      <w:divBdr>
        <w:top w:val="none" w:sz="0" w:space="0" w:color="auto"/>
        <w:left w:val="none" w:sz="0" w:space="0" w:color="auto"/>
        <w:bottom w:val="none" w:sz="0" w:space="0" w:color="auto"/>
        <w:right w:val="none" w:sz="0" w:space="0" w:color="auto"/>
      </w:divBdr>
    </w:div>
    <w:div w:id="517163629">
      <w:bodyDiv w:val="1"/>
      <w:marLeft w:val="0"/>
      <w:marRight w:val="0"/>
      <w:marTop w:val="0"/>
      <w:marBottom w:val="0"/>
      <w:divBdr>
        <w:top w:val="none" w:sz="0" w:space="0" w:color="auto"/>
        <w:left w:val="none" w:sz="0" w:space="0" w:color="auto"/>
        <w:bottom w:val="none" w:sz="0" w:space="0" w:color="auto"/>
        <w:right w:val="none" w:sz="0" w:space="0" w:color="auto"/>
      </w:divBdr>
    </w:div>
    <w:div w:id="531454183">
      <w:bodyDiv w:val="1"/>
      <w:marLeft w:val="0"/>
      <w:marRight w:val="0"/>
      <w:marTop w:val="0"/>
      <w:marBottom w:val="0"/>
      <w:divBdr>
        <w:top w:val="none" w:sz="0" w:space="0" w:color="auto"/>
        <w:left w:val="none" w:sz="0" w:space="0" w:color="auto"/>
        <w:bottom w:val="none" w:sz="0" w:space="0" w:color="auto"/>
        <w:right w:val="none" w:sz="0" w:space="0" w:color="auto"/>
      </w:divBdr>
      <w:divsChild>
        <w:div w:id="1152135576">
          <w:marLeft w:val="274"/>
          <w:marRight w:val="0"/>
          <w:marTop w:val="0"/>
          <w:marBottom w:val="120"/>
          <w:divBdr>
            <w:top w:val="none" w:sz="0" w:space="0" w:color="auto"/>
            <w:left w:val="none" w:sz="0" w:space="0" w:color="auto"/>
            <w:bottom w:val="none" w:sz="0" w:space="0" w:color="auto"/>
            <w:right w:val="none" w:sz="0" w:space="0" w:color="auto"/>
          </w:divBdr>
        </w:div>
      </w:divsChild>
    </w:div>
    <w:div w:id="553741352">
      <w:bodyDiv w:val="1"/>
      <w:marLeft w:val="0"/>
      <w:marRight w:val="0"/>
      <w:marTop w:val="0"/>
      <w:marBottom w:val="0"/>
      <w:divBdr>
        <w:top w:val="none" w:sz="0" w:space="0" w:color="auto"/>
        <w:left w:val="none" w:sz="0" w:space="0" w:color="auto"/>
        <w:bottom w:val="none" w:sz="0" w:space="0" w:color="auto"/>
        <w:right w:val="none" w:sz="0" w:space="0" w:color="auto"/>
      </w:divBdr>
    </w:div>
    <w:div w:id="564802480">
      <w:bodyDiv w:val="1"/>
      <w:marLeft w:val="0"/>
      <w:marRight w:val="0"/>
      <w:marTop w:val="0"/>
      <w:marBottom w:val="0"/>
      <w:divBdr>
        <w:top w:val="none" w:sz="0" w:space="0" w:color="auto"/>
        <w:left w:val="none" w:sz="0" w:space="0" w:color="auto"/>
        <w:bottom w:val="none" w:sz="0" w:space="0" w:color="auto"/>
        <w:right w:val="none" w:sz="0" w:space="0" w:color="auto"/>
      </w:divBdr>
    </w:div>
    <w:div w:id="570851094">
      <w:bodyDiv w:val="1"/>
      <w:marLeft w:val="0"/>
      <w:marRight w:val="0"/>
      <w:marTop w:val="0"/>
      <w:marBottom w:val="0"/>
      <w:divBdr>
        <w:top w:val="none" w:sz="0" w:space="0" w:color="auto"/>
        <w:left w:val="none" w:sz="0" w:space="0" w:color="auto"/>
        <w:bottom w:val="none" w:sz="0" w:space="0" w:color="auto"/>
        <w:right w:val="none" w:sz="0" w:space="0" w:color="auto"/>
      </w:divBdr>
      <w:divsChild>
        <w:div w:id="230894075">
          <w:marLeft w:val="274"/>
          <w:marRight w:val="0"/>
          <w:marTop w:val="0"/>
          <w:marBottom w:val="120"/>
          <w:divBdr>
            <w:top w:val="none" w:sz="0" w:space="0" w:color="auto"/>
            <w:left w:val="none" w:sz="0" w:space="0" w:color="auto"/>
            <w:bottom w:val="none" w:sz="0" w:space="0" w:color="auto"/>
            <w:right w:val="none" w:sz="0" w:space="0" w:color="auto"/>
          </w:divBdr>
        </w:div>
        <w:div w:id="389505221">
          <w:marLeft w:val="274"/>
          <w:marRight w:val="0"/>
          <w:marTop w:val="0"/>
          <w:marBottom w:val="120"/>
          <w:divBdr>
            <w:top w:val="none" w:sz="0" w:space="0" w:color="auto"/>
            <w:left w:val="none" w:sz="0" w:space="0" w:color="auto"/>
            <w:bottom w:val="none" w:sz="0" w:space="0" w:color="auto"/>
            <w:right w:val="none" w:sz="0" w:space="0" w:color="auto"/>
          </w:divBdr>
        </w:div>
        <w:div w:id="1141851705">
          <w:marLeft w:val="274"/>
          <w:marRight w:val="0"/>
          <w:marTop w:val="0"/>
          <w:marBottom w:val="120"/>
          <w:divBdr>
            <w:top w:val="none" w:sz="0" w:space="0" w:color="auto"/>
            <w:left w:val="none" w:sz="0" w:space="0" w:color="auto"/>
            <w:bottom w:val="none" w:sz="0" w:space="0" w:color="auto"/>
            <w:right w:val="none" w:sz="0" w:space="0" w:color="auto"/>
          </w:divBdr>
        </w:div>
        <w:div w:id="1224876569">
          <w:marLeft w:val="274"/>
          <w:marRight w:val="0"/>
          <w:marTop w:val="0"/>
          <w:marBottom w:val="120"/>
          <w:divBdr>
            <w:top w:val="none" w:sz="0" w:space="0" w:color="auto"/>
            <w:left w:val="none" w:sz="0" w:space="0" w:color="auto"/>
            <w:bottom w:val="none" w:sz="0" w:space="0" w:color="auto"/>
            <w:right w:val="none" w:sz="0" w:space="0" w:color="auto"/>
          </w:divBdr>
        </w:div>
        <w:div w:id="1382746554">
          <w:marLeft w:val="274"/>
          <w:marRight w:val="0"/>
          <w:marTop w:val="0"/>
          <w:marBottom w:val="120"/>
          <w:divBdr>
            <w:top w:val="none" w:sz="0" w:space="0" w:color="auto"/>
            <w:left w:val="none" w:sz="0" w:space="0" w:color="auto"/>
            <w:bottom w:val="none" w:sz="0" w:space="0" w:color="auto"/>
            <w:right w:val="none" w:sz="0" w:space="0" w:color="auto"/>
          </w:divBdr>
        </w:div>
      </w:divsChild>
    </w:div>
    <w:div w:id="578175526">
      <w:bodyDiv w:val="1"/>
      <w:marLeft w:val="0"/>
      <w:marRight w:val="0"/>
      <w:marTop w:val="0"/>
      <w:marBottom w:val="0"/>
      <w:divBdr>
        <w:top w:val="none" w:sz="0" w:space="0" w:color="auto"/>
        <w:left w:val="none" w:sz="0" w:space="0" w:color="auto"/>
        <w:bottom w:val="none" w:sz="0" w:space="0" w:color="auto"/>
        <w:right w:val="none" w:sz="0" w:space="0" w:color="auto"/>
      </w:divBdr>
    </w:div>
    <w:div w:id="596059695">
      <w:bodyDiv w:val="1"/>
      <w:marLeft w:val="0"/>
      <w:marRight w:val="0"/>
      <w:marTop w:val="0"/>
      <w:marBottom w:val="0"/>
      <w:divBdr>
        <w:top w:val="none" w:sz="0" w:space="0" w:color="auto"/>
        <w:left w:val="none" w:sz="0" w:space="0" w:color="auto"/>
        <w:bottom w:val="none" w:sz="0" w:space="0" w:color="auto"/>
        <w:right w:val="none" w:sz="0" w:space="0" w:color="auto"/>
      </w:divBdr>
    </w:div>
    <w:div w:id="607666262">
      <w:bodyDiv w:val="1"/>
      <w:marLeft w:val="0"/>
      <w:marRight w:val="0"/>
      <w:marTop w:val="0"/>
      <w:marBottom w:val="0"/>
      <w:divBdr>
        <w:top w:val="none" w:sz="0" w:space="0" w:color="auto"/>
        <w:left w:val="none" w:sz="0" w:space="0" w:color="auto"/>
        <w:bottom w:val="none" w:sz="0" w:space="0" w:color="auto"/>
        <w:right w:val="none" w:sz="0" w:space="0" w:color="auto"/>
      </w:divBdr>
    </w:div>
    <w:div w:id="625087902">
      <w:bodyDiv w:val="1"/>
      <w:marLeft w:val="0"/>
      <w:marRight w:val="0"/>
      <w:marTop w:val="0"/>
      <w:marBottom w:val="0"/>
      <w:divBdr>
        <w:top w:val="none" w:sz="0" w:space="0" w:color="auto"/>
        <w:left w:val="none" w:sz="0" w:space="0" w:color="auto"/>
        <w:bottom w:val="none" w:sz="0" w:space="0" w:color="auto"/>
        <w:right w:val="none" w:sz="0" w:space="0" w:color="auto"/>
      </w:divBdr>
    </w:div>
    <w:div w:id="642274299">
      <w:bodyDiv w:val="1"/>
      <w:marLeft w:val="0"/>
      <w:marRight w:val="0"/>
      <w:marTop w:val="0"/>
      <w:marBottom w:val="0"/>
      <w:divBdr>
        <w:top w:val="none" w:sz="0" w:space="0" w:color="auto"/>
        <w:left w:val="none" w:sz="0" w:space="0" w:color="auto"/>
        <w:bottom w:val="none" w:sz="0" w:space="0" w:color="auto"/>
        <w:right w:val="none" w:sz="0" w:space="0" w:color="auto"/>
      </w:divBdr>
    </w:div>
    <w:div w:id="681861169">
      <w:bodyDiv w:val="1"/>
      <w:marLeft w:val="0"/>
      <w:marRight w:val="0"/>
      <w:marTop w:val="0"/>
      <w:marBottom w:val="0"/>
      <w:divBdr>
        <w:top w:val="none" w:sz="0" w:space="0" w:color="auto"/>
        <w:left w:val="none" w:sz="0" w:space="0" w:color="auto"/>
        <w:bottom w:val="none" w:sz="0" w:space="0" w:color="auto"/>
        <w:right w:val="none" w:sz="0" w:space="0" w:color="auto"/>
      </w:divBdr>
    </w:div>
    <w:div w:id="682439042">
      <w:bodyDiv w:val="1"/>
      <w:marLeft w:val="0"/>
      <w:marRight w:val="0"/>
      <w:marTop w:val="0"/>
      <w:marBottom w:val="0"/>
      <w:divBdr>
        <w:top w:val="none" w:sz="0" w:space="0" w:color="auto"/>
        <w:left w:val="none" w:sz="0" w:space="0" w:color="auto"/>
        <w:bottom w:val="none" w:sz="0" w:space="0" w:color="auto"/>
        <w:right w:val="none" w:sz="0" w:space="0" w:color="auto"/>
      </w:divBdr>
    </w:div>
    <w:div w:id="706107695">
      <w:bodyDiv w:val="1"/>
      <w:marLeft w:val="0"/>
      <w:marRight w:val="0"/>
      <w:marTop w:val="0"/>
      <w:marBottom w:val="0"/>
      <w:divBdr>
        <w:top w:val="none" w:sz="0" w:space="0" w:color="auto"/>
        <w:left w:val="none" w:sz="0" w:space="0" w:color="auto"/>
        <w:bottom w:val="none" w:sz="0" w:space="0" w:color="auto"/>
        <w:right w:val="none" w:sz="0" w:space="0" w:color="auto"/>
      </w:divBdr>
    </w:div>
    <w:div w:id="715472478">
      <w:bodyDiv w:val="1"/>
      <w:marLeft w:val="0"/>
      <w:marRight w:val="0"/>
      <w:marTop w:val="0"/>
      <w:marBottom w:val="0"/>
      <w:divBdr>
        <w:top w:val="none" w:sz="0" w:space="0" w:color="auto"/>
        <w:left w:val="none" w:sz="0" w:space="0" w:color="auto"/>
        <w:bottom w:val="none" w:sz="0" w:space="0" w:color="auto"/>
        <w:right w:val="none" w:sz="0" w:space="0" w:color="auto"/>
      </w:divBdr>
    </w:div>
    <w:div w:id="769161744">
      <w:bodyDiv w:val="1"/>
      <w:marLeft w:val="0"/>
      <w:marRight w:val="0"/>
      <w:marTop w:val="0"/>
      <w:marBottom w:val="0"/>
      <w:divBdr>
        <w:top w:val="none" w:sz="0" w:space="0" w:color="auto"/>
        <w:left w:val="none" w:sz="0" w:space="0" w:color="auto"/>
        <w:bottom w:val="none" w:sz="0" w:space="0" w:color="auto"/>
        <w:right w:val="none" w:sz="0" w:space="0" w:color="auto"/>
      </w:divBdr>
    </w:div>
    <w:div w:id="774442578">
      <w:bodyDiv w:val="1"/>
      <w:marLeft w:val="0"/>
      <w:marRight w:val="0"/>
      <w:marTop w:val="0"/>
      <w:marBottom w:val="0"/>
      <w:divBdr>
        <w:top w:val="none" w:sz="0" w:space="0" w:color="auto"/>
        <w:left w:val="none" w:sz="0" w:space="0" w:color="auto"/>
        <w:bottom w:val="none" w:sz="0" w:space="0" w:color="auto"/>
        <w:right w:val="none" w:sz="0" w:space="0" w:color="auto"/>
      </w:divBdr>
    </w:div>
    <w:div w:id="775060247">
      <w:bodyDiv w:val="1"/>
      <w:marLeft w:val="0"/>
      <w:marRight w:val="0"/>
      <w:marTop w:val="0"/>
      <w:marBottom w:val="0"/>
      <w:divBdr>
        <w:top w:val="none" w:sz="0" w:space="0" w:color="auto"/>
        <w:left w:val="none" w:sz="0" w:space="0" w:color="auto"/>
        <w:bottom w:val="none" w:sz="0" w:space="0" w:color="auto"/>
        <w:right w:val="none" w:sz="0" w:space="0" w:color="auto"/>
      </w:divBdr>
    </w:div>
    <w:div w:id="791096061">
      <w:bodyDiv w:val="1"/>
      <w:marLeft w:val="0"/>
      <w:marRight w:val="0"/>
      <w:marTop w:val="0"/>
      <w:marBottom w:val="0"/>
      <w:divBdr>
        <w:top w:val="none" w:sz="0" w:space="0" w:color="auto"/>
        <w:left w:val="none" w:sz="0" w:space="0" w:color="auto"/>
        <w:bottom w:val="none" w:sz="0" w:space="0" w:color="auto"/>
        <w:right w:val="none" w:sz="0" w:space="0" w:color="auto"/>
      </w:divBdr>
    </w:div>
    <w:div w:id="819080353">
      <w:bodyDiv w:val="1"/>
      <w:marLeft w:val="0"/>
      <w:marRight w:val="0"/>
      <w:marTop w:val="0"/>
      <w:marBottom w:val="0"/>
      <w:divBdr>
        <w:top w:val="none" w:sz="0" w:space="0" w:color="auto"/>
        <w:left w:val="none" w:sz="0" w:space="0" w:color="auto"/>
        <w:bottom w:val="none" w:sz="0" w:space="0" w:color="auto"/>
        <w:right w:val="none" w:sz="0" w:space="0" w:color="auto"/>
      </w:divBdr>
    </w:div>
    <w:div w:id="849639701">
      <w:bodyDiv w:val="1"/>
      <w:marLeft w:val="0"/>
      <w:marRight w:val="0"/>
      <w:marTop w:val="0"/>
      <w:marBottom w:val="0"/>
      <w:divBdr>
        <w:top w:val="none" w:sz="0" w:space="0" w:color="auto"/>
        <w:left w:val="none" w:sz="0" w:space="0" w:color="auto"/>
        <w:bottom w:val="none" w:sz="0" w:space="0" w:color="auto"/>
        <w:right w:val="none" w:sz="0" w:space="0" w:color="auto"/>
      </w:divBdr>
      <w:divsChild>
        <w:div w:id="264967087">
          <w:marLeft w:val="0"/>
          <w:marRight w:val="0"/>
          <w:marTop w:val="0"/>
          <w:marBottom w:val="0"/>
          <w:divBdr>
            <w:top w:val="none" w:sz="0" w:space="0" w:color="auto"/>
            <w:left w:val="none" w:sz="0" w:space="0" w:color="auto"/>
            <w:bottom w:val="none" w:sz="0" w:space="0" w:color="auto"/>
            <w:right w:val="none" w:sz="0" w:space="0" w:color="auto"/>
          </w:divBdr>
          <w:divsChild>
            <w:div w:id="172316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3851">
      <w:bodyDiv w:val="1"/>
      <w:marLeft w:val="0"/>
      <w:marRight w:val="0"/>
      <w:marTop w:val="0"/>
      <w:marBottom w:val="0"/>
      <w:divBdr>
        <w:top w:val="none" w:sz="0" w:space="0" w:color="auto"/>
        <w:left w:val="none" w:sz="0" w:space="0" w:color="auto"/>
        <w:bottom w:val="none" w:sz="0" w:space="0" w:color="auto"/>
        <w:right w:val="none" w:sz="0" w:space="0" w:color="auto"/>
      </w:divBdr>
    </w:div>
    <w:div w:id="917666367">
      <w:bodyDiv w:val="1"/>
      <w:marLeft w:val="0"/>
      <w:marRight w:val="0"/>
      <w:marTop w:val="0"/>
      <w:marBottom w:val="0"/>
      <w:divBdr>
        <w:top w:val="none" w:sz="0" w:space="0" w:color="auto"/>
        <w:left w:val="none" w:sz="0" w:space="0" w:color="auto"/>
        <w:bottom w:val="none" w:sz="0" w:space="0" w:color="auto"/>
        <w:right w:val="none" w:sz="0" w:space="0" w:color="auto"/>
      </w:divBdr>
    </w:div>
    <w:div w:id="918369013">
      <w:bodyDiv w:val="1"/>
      <w:marLeft w:val="0"/>
      <w:marRight w:val="0"/>
      <w:marTop w:val="0"/>
      <w:marBottom w:val="0"/>
      <w:divBdr>
        <w:top w:val="none" w:sz="0" w:space="0" w:color="auto"/>
        <w:left w:val="none" w:sz="0" w:space="0" w:color="auto"/>
        <w:bottom w:val="none" w:sz="0" w:space="0" w:color="auto"/>
        <w:right w:val="none" w:sz="0" w:space="0" w:color="auto"/>
      </w:divBdr>
    </w:div>
    <w:div w:id="920336718">
      <w:bodyDiv w:val="1"/>
      <w:marLeft w:val="0"/>
      <w:marRight w:val="0"/>
      <w:marTop w:val="0"/>
      <w:marBottom w:val="0"/>
      <w:divBdr>
        <w:top w:val="none" w:sz="0" w:space="0" w:color="auto"/>
        <w:left w:val="none" w:sz="0" w:space="0" w:color="auto"/>
        <w:bottom w:val="none" w:sz="0" w:space="0" w:color="auto"/>
        <w:right w:val="none" w:sz="0" w:space="0" w:color="auto"/>
      </w:divBdr>
      <w:divsChild>
        <w:div w:id="1715933063">
          <w:marLeft w:val="0"/>
          <w:marRight w:val="0"/>
          <w:marTop w:val="0"/>
          <w:marBottom w:val="0"/>
          <w:divBdr>
            <w:top w:val="none" w:sz="0" w:space="0" w:color="auto"/>
            <w:left w:val="none" w:sz="0" w:space="0" w:color="auto"/>
            <w:bottom w:val="none" w:sz="0" w:space="0" w:color="auto"/>
            <w:right w:val="none" w:sz="0" w:space="0" w:color="auto"/>
          </w:divBdr>
          <w:divsChild>
            <w:div w:id="154830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5114">
      <w:bodyDiv w:val="1"/>
      <w:marLeft w:val="0"/>
      <w:marRight w:val="0"/>
      <w:marTop w:val="0"/>
      <w:marBottom w:val="0"/>
      <w:divBdr>
        <w:top w:val="none" w:sz="0" w:space="0" w:color="auto"/>
        <w:left w:val="none" w:sz="0" w:space="0" w:color="auto"/>
        <w:bottom w:val="none" w:sz="0" w:space="0" w:color="auto"/>
        <w:right w:val="none" w:sz="0" w:space="0" w:color="auto"/>
      </w:divBdr>
    </w:div>
    <w:div w:id="956302532">
      <w:bodyDiv w:val="1"/>
      <w:marLeft w:val="0"/>
      <w:marRight w:val="0"/>
      <w:marTop w:val="0"/>
      <w:marBottom w:val="0"/>
      <w:divBdr>
        <w:top w:val="none" w:sz="0" w:space="0" w:color="auto"/>
        <w:left w:val="none" w:sz="0" w:space="0" w:color="auto"/>
        <w:bottom w:val="none" w:sz="0" w:space="0" w:color="auto"/>
        <w:right w:val="none" w:sz="0" w:space="0" w:color="auto"/>
      </w:divBdr>
    </w:div>
    <w:div w:id="966273179">
      <w:bodyDiv w:val="1"/>
      <w:marLeft w:val="0"/>
      <w:marRight w:val="0"/>
      <w:marTop w:val="0"/>
      <w:marBottom w:val="0"/>
      <w:divBdr>
        <w:top w:val="none" w:sz="0" w:space="0" w:color="auto"/>
        <w:left w:val="none" w:sz="0" w:space="0" w:color="auto"/>
        <w:bottom w:val="none" w:sz="0" w:space="0" w:color="auto"/>
        <w:right w:val="none" w:sz="0" w:space="0" w:color="auto"/>
      </w:divBdr>
    </w:div>
    <w:div w:id="1013993619">
      <w:bodyDiv w:val="1"/>
      <w:marLeft w:val="0"/>
      <w:marRight w:val="0"/>
      <w:marTop w:val="0"/>
      <w:marBottom w:val="0"/>
      <w:divBdr>
        <w:top w:val="none" w:sz="0" w:space="0" w:color="auto"/>
        <w:left w:val="none" w:sz="0" w:space="0" w:color="auto"/>
        <w:bottom w:val="none" w:sz="0" w:space="0" w:color="auto"/>
        <w:right w:val="none" w:sz="0" w:space="0" w:color="auto"/>
      </w:divBdr>
    </w:div>
    <w:div w:id="1022392544">
      <w:bodyDiv w:val="1"/>
      <w:marLeft w:val="0"/>
      <w:marRight w:val="0"/>
      <w:marTop w:val="0"/>
      <w:marBottom w:val="0"/>
      <w:divBdr>
        <w:top w:val="none" w:sz="0" w:space="0" w:color="auto"/>
        <w:left w:val="none" w:sz="0" w:space="0" w:color="auto"/>
        <w:bottom w:val="none" w:sz="0" w:space="0" w:color="auto"/>
        <w:right w:val="none" w:sz="0" w:space="0" w:color="auto"/>
      </w:divBdr>
    </w:div>
    <w:div w:id="1033772755">
      <w:bodyDiv w:val="1"/>
      <w:marLeft w:val="0"/>
      <w:marRight w:val="0"/>
      <w:marTop w:val="0"/>
      <w:marBottom w:val="0"/>
      <w:divBdr>
        <w:top w:val="none" w:sz="0" w:space="0" w:color="auto"/>
        <w:left w:val="none" w:sz="0" w:space="0" w:color="auto"/>
        <w:bottom w:val="none" w:sz="0" w:space="0" w:color="auto"/>
        <w:right w:val="none" w:sz="0" w:space="0" w:color="auto"/>
      </w:divBdr>
    </w:div>
    <w:div w:id="1070538202">
      <w:bodyDiv w:val="1"/>
      <w:marLeft w:val="0"/>
      <w:marRight w:val="0"/>
      <w:marTop w:val="0"/>
      <w:marBottom w:val="0"/>
      <w:divBdr>
        <w:top w:val="none" w:sz="0" w:space="0" w:color="auto"/>
        <w:left w:val="none" w:sz="0" w:space="0" w:color="auto"/>
        <w:bottom w:val="none" w:sz="0" w:space="0" w:color="auto"/>
        <w:right w:val="none" w:sz="0" w:space="0" w:color="auto"/>
      </w:divBdr>
      <w:divsChild>
        <w:div w:id="426274175">
          <w:marLeft w:val="274"/>
          <w:marRight w:val="0"/>
          <w:marTop w:val="0"/>
          <w:marBottom w:val="240"/>
          <w:divBdr>
            <w:top w:val="none" w:sz="0" w:space="0" w:color="auto"/>
            <w:left w:val="none" w:sz="0" w:space="0" w:color="auto"/>
            <w:bottom w:val="none" w:sz="0" w:space="0" w:color="auto"/>
            <w:right w:val="none" w:sz="0" w:space="0" w:color="auto"/>
          </w:divBdr>
        </w:div>
      </w:divsChild>
    </w:div>
    <w:div w:id="1071663315">
      <w:bodyDiv w:val="1"/>
      <w:marLeft w:val="0"/>
      <w:marRight w:val="0"/>
      <w:marTop w:val="0"/>
      <w:marBottom w:val="0"/>
      <w:divBdr>
        <w:top w:val="none" w:sz="0" w:space="0" w:color="auto"/>
        <w:left w:val="none" w:sz="0" w:space="0" w:color="auto"/>
        <w:bottom w:val="none" w:sz="0" w:space="0" w:color="auto"/>
        <w:right w:val="none" w:sz="0" w:space="0" w:color="auto"/>
      </w:divBdr>
    </w:div>
    <w:div w:id="1075199674">
      <w:bodyDiv w:val="1"/>
      <w:marLeft w:val="0"/>
      <w:marRight w:val="0"/>
      <w:marTop w:val="0"/>
      <w:marBottom w:val="0"/>
      <w:divBdr>
        <w:top w:val="none" w:sz="0" w:space="0" w:color="auto"/>
        <w:left w:val="none" w:sz="0" w:space="0" w:color="auto"/>
        <w:bottom w:val="none" w:sz="0" w:space="0" w:color="auto"/>
        <w:right w:val="none" w:sz="0" w:space="0" w:color="auto"/>
      </w:divBdr>
    </w:div>
    <w:div w:id="1087383010">
      <w:bodyDiv w:val="1"/>
      <w:marLeft w:val="0"/>
      <w:marRight w:val="0"/>
      <w:marTop w:val="0"/>
      <w:marBottom w:val="0"/>
      <w:divBdr>
        <w:top w:val="none" w:sz="0" w:space="0" w:color="auto"/>
        <w:left w:val="none" w:sz="0" w:space="0" w:color="auto"/>
        <w:bottom w:val="none" w:sz="0" w:space="0" w:color="auto"/>
        <w:right w:val="none" w:sz="0" w:space="0" w:color="auto"/>
      </w:divBdr>
    </w:div>
    <w:div w:id="1104493035">
      <w:bodyDiv w:val="1"/>
      <w:marLeft w:val="0"/>
      <w:marRight w:val="0"/>
      <w:marTop w:val="0"/>
      <w:marBottom w:val="0"/>
      <w:divBdr>
        <w:top w:val="none" w:sz="0" w:space="0" w:color="auto"/>
        <w:left w:val="none" w:sz="0" w:space="0" w:color="auto"/>
        <w:bottom w:val="none" w:sz="0" w:space="0" w:color="auto"/>
        <w:right w:val="none" w:sz="0" w:space="0" w:color="auto"/>
      </w:divBdr>
    </w:div>
    <w:div w:id="1116558422">
      <w:bodyDiv w:val="1"/>
      <w:marLeft w:val="0"/>
      <w:marRight w:val="0"/>
      <w:marTop w:val="0"/>
      <w:marBottom w:val="0"/>
      <w:divBdr>
        <w:top w:val="none" w:sz="0" w:space="0" w:color="auto"/>
        <w:left w:val="none" w:sz="0" w:space="0" w:color="auto"/>
        <w:bottom w:val="none" w:sz="0" w:space="0" w:color="auto"/>
        <w:right w:val="none" w:sz="0" w:space="0" w:color="auto"/>
      </w:divBdr>
    </w:div>
    <w:div w:id="1124040374">
      <w:bodyDiv w:val="1"/>
      <w:marLeft w:val="0"/>
      <w:marRight w:val="0"/>
      <w:marTop w:val="0"/>
      <w:marBottom w:val="0"/>
      <w:divBdr>
        <w:top w:val="none" w:sz="0" w:space="0" w:color="auto"/>
        <w:left w:val="none" w:sz="0" w:space="0" w:color="auto"/>
        <w:bottom w:val="none" w:sz="0" w:space="0" w:color="auto"/>
        <w:right w:val="none" w:sz="0" w:space="0" w:color="auto"/>
      </w:divBdr>
    </w:div>
    <w:div w:id="1138185107">
      <w:bodyDiv w:val="1"/>
      <w:marLeft w:val="0"/>
      <w:marRight w:val="0"/>
      <w:marTop w:val="0"/>
      <w:marBottom w:val="0"/>
      <w:divBdr>
        <w:top w:val="none" w:sz="0" w:space="0" w:color="auto"/>
        <w:left w:val="none" w:sz="0" w:space="0" w:color="auto"/>
        <w:bottom w:val="none" w:sz="0" w:space="0" w:color="auto"/>
        <w:right w:val="none" w:sz="0" w:space="0" w:color="auto"/>
      </w:divBdr>
    </w:div>
    <w:div w:id="1146244153">
      <w:bodyDiv w:val="1"/>
      <w:marLeft w:val="0"/>
      <w:marRight w:val="0"/>
      <w:marTop w:val="0"/>
      <w:marBottom w:val="0"/>
      <w:divBdr>
        <w:top w:val="none" w:sz="0" w:space="0" w:color="auto"/>
        <w:left w:val="none" w:sz="0" w:space="0" w:color="auto"/>
        <w:bottom w:val="none" w:sz="0" w:space="0" w:color="auto"/>
        <w:right w:val="none" w:sz="0" w:space="0" w:color="auto"/>
      </w:divBdr>
    </w:div>
    <w:div w:id="1149059004">
      <w:bodyDiv w:val="1"/>
      <w:marLeft w:val="0"/>
      <w:marRight w:val="0"/>
      <w:marTop w:val="0"/>
      <w:marBottom w:val="0"/>
      <w:divBdr>
        <w:top w:val="none" w:sz="0" w:space="0" w:color="auto"/>
        <w:left w:val="none" w:sz="0" w:space="0" w:color="auto"/>
        <w:bottom w:val="none" w:sz="0" w:space="0" w:color="auto"/>
        <w:right w:val="none" w:sz="0" w:space="0" w:color="auto"/>
      </w:divBdr>
    </w:div>
    <w:div w:id="1199077643">
      <w:bodyDiv w:val="1"/>
      <w:marLeft w:val="0"/>
      <w:marRight w:val="0"/>
      <w:marTop w:val="0"/>
      <w:marBottom w:val="0"/>
      <w:divBdr>
        <w:top w:val="none" w:sz="0" w:space="0" w:color="auto"/>
        <w:left w:val="none" w:sz="0" w:space="0" w:color="auto"/>
        <w:bottom w:val="none" w:sz="0" w:space="0" w:color="auto"/>
        <w:right w:val="none" w:sz="0" w:space="0" w:color="auto"/>
      </w:divBdr>
    </w:div>
    <w:div w:id="1211191953">
      <w:bodyDiv w:val="1"/>
      <w:marLeft w:val="0"/>
      <w:marRight w:val="0"/>
      <w:marTop w:val="0"/>
      <w:marBottom w:val="0"/>
      <w:divBdr>
        <w:top w:val="none" w:sz="0" w:space="0" w:color="auto"/>
        <w:left w:val="none" w:sz="0" w:space="0" w:color="auto"/>
        <w:bottom w:val="none" w:sz="0" w:space="0" w:color="auto"/>
        <w:right w:val="none" w:sz="0" w:space="0" w:color="auto"/>
      </w:divBdr>
    </w:div>
    <w:div w:id="1212376264">
      <w:bodyDiv w:val="1"/>
      <w:marLeft w:val="0"/>
      <w:marRight w:val="0"/>
      <w:marTop w:val="0"/>
      <w:marBottom w:val="0"/>
      <w:divBdr>
        <w:top w:val="none" w:sz="0" w:space="0" w:color="auto"/>
        <w:left w:val="none" w:sz="0" w:space="0" w:color="auto"/>
        <w:bottom w:val="none" w:sz="0" w:space="0" w:color="auto"/>
        <w:right w:val="none" w:sz="0" w:space="0" w:color="auto"/>
      </w:divBdr>
    </w:div>
    <w:div w:id="1216819439">
      <w:bodyDiv w:val="1"/>
      <w:marLeft w:val="0"/>
      <w:marRight w:val="0"/>
      <w:marTop w:val="0"/>
      <w:marBottom w:val="0"/>
      <w:divBdr>
        <w:top w:val="none" w:sz="0" w:space="0" w:color="auto"/>
        <w:left w:val="none" w:sz="0" w:space="0" w:color="auto"/>
        <w:bottom w:val="none" w:sz="0" w:space="0" w:color="auto"/>
        <w:right w:val="none" w:sz="0" w:space="0" w:color="auto"/>
      </w:divBdr>
    </w:div>
    <w:div w:id="1271208508">
      <w:bodyDiv w:val="1"/>
      <w:marLeft w:val="0"/>
      <w:marRight w:val="0"/>
      <w:marTop w:val="0"/>
      <w:marBottom w:val="0"/>
      <w:divBdr>
        <w:top w:val="none" w:sz="0" w:space="0" w:color="auto"/>
        <w:left w:val="none" w:sz="0" w:space="0" w:color="auto"/>
        <w:bottom w:val="none" w:sz="0" w:space="0" w:color="auto"/>
        <w:right w:val="none" w:sz="0" w:space="0" w:color="auto"/>
      </w:divBdr>
    </w:div>
    <w:div w:id="1312903230">
      <w:bodyDiv w:val="1"/>
      <w:marLeft w:val="0"/>
      <w:marRight w:val="0"/>
      <w:marTop w:val="0"/>
      <w:marBottom w:val="0"/>
      <w:divBdr>
        <w:top w:val="none" w:sz="0" w:space="0" w:color="auto"/>
        <w:left w:val="none" w:sz="0" w:space="0" w:color="auto"/>
        <w:bottom w:val="none" w:sz="0" w:space="0" w:color="auto"/>
        <w:right w:val="none" w:sz="0" w:space="0" w:color="auto"/>
      </w:divBdr>
    </w:div>
    <w:div w:id="1324048485">
      <w:bodyDiv w:val="1"/>
      <w:marLeft w:val="0"/>
      <w:marRight w:val="0"/>
      <w:marTop w:val="0"/>
      <w:marBottom w:val="0"/>
      <w:divBdr>
        <w:top w:val="none" w:sz="0" w:space="0" w:color="auto"/>
        <w:left w:val="none" w:sz="0" w:space="0" w:color="auto"/>
        <w:bottom w:val="none" w:sz="0" w:space="0" w:color="auto"/>
        <w:right w:val="none" w:sz="0" w:space="0" w:color="auto"/>
      </w:divBdr>
    </w:div>
    <w:div w:id="1333800398">
      <w:bodyDiv w:val="1"/>
      <w:marLeft w:val="0"/>
      <w:marRight w:val="0"/>
      <w:marTop w:val="0"/>
      <w:marBottom w:val="0"/>
      <w:divBdr>
        <w:top w:val="none" w:sz="0" w:space="0" w:color="auto"/>
        <w:left w:val="none" w:sz="0" w:space="0" w:color="auto"/>
        <w:bottom w:val="none" w:sz="0" w:space="0" w:color="auto"/>
        <w:right w:val="none" w:sz="0" w:space="0" w:color="auto"/>
      </w:divBdr>
    </w:div>
    <w:div w:id="1343124922">
      <w:bodyDiv w:val="1"/>
      <w:marLeft w:val="0"/>
      <w:marRight w:val="0"/>
      <w:marTop w:val="0"/>
      <w:marBottom w:val="0"/>
      <w:divBdr>
        <w:top w:val="none" w:sz="0" w:space="0" w:color="auto"/>
        <w:left w:val="none" w:sz="0" w:space="0" w:color="auto"/>
        <w:bottom w:val="none" w:sz="0" w:space="0" w:color="auto"/>
        <w:right w:val="none" w:sz="0" w:space="0" w:color="auto"/>
      </w:divBdr>
    </w:div>
    <w:div w:id="1346011046">
      <w:bodyDiv w:val="1"/>
      <w:marLeft w:val="0"/>
      <w:marRight w:val="0"/>
      <w:marTop w:val="0"/>
      <w:marBottom w:val="0"/>
      <w:divBdr>
        <w:top w:val="none" w:sz="0" w:space="0" w:color="auto"/>
        <w:left w:val="none" w:sz="0" w:space="0" w:color="auto"/>
        <w:bottom w:val="none" w:sz="0" w:space="0" w:color="auto"/>
        <w:right w:val="none" w:sz="0" w:space="0" w:color="auto"/>
      </w:divBdr>
    </w:div>
    <w:div w:id="1427533101">
      <w:bodyDiv w:val="1"/>
      <w:marLeft w:val="0"/>
      <w:marRight w:val="0"/>
      <w:marTop w:val="0"/>
      <w:marBottom w:val="0"/>
      <w:divBdr>
        <w:top w:val="none" w:sz="0" w:space="0" w:color="auto"/>
        <w:left w:val="none" w:sz="0" w:space="0" w:color="auto"/>
        <w:bottom w:val="none" w:sz="0" w:space="0" w:color="auto"/>
        <w:right w:val="none" w:sz="0" w:space="0" w:color="auto"/>
      </w:divBdr>
    </w:div>
    <w:div w:id="1431242890">
      <w:bodyDiv w:val="1"/>
      <w:marLeft w:val="0"/>
      <w:marRight w:val="0"/>
      <w:marTop w:val="0"/>
      <w:marBottom w:val="0"/>
      <w:divBdr>
        <w:top w:val="none" w:sz="0" w:space="0" w:color="auto"/>
        <w:left w:val="none" w:sz="0" w:space="0" w:color="auto"/>
        <w:bottom w:val="none" w:sz="0" w:space="0" w:color="auto"/>
        <w:right w:val="none" w:sz="0" w:space="0" w:color="auto"/>
      </w:divBdr>
    </w:div>
    <w:div w:id="1449658661">
      <w:bodyDiv w:val="1"/>
      <w:marLeft w:val="0"/>
      <w:marRight w:val="0"/>
      <w:marTop w:val="0"/>
      <w:marBottom w:val="0"/>
      <w:divBdr>
        <w:top w:val="none" w:sz="0" w:space="0" w:color="auto"/>
        <w:left w:val="none" w:sz="0" w:space="0" w:color="auto"/>
        <w:bottom w:val="none" w:sz="0" w:space="0" w:color="auto"/>
        <w:right w:val="none" w:sz="0" w:space="0" w:color="auto"/>
      </w:divBdr>
    </w:div>
    <w:div w:id="1454209944">
      <w:bodyDiv w:val="1"/>
      <w:marLeft w:val="0"/>
      <w:marRight w:val="0"/>
      <w:marTop w:val="0"/>
      <w:marBottom w:val="0"/>
      <w:divBdr>
        <w:top w:val="none" w:sz="0" w:space="0" w:color="auto"/>
        <w:left w:val="none" w:sz="0" w:space="0" w:color="auto"/>
        <w:bottom w:val="none" w:sz="0" w:space="0" w:color="auto"/>
        <w:right w:val="none" w:sz="0" w:space="0" w:color="auto"/>
      </w:divBdr>
    </w:div>
    <w:div w:id="1460418339">
      <w:bodyDiv w:val="1"/>
      <w:marLeft w:val="0"/>
      <w:marRight w:val="0"/>
      <w:marTop w:val="0"/>
      <w:marBottom w:val="0"/>
      <w:divBdr>
        <w:top w:val="none" w:sz="0" w:space="0" w:color="auto"/>
        <w:left w:val="none" w:sz="0" w:space="0" w:color="auto"/>
        <w:bottom w:val="none" w:sz="0" w:space="0" w:color="auto"/>
        <w:right w:val="none" w:sz="0" w:space="0" w:color="auto"/>
      </w:divBdr>
    </w:div>
    <w:div w:id="1475948040">
      <w:bodyDiv w:val="1"/>
      <w:marLeft w:val="0"/>
      <w:marRight w:val="0"/>
      <w:marTop w:val="0"/>
      <w:marBottom w:val="0"/>
      <w:divBdr>
        <w:top w:val="none" w:sz="0" w:space="0" w:color="auto"/>
        <w:left w:val="none" w:sz="0" w:space="0" w:color="auto"/>
        <w:bottom w:val="none" w:sz="0" w:space="0" w:color="auto"/>
        <w:right w:val="none" w:sz="0" w:space="0" w:color="auto"/>
      </w:divBdr>
    </w:div>
    <w:div w:id="1478187069">
      <w:bodyDiv w:val="1"/>
      <w:marLeft w:val="0"/>
      <w:marRight w:val="0"/>
      <w:marTop w:val="0"/>
      <w:marBottom w:val="0"/>
      <w:divBdr>
        <w:top w:val="none" w:sz="0" w:space="0" w:color="auto"/>
        <w:left w:val="none" w:sz="0" w:space="0" w:color="auto"/>
        <w:bottom w:val="none" w:sz="0" w:space="0" w:color="auto"/>
        <w:right w:val="none" w:sz="0" w:space="0" w:color="auto"/>
      </w:divBdr>
    </w:div>
    <w:div w:id="1478497987">
      <w:bodyDiv w:val="1"/>
      <w:marLeft w:val="0"/>
      <w:marRight w:val="0"/>
      <w:marTop w:val="0"/>
      <w:marBottom w:val="0"/>
      <w:divBdr>
        <w:top w:val="none" w:sz="0" w:space="0" w:color="auto"/>
        <w:left w:val="none" w:sz="0" w:space="0" w:color="auto"/>
        <w:bottom w:val="none" w:sz="0" w:space="0" w:color="auto"/>
        <w:right w:val="none" w:sz="0" w:space="0" w:color="auto"/>
      </w:divBdr>
    </w:div>
    <w:div w:id="1478641834">
      <w:bodyDiv w:val="1"/>
      <w:marLeft w:val="0"/>
      <w:marRight w:val="0"/>
      <w:marTop w:val="0"/>
      <w:marBottom w:val="0"/>
      <w:divBdr>
        <w:top w:val="none" w:sz="0" w:space="0" w:color="auto"/>
        <w:left w:val="none" w:sz="0" w:space="0" w:color="auto"/>
        <w:bottom w:val="none" w:sz="0" w:space="0" w:color="auto"/>
        <w:right w:val="none" w:sz="0" w:space="0" w:color="auto"/>
      </w:divBdr>
    </w:div>
    <w:div w:id="1482504140">
      <w:bodyDiv w:val="1"/>
      <w:marLeft w:val="0"/>
      <w:marRight w:val="0"/>
      <w:marTop w:val="0"/>
      <w:marBottom w:val="0"/>
      <w:divBdr>
        <w:top w:val="none" w:sz="0" w:space="0" w:color="auto"/>
        <w:left w:val="none" w:sz="0" w:space="0" w:color="auto"/>
        <w:bottom w:val="none" w:sz="0" w:space="0" w:color="auto"/>
        <w:right w:val="none" w:sz="0" w:space="0" w:color="auto"/>
      </w:divBdr>
    </w:div>
    <w:div w:id="1508204115">
      <w:bodyDiv w:val="1"/>
      <w:marLeft w:val="0"/>
      <w:marRight w:val="0"/>
      <w:marTop w:val="0"/>
      <w:marBottom w:val="0"/>
      <w:divBdr>
        <w:top w:val="none" w:sz="0" w:space="0" w:color="auto"/>
        <w:left w:val="none" w:sz="0" w:space="0" w:color="auto"/>
        <w:bottom w:val="none" w:sz="0" w:space="0" w:color="auto"/>
        <w:right w:val="none" w:sz="0" w:space="0" w:color="auto"/>
      </w:divBdr>
    </w:div>
    <w:div w:id="1552618773">
      <w:bodyDiv w:val="1"/>
      <w:marLeft w:val="0"/>
      <w:marRight w:val="0"/>
      <w:marTop w:val="0"/>
      <w:marBottom w:val="0"/>
      <w:divBdr>
        <w:top w:val="none" w:sz="0" w:space="0" w:color="auto"/>
        <w:left w:val="none" w:sz="0" w:space="0" w:color="auto"/>
        <w:bottom w:val="none" w:sz="0" w:space="0" w:color="auto"/>
        <w:right w:val="none" w:sz="0" w:space="0" w:color="auto"/>
      </w:divBdr>
    </w:div>
    <w:div w:id="1557155843">
      <w:bodyDiv w:val="1"/>
      <w:marLeft w:val="0"/>
      <w:marRight w:val="0"/>
      <w:marTop w:val="0"/>
      <w:marBottom w:val="0"/>
      <w:divBdr>
        <w:top w:val="none" w:sz="0" w:space="0" w:color="auto"/>
        <w:left w:val="none" w:sz="0" w:space="0" w:color="auto"/>
        <w:bottom w:val="none" w:sz="0" w:space="0" w:color="auto"/>
        <w:right w:val="none" w:sz="0" w:space="0" w:color="auto"/>
      </w:divBdr>
    </w:div>
    <w:div w:id="1562209670">
      <w:bodyDiv w:val="1"/>
      <w:marLeft w:val="0"/>
      <w:marRight w:val="0"/>
      <w:marTop w:val="0"/>
      <w:marBottom w:val="0"/>
      <w:divBdr>
        <w:top w:val="none" w:sz="0" w:space="0" w:color="auto"/>
        <w:left w:val="none" w:sz="0" w:space="0" w:color="auto"/>
        <w:bottom w:val="none" w:sz="0" w:space="0" w:color="auto"/>
        <w:right w:val="none" w:sz="0" w:space="0" w:color="auto"/>
      </w:divBdr>
    </w:div>
    <w:div w:id="1593857791">
      <w:bodyDiv w:val="1"/>
      <w:marLeft w:val="0"/>
      <w:marRight w:val="0"/>
      <w:marTop w:val="0"/>
      <w:marBottom w:val="0"/>
      <w:divBdr>
        <w:top w:val="none" w:sz="0" w:space="0" w:color="auto"/>
        <w:left w:val="none" w:sz="0" w:space="0" w:color="auto"/>
        <w:bottom w:val="none" w:sz="0" w:space="0" w:color="auto"/>
        <w:right w:val="none" w:sz="0" w:space="0" w:color="auto"/>
      </w:divBdr>
    </w:div>
    <w:div w:id="1595936119">
      <w:bodyDiv w:val="1"/>
      <w:marLeft w:val="0"/>
      <w:marRight w:val="0"/>
      <w:marTop w:val="0"/>
      <w:marBottom w:val="0"/>
      <w:divBdr>
        <w:top w:val="none" w:sz="0" w:space="0" w:color="auto"/>
        <w:left w:val="none" w:sz="0" w:space="0" w:color="auto"/>
        <w:bottom w:val="none" w:sz="0" w:space="0" w:color="auto"/>
        <w:right w:val="none" w:sz="0" w:space="0" w:color="auto"/>
      </w:divBdr>
      <w:divsChild>
        <w:div w:id="1646855080">
          <w:marLeft w:val="274"/>
          <w:marRight w:val="0"/>
          <w:marTop w:val="0"/>
          <w:marBottom w:val="240"/>
          <w:divBdr>
            <w:top w:val="none" w:sz="0" w:space="0" w:color="auto"/>
            <w:left w:val="none" w:sz="0" w:space="0" w:color="auto"/>
            <w:bottom w:val="none" w:sz="0" w:space="0" w:color="auto"/>
            <w:right w:val="none" w:sz="0" w:space="0" w:color="auto"/>
          </w:divBdr>
        </w:div>
      </w:divsChild>
    </w:div>
    <w:div w:id="1605843069">
      <w:bodyDiv w:val="1"/>
      <w:marLeft w:val="0"/>
      <w:marRight w:val="0"/>
      <w:marTop w:val="0"/>
      <w:marBottom w:val="0"/>
      <w:divBdr>
        <w:top w:val="none" w:sz="0" w:space="0" w:color="auto"/>
        <w:left w:val="none" w:sz="0" w:space="0" w:color="auto"/>
        <w:bottom w:val="none" w:sz="0" w:space="0" w:color="auto"/>
        <w:right w:val="none" w:sz="0" w:space="0" w:color="auto"/>
      </w:divBdr>
      <w:divsChild>
        <w:div w:id="1384985249">
          <w:marLeft w:val="274"/>
          <w:marRight w:val="0"/>
          <w:marTop w:val="0"/>
          <w:marBottom w:val="120"/>
          <w:divBdr>
            <w:top w:val="none" w:sz="0" w:space="0" w:color="auto"/>
            <w:left w:val="none" w:sz="0" w:space="0" w:color="auto"/>
            <w:bottom w:val="none" w:sz="0" w:space="0" w:color="auto"/>
            <w:right w:val="none" w:sz="0" w:space="0" w:color="auto"/>
          </w:divBdr>
        </w:div>
      </w:divsChild>
    </w:div>
    <w:div w:id="1640987452">
      <w:bodyDiv w:val="1"/>
      <w:marLeft w:val="0"/>
      <w:marRight w:val="0"/>
      <w:marTop w:val="0"/>
      <w:marBottom w:val="0"/>
      <w:divBdr>
        <w:top w:val="none" w:sz="0" w:space="0" w:color="auto"/>
        <w:left w:val="none" w:sz="0" w:space="0" w:color="auto"/>
        <w:bottom w:val="none" w:sz="0" w:space="0" w:color="auto"/>
        <w:right w:val="none" w:sz="0" w:space="0" w:color="auto"/>
      </w:divBdr>
    </w:div>
    <w:div w:id="1655522910">
      <w:bodyDiv w:val="1"/>
      <w:marLeft w:val="0"/>
      <w:marRight w:val="0"/>
      <w:marTop w:val="0"/>
      <w:marBottom w:val="0"/>
      <w:divBdr>
        <w:top w:val="none" w:sz="0" w:space="0" w:color="auto"/>
        <w:left w:val="none" w:sz="0" w:space="0" w:color="auto"/>
        <w:bottom w:val="none" w:sz="0" w:space="0" w:color="auto"/>
        <w:right w:val="none" w:sz="0" w:space="0" w:color="auto"/>
      </w:divBdr>
    </w:div>
    <w:div w:id="1690332021">
      <w:bodyDiv w:val="1"/>
      <w:marLeft w:val="0"/>
      <w:marRight w:val="0"/>
      <w:marTop w:val="0"/>
      <w:marBottom w:val="0"/>
      <w:divBdr>
        <w:top w:val="none" w:sz="0" w:space="0" w:color="auto"/>
        <w:left w:val="none" w:sz="0" w:space="0" w:color="auto"/>
        <w:bottom w:val="none" w:sz="0" w:space="0" w:color="auto"/>
        <w:right w:val="none" w:sz="0" w:space="0" w:color="auto"/>
      </w:divBdr>
    </w:div>
    <w:div w:id="1694918245">
      <w:bodyDiv w:val="1"/>
      <w:marLeft w:val="0"/>
      <w:marRight w:val="0"/>
      <w:marTop w:val="0"/>
      <w:marBottom w:val="0"/>
      <w:divBdr>
        <w:top w:val="none" w:sz="0" w:space="0" w:color="auto"/>
        <w:left w:val="none" w:sz="0" w:space="0" w:color="auto"/>
        <w:bottom w:val="none" w:sz="0" w:space="0" w:color="auto"/>
        <w:right w:val="none" w:sz="0" w:space="0" w:color="auto"/>
      </w:divBdr>
    </w:div>
    <w:div w:id="1721707518">
      <w:bodyDiv w:val="1"/>
      <w:marLeft w:val="0"/>
      <w:marRight w:val="0"/>
      <w:marTop w:val="0"/>
      <w:marBottom w:val="0"/>
      <w:divBdr>
        <w:top w:val="none" w:sz="0" w:space="0" w:color="auto"/>
        <w:left w:val="none" w:sz="0" w:space="0" w:color="auto"/>
        <w:bottom w:val="none" w:sz="0" w:space="0" w:color="auto"/>
        <w:right w:val="none" w:sz="0" w:space="0" w:color="auto"/>
      </w:divBdr>
    </w:div>
    <w:div w:id="1727605453">
      <w:bodyDiv w:val="1"/>
      <w:marLeft w:val="0"/>
      <w:marRight w:val="0"/>
      <w:marTop w:val="0"/>
      <w:marBottom w:val="0"/>
      <w:divBdr>
        <w:top w:val="none" w:sz="0" w:space="0" w:color="auto"/>
        <w:left w:val="none" w:sz="0" w:space="0" w:color="auto"/>
        <w:bottom w:val="none" w:sz="0" w:space="0" w:color="auto"/>
        <w:right w:val="none" w:sz="0" w:space="0" w:color="auto"/>
      </w:divBdr>
    </w:div>
    <w:div w:id="1773551541">
      <w:bodyDiv w:val="1"/>
      <w:marLeft w:val="0"/>
      <w:marRight w:val="0"/>
      <w:marTop w:val="0"/>
      <w:marBottom w:val="0"/>
      <w:divBdr>
        <w:top w:val="none" w:sz="0" w:space="0" w:color="auto"/>
        <w:left w:val="none" w:sz="0" w:space="0" w:color="auto"/>
        <w:bottom w:val="none" w:sz="0" w:space="0" w:color="auto"/>
        <w:right w:val="none" w:sz="0" w:space="0" w:color="auto"/>
      </w:divBdr>
    </w:div>
    <w:div w:id="1812599449">
      <w:bodyDiv w:val="1"/>
      <w:marLeft w:val="0"/>
      <w:marRight w:val="0"/>
      <w:marTop w:val="0"/>
      <w:marBottom w:val="0"/>
      <w:divBdr>
        <w:top w:val="none" w:sz="0" w:space="0" w:color="auto"/>
        <w:left w:val="none" w:sz="0" w:space="0" w:color="auto"/>
        <w:bottom w:val="none" w:sz="0" w:space="0" w:color="auto"/>
        <w:right w:val="none" w:sz="0" w:space="0" w:color="auto"/>
      </w:divBdr>
    </w:div>
    <w:div w:id="1836217242">
      <w:bodyDiv w:val="1"/>
      <w:marLeft w:val="0"/>
      <w:marRight w:val="0"/>
      <w:marTop w:val="0"/>
      <w:marBottom w:val="0"/>
      <w:divBdr>
        <w:top w:val="none" w:sz="0" w:space="0" w:color="auto"/>
        <w:left w:val="none" w:sz="0" w:space="0" w:color="auto"/>
        <w:bottom w:val="none" w:sz="0" w:space="0" w:color="auto"/>
        <w:right w:val="none" w:sz="0" w:space="0" w:color="auto"/>
      </w:divBdr>
    </w:div>
    <w:div w:id="1844197646">
      <w:bodyDiv w:val="1"/>
      <w:marLeft w:val="0"/>
      <w:marRight w:val="0"/>
      <w:marTop w:val="0"/>
      <w:marBottom w:val="0"/>
      <w:divBdr>
        <w:top w:val="none" w:sz="0" w:space="0" w:color="auto"/>
        <w:left w:val="none" w:sz="0" w:space="0" w:color="auto"/>
        <w:bottom w:val="none" w:sz="0" w:space="0" w:color="auto"/>
        <w:right w:val="none" w:sz="0" w:space="0" w:color="auto"/>
      </w:divBdr>
    </w:div>
    <w:div w:id="1863397744">
      <w:bodyDiv w:val="1"/>
      <w:marLeft w:val="0"/>
      <w:marRight w:val="0"/>
      <w:marTop w:val="0"/>
      <w:marBottom w:val="0"/>
      <w:divBdr>
        <w:top w:val="none" w:sz="0" w:space="0" w:color="auto"/>
        <w:left w:val="none" w:sz="0" w:space="0" w:color="auto"/>
        <w:bottom w:val="none" w:sz="0" w:space="0" w:color="auto"/>
        <w:right w:val="none" w:sz="0" w:space="0" w:color="auto"/>
      </w:divBdr>
    </w:div>
    <w:div w:id="1866946010">
      <w:bodyDiv w:val="1"/>
      <w:marLeft w:val="0"/>
      <w:marRight w:val="0"/>
      <w:marTop w:val="0"/>
      <w:marBottom w:val="0"/>
      <w:divBdr>
        <w:top w:val="none" w:sz="0" w:space="0" w:color="auto"/>
        <w:left w:val="none" w:sz="0" w:space="0" w:color="auto"/>
        <w:bottom w:val="none" w:sz="0" w:space="0" w:color="auto"/>
        <w:right w:val="none" w:sz="0" w:space="0" w:color="auto"/>
      </w:divBdr>
      <w:divsChild>
        <w:div w:id="2095125969">
          <w:marLeft w:val="274"/>
          <w:marRight w:val="0"/>
          <w:marTop w:val="0"/>
          <w:marBottom w:val="240"/>
          <w:divBdr>
            <w:top w:val="none" w:sz="0" w:space="0" w:color="auto"/>
            <w:left w:val="none" w:sz="0" w:space="0" w:color="auto"/>
            <w:bottom w:val="none" w:sz="0" w:space="0" w:color="auto"/>
            <w:right w:val="none" w:sz="0" w:space="0" w:color="auto"/>
          </w:divBdr>
        </w:div>
      </w:divsChild>
    </w:div>
    <w:div w:id="1874003452">
      <w:bodyDiv w:val="1"/>
      <w:marLeft w:val="0"/>
      <w:marRight w:val="0"/>
      <w:marTop w:val="0"/>
      <w:marBottom w:val="0"/>
      <w:divBdr>
        <w:top w:val="none" w:sz="0" w:space="0" w:color="auto"/>
        <w:left w:val="none" w:sz="0" w:space="0" w:color="auto"/>
        <w:bottom w:val="none" w:sz="0" w:space="0" w:color="auto"/>
        <w:right w:val="none" w:sz="0" w:space="0" w:color="auto"/>
      </w:divBdr>
    </w:div>
    <w:div w:id="1884946619">
      <w:bodyDiv w:val="1"/>
      <w:marLeft w:val="0"/>
      <w:marRight w:val="0"/>
      <w:marTop w:val="0"/>
      <w:marBottom w:val="0"/>
      <w:divBdr>
        <w:top w:val="none" w:sz="0" w:space="0" w:color="auto"/>
        <w:left w:val="none" w:sz="0" w:space="0" w:color="auto"/>
        <w:bottom w:val="none" w:sz="0" w:space="0" w:color="auto"/>
        <w:right w:val="none" w:sz="0" w:space="0" w:color="auto"/>
      </w:divBdr>
    </w:div>
    <w:div w:id="1899633480">
      <w:bodyDiv w:val="1"/>
      <w:marLeft w:val="0"/>
      <w:marRight w:val="0"/>
      <w:marTop w:val="0"/>
      <w:marBottom w:val="0"/>
      <w:divBdr>
        <w:top w:val="none" w:sz="0" w:space="0" w:color="auto"/>
        <w:left w:val="none" w:sz="0" w:space="0" w:color="auto"/>
        <w:bottom w:val="none" w:sz="0" w:space="0" w:color="auto"/>
        <w:right w:val="none" w:sz="0" w:space="0" w:color="auto"/>
      </w:divBdr>
    </w:div>
    <w:div w:id="1929775719">
      <w:bodyDiv w:val="1"/>
      <w:marLeft w:val="0"/>
      <w:marRight w:val="0"/>
      <w:marTop w:val="0"/>
      <w:marBottom w:val="0"/>
      <w:divBdr>
        <w:top w:val="none" w:sz="0" w:space="0" w:color="auto"/>
        <w:left w:val="none" w:sz="0" w:space="0" w:color="auto"/>
        <w:bottom w:val="none" w:sz="0" w:space="0" w:color="auto"/>
        <w:right w:val="none" w:sz="0" w:space="0" w:color="auto"/>
      </w:divBdr>
    </w:div>
    <w:div w:id="1951352789">
      <w:bodyDiv w:val="1"/>
      <w:marLeft w:val="0"/>
      <w:marRight w:val="0"/>
      <w:marTop w:val="0"/>
      <w:marBottom w:val="0"/>
      <w:divBdr>
        <w:top w:val="none" w:sz="0" w:space="0" w:color="auto"/>
        <w:left w:val="none" w:sz="0" w:space="0" w:color="auto"/>
        <w:bottom w:val="none" w:sz="0" w:space="0" w:color="auto"/>
        <w:right w:val="none" w:sz="0" w:space="0" w:color="auto"/>
      </w:divBdr>
    </w:div>
    <w:div w:id="1965189581">
      <w:bodyDiv w:val="1"/>
      <w:marLeft w:val="0"/>
      <w:marRight w:val="0"/>
      <w:marTop w:val="0"/>
      <w:marBottom w:val="0"/>
      <w:divBdr>
        <w:top w:val="none" w:sz="0" w:space="0" w:color="auto"/>
        <w:left w:val="none" w:sz="0" w:space="0" w:color="auto"/>
        <w:bottom w:val="none" w:sz="0" w:space="0" w:color="auto"/>
        <w:right w:val="none" w:sz="0" w:space="0" w:color="auto"/>
      </w:divBdr>
    </w:div>
    <w:div w:id="1967467689">
      <w:bodyDiv w:val="1"/>
      <w:marLeft w:val="0"/>
      <w:marRight w:val="0"/>
      <w:marTop w:val="0"/>
      <w:marBottom w:val="0"/>
      <w:divBdr>
        <w:top w:val="none" w:sz="0" w:space="0" w:color="auto"/>
        <w:left w:val="none" w:sz="0" w:space="0" w:color="auto"/>
        <w:bottom w:val="none" w:sz="0" w:space="0" w:color="auto"/>
        <w:right w:val="none" w:sz="0" w:space="0" w:color="auto"/>
      </w:divBdr>
    </w:div>
    <w:div w:id="1983851808">
      <w:bodyDiv w:val="1"/>
      <w:marLeft w:val="0"/>
      <w:marRight w:val="0"/>
      <w:marTop w:val="0"/>
      <w:marBottom w:val="0"/>
      <w:divBdr>
        <w:top w:val="none" w:sz="0" w:space="0" w:color="auto"/>
        <w:left w:val="none" w:sz="0" w:space="0" w:color="auto"/>
        <w:bottom w:val="none" w:sz="0" w:space="0" w:color="auto"/>
        <w:right w:val="none" w:sz="0" w:space="0" w:color="auto"/>
      </w:divBdr>
    </w:div>
    <w:div w:id="2007246704">
      <w:bodyDiv w:val="1"/>
      <w:marLeft w:val="0"/>
      <w:marRight w:val="0"/>
      <w:marTop w:val="0"/>
      <w:marBottom w:val="0"/>
      <w:divBdr>
        <w:top w:val="none" w:sz="0" w:space="0" w:color="auto"/>
        <w:left w:val="none" w:sz="0" w:space="0" w:color="auto"/>
        <w:bottom w:val="none" w:sz="0" w:space="0" w:color="auto"/>
        <w:right w:val="none" w:sz="0" w:space="0" w:color="auto"/>
      </w:divBdr>
    </w:div>
    <w:div w:id="2012947958">
      <w:bodyDiv w:val="1"/>
      <w:marLeft w:val="0"/>
      <w:marRight w:val="0"/>
      <w:marTop w:val="0"/>
      <w:marBottom w:val="0"/>
      <w:divBdr>
        <w:top w:val="none" w:sz="0" w:space="0" w:color="auto"/>
        <w:left w:val="none" w:sz="0" w:space="0" w:color="auto"/>
        <w:bottom w:val="none" w:sz="0" w:space="0" w:color="auto"/>
        <w:right w:val="none" w:sz="0" w:space="0" w:color="auto"/>
      </w:divBdr>
    </w:div>
    <w:div w:id="2086418826">
      <w:bodyDiv w:val="1"/>
      <w:marLeft w:val="0"/>
      <w:marRight w:val="0"/>
      <w:marTop w:val="0"/>
      <w:marBottom w:val="0"/>
      <w:divBdr>
        <w:top w:val="none" w:sz="0" w:space="0" w:color="auto"/>
        <w:left w:val="none" w:sz="0" w:space="0" w:color="auto"/>
        <w:bottom w:val="none" w:sz="0" w:space="0" w:color="auto"/>
        <w:right w:val="none" w:sz="0" w:space="0" w:color="auto"/>
      </w:divBdr>
      <w:divsChild>
        <w:div w:id="1698117075">
          <w:marLeft w:val="0"/>
          <w:marRight w:val="0"/>
          <w:marTop w:val="0"/>
          <w:marBottom w:val="0"/>
          <w:divBdr>
            <w:top w:val="none" w:sz="0" w:space="0" w:color="auto"/>
            <w:left w:val="none" w:sz="0" w:space="0" w:color="auto"/>
            <w:bottom w:val="none" w:sz="0" w:space="0" w:color="auto"/>
            <w:right w:val="none" w:sz="0" w:space="0" w:color="auto"/>
          </w:divBdr>
          <w:divsChild>
            <w:div w:id="108299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94521">
      <w:bodyDiv w:val="1"/>
      <w:marLeft w:val="0"/>
      <w:marRight w:val="0"/>
      <w:marTop w:val="0"/>
      <w:marBottom w:val="0"/>
      <w:divBdr>
        <w:top w:val="none" w:sz="0" w:space="0" w:color="auto"/>
        <w:left w:val="none" w:sz="0" w:space="0" w:color="auto"/>
        <w:bottom w:val="none" w:sz="0" w:space="0" w:color="auto"/>
        <w:right w:val="none" w:sz="0" w:space="0" w:color="auto"/>
      </w:divBdr>
    </w:div>
    <w:div w:id="2105683541">
      <w:bodyDiv w:val="1"/>
      <w:marLeft w:val="0"/>
      <w:marRight w:val="0"/>
      <w:marTop w:val="0"/>
      <w:marBottom w:val="0"/>
      <w:divBdr>
        <w:top w:val="none" w:sz="0" w:space="0" w:color="auto"/>
        <w:left w:val="none" w:sz="0" w:space="0" w:color="auto"/>
        <w:bottom w:val="none" w:sz="0" w:space="0" w:color="auto"/>
        <w:right w:val="none" w:sz="0" w:space="0" w:color="auto"/>
      </w:divBdr>
    </w:div>
    <w:div w:id="2120443242">
      <w:bodyDiv w:val="1"/>
      <w:marLeft w:val="0"/>
      <w:marRight w:val="0"/>
      <w:marTop w:val="0"/>
      <w:marBottom w:val="0"/>
      <w:divBdr>
        <w:top w:val="none" w:sz="0" w:space="0" w:color="auto"/>
        <w:left w:val="none" w:sz="0" w:space="0" w:color="auto"/>
        <w:bottom w:val="none" w:sz="0" w:space="0" w:color="auto"/>
        <w:right w:val="none" w:sz="0" w:space="0" w:color="auto"/>
      </w:divBdr>
    </w:div>
    <w:div w:id="2140100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6ABF7-4386-C748-A600-F04B9E755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8</Pages>
  <Words>1547</Words>
  <Characters>8824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10351</CharactersWithSpaces>
  <SharedDoc>false</SharedDoc>
  <HLinks>
    <vt:vector size="66" baseType="variant">
      <vt:variant>
        <vt:i4>1245233</vt:i4>
      </vt:variant>
      <vt:variant>
        <vt:i4>62</vt:i4>
      </vt:variant>
      <vt:variant>
        <vt:i4>0</vt:i4>
      </vt:variant>
      <vt:variant>
        <vt:i4>5</vt:i4>
      </vt:variant>
      <vt:variant>
        <vt:lpwstr/>
      </vt:variant>
      <vt:variant>
        <vt:lpwstr>_Toc212312045</vt:lpwstr>
      </vt:variant>
      <vt:variant>
        <vt:i4>1245233</vt:i4>
      </vt:variant>
      <vt:variant>
        <vt:i4>56</vt:i4>
      </vt:variant>
      <vt:variant>
        <vt:i4>0</vt:i4>
      </vt:variant>
      <vt:variant>
        <vt:i4>5</vt:i4>
      </vt:variant>
      <vt:variant>
        <vt:lpwstr/>
      </vt:variant>
      <vt:variant>
        <vt:lpwstr>_Toc212312044</vt:lpwstr>
      </vt:variant>
      <vt:variant>
        <vt:i4>1245233</vt:i4>
      </vt:variant>
      <vt:variant>
        <vt:i4>50</vt:i4>
      </vt:variant>
      <vt:variant>
        <vt:i4>0</vt:i4>
      </vt:variant>
      <vt:variant>
        <vt:i4>5</vt:i4>
      </vt:variant>
      <vt:variant>
        <vt:lpwstr/>
      </vt:variant>
      <vt:variant>
        <vt:lpwstr>_Toc212312043</vt:lpwstr>
      </vt:variant>
      <vt:variant>
        <vt:i4>1245233</vt:i4>
      </vt:variant>
      <vt:variant>
        <vt:i4>44</vt:i4>
      </vt:variant>
      <vt:variant>
        <vt:i4>0</vt:i4>
      </vt:variant>
      <vt:variant>
        <vt:i4>5</vt:i4>
      </vt:variant>
      <vt:variant>
        <vt:lpwstr/>
      </vt:variant>
      <vt:variant>
        <vt:lpwstr>_Toc212312042</vt:lpwstr>
      </vt:variant>
      <vt:variant>
        <vt:i4>1245233</vt:i4>
      </vt:variant>
      <vt:variant>
        <vt:i4>38</vt:i4>
      </vt:variant>
      <vt:variant>
        <vt:i4>0</vt:i4>
      </vt:variant>
      <vt:variant>
        <vt:i4>5</vt:i4>
      </vt:variant>
      <vt:variant>
        <vt:lpwstr/>
      </vt:variant>
      <vt:variant>
        <vt:lpwstr>_Toc212312041</vt:lpwstr>
      </vt:variant>
      <vt:variant>
        <vt:i4>1245233</vt:i4>
      </vt:variant>
      <vt:variant>
        <vt:i4>32</vt:i4>
      </vt:variant>
      <vt:variant>
        <vt:i4>0</vt:i4>
      </vt:variant>
      <vt:variant>
        <vt:i4>5</vt:i4>
      </vt:variant>
      <vt:variant>
        <vt:lpwstr/>
      </vt:variant>
      <vt:variant>
        <vt:lpwstr>_Toc212312040</vt:lpwstr>
      </vt:variant>
      <vt:variant>
        <vt:i4>1310769</vt:i4>
      </vt:variant>
      <vt:variant>
        <vt:i4>26</vt:i4>
      </vt:variant>
      <vt:variant>
        <vt:i4>0</vt:i4>
      </vt:variant>
      <vt:variant>
        <vt:i4>5</vt:i4>
      </vt:variant>
      <vt:variant>
        <vt:lpwstr/>
      </vt:variant>
      <vt:variant>
        <vt:lpwstr>_Toc212312039</vt:lpwstr>
      </vt:variant>
      <vt:variant>
        <vt:i4>1310769</vt:i4>
      </vt:variant>
      <vt:variant>
        <vt:i4>20</vt:i4>
      </vt:variant>
      <vt:variant>
        <vt:i4>0</vt:i4>
      </vt:variant>
      <vt:variant>
        <vt:i4>5</vt:i4>
      </vt:variant>
      <vt:variant>
        <vt:lpwstr/>
      </vt:variant>
      <vt:variant>
        <vt:lpwstr>_Toc212312038</vt:lpwstr>
      </vt:variant>
      <vt:variant>
        <vt:i4>1310769</vt:i4>
      </vt:variant>
      <vt:variant>
        <vt:i4>14</vt:i4>
      </vt:variant>
      <vt:variant>
        <vt:i4>0</vt:i4>
      </vt:variant>
      <vt:variant>
        <vt:i4>5</vt:i4>
      </vt:variant>
      <vt:variant>
        <vt:lpwstr/>
      </vt:variant>
      <vt:variant>
        <vt:lpwstr>_Toc212312037</vt:lpwstr>
      </vt:variant>
      <vt:variant>
        <vt:i4>1310769</vt:i4>
      </vt:variant>
      <vt:variant>
        <vt:i4>8</vt:i4>
      </vt:variant>
      <vt:variant>
        <vt:i4>0</vt:i4>
      </vt:variant>
      <vt:variant>
        <vt:i4>5</vt:i4>
      </vt:variant>
      <vt:variant>
        <vt:lpwstr/>
      </vt:variant>
      <vt:variant>
        <vt:lpwstr>_Toc212312036</vt:lpwstr>
      </vt:variant>
      <vt:variant>
        <vt:i4>1310769</vt:i4>
      </vt:variant>
      <vt:variant>
        <vt:i4>2</vt:i4>
      </vt:variant>
      <vt:variant>
        <vt:i4>0</vt:i4>
      </vt:variant>
      <vt:variant>
        <vt:i4>5</vt:i4>
      </vt:variant>
      <vt:variant>
        <vt:lpwstr/>
      </vt:variant>
      <vt:variant>
        <vt:lpwstr>_Toc212312035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Parida, Priyadarshan</dc:creator>
  <cp:keywords/>
  <dc:description/>
  <cp:lastModifiedBy>Jana, Sunayana</cp:lastModifiedBy>
  <cp:revision>683</cp:revision>
  <dcterms:created xsi:type="dcterms:W3CDTF">2025-05-09T04:49:00Z</dcterms:created>
  <dcterms:modified xsi:type="dcterms:W3CDTF">2025-11-25T00:12:00Z</dcterms:modified>
</cp:coreProperties>
</file>