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15B0A2">
      <w:pPr>
        <w:pStyle w:val="2"/>
        <w:keepNext w:val="0"/>
        <w:keepLines w:val="0"/>
        <w:widowControl/>
        <w:suppressLineNumbers w:val="0"/>
        <w:spacing w:before="0" w:beforeAutospacing="0" w:line="17" w:lineRule="atLeast"/>
        <w:ind w:left="0" w:right="0"/>
        <w:rPr>
          <w:rFonts w:ascii="sans-serif" w:hAnsi="sans-serif" w:eastAsia="sans-serif" w:cs="sans-serif"/>
        </w:rPr>
      </w:pPr>
      <w:r>
        <w:rPr>
          <w:rFonts w:hint="default" w:ascii="sans-serif" w:hAnsi="sans-serif" w:eastAsia="sans-serif" w:cs="sans-serif"/>
          <w:b/>
          <w:bCs/>
        </w:rPr>
        <w:t>WEEK 2 – POWER BI DATA ANALYSIS</w:t>
      </w:r>
    </w:p>
    <w:p w14:paraId="197A99CD">
      <w:pPr>
        <w:pStyle w:val="4"/>
        <w:keepNext w:val="0"/>
        <w:keepLines w:val="0"/>
        <w:widowControl/>
        <w:suppressLineNumbers w:val="0"/>
        <w:spacing w:before="0" w:beforeAutospacing="0" w:line="17" w:lineRule="atLeast"/>
        <w:ind w:left="0" w:right="0"/>
        <w:rPr>
          <w:rFonts w:hint="default" w:ascii="sans-serif" w:hAnsi="sans-serif" w:eastAsia="sans-serif" w:cs="sans-serif"/>
          <w:lang w:val="en-US"/>
        </w:rPr>
      </w:pPr>
      <w:r>
        <w:rPr>
          <w:rFonts w:hint="default" w:ascii="sans-serif" w:hAnsi="sans-serif" w:eastAsia="sans-serif" w:cs="sans-serif"/>
          <w:b/>
          <w:bCs/>
        </w:rPr>
        <w:t>Superstore Sales &amp; Profit Analysis Dashboard</w:t>
      </w:r>
      <w:r>
        <w:rPr>
          <w:rFonts w:hint="default" w:ascii="sans-serif" w:hAnsi="sans-serif" w:eastAsia="sans-serif" w:cs="sans-serif"/>
          <w:b/>
          <w:bCs/>
        </w:rPr>
        <w:br w:type="textWrapping"/>
      </w:r>
      <w:r>
        <w:rPr>
          <w:rFonts w:hint="default" w:ascii="sans-serif" w:hAnsi="sans-serif" w:eastAsia="sans-serif" w:cs="sans-serif"/>
          <w:b/>
          <w:bCs/>
        </w:rPr>
        <w:br w:type="textWrapping"/>
      </w:r>
      <w:r>
        <w:rPr>
          <w:rFonts w:hint="default" w:ascii="sans-serif" w:hAnsi="sans-serif" w:eastAsia="sans-serif" w:cs="sans-serif"/>
          <w:b/>
          <w:bCs/>
          <w:lang w:val="en-US"/>
        </w:rPr>
        <w:t>Submitted by :Priyadharshini B</w:t>
      </w:r>
      <w:r>
        <w:rPr>
          <w:rFonts w:hint="default" w:ascii="sans-serif" w:hAnsi="sans-serif" w:eastAsia="sans-serif" w:cs="sans-serif"/>
          <w:b/>
          <w:bCs/>
          <w:lang w:val="en-US"/>
        </w:rPr>
        <w:br w:type="textWrapping"/>
      </w:r>
      <w:r>
        <w:rPr>
          <w:rFonts w:hint="default" w:ascii="sans-serif" w:hAnsi="sans-serif" w:eastAsia="sans-serif" w:cs="sans-serif"/>
          <w:b/>
          <w:bCs/>
          <w:lang w:val="en-US"/>
        </w:rPr>
        <w:t>Roll No : E25DA050</w:t>
      </w:r>
    </w:p>
    <w:p w14:paraId="7265C422">
      <w:pPr>
        <w:pStyle w:val="4"/>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1. Introduction</w:t>
      </w:r>
    </w:p>
    <w:p w14:paraId="15F44209">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 xml:space="preserve">Microsoft Power BI serves as an advanced business intelligence tool designed for analyzing and visualizing complex data streams. This project leverages the Superstore Sales Dataset to evaluate corporate metrics spanning revenue, profit performance, order volumes, product lines, customer distributions, and regional trends. </w:t>
      </w:r>
    </w:p>
    <w:p w14:paraId="7A8F2A16">
      <w:pPr>
        <w:pStyle w:val="4"/>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2. Project Objectives</w:t>
      </w:r>
    </w:p>
    <w:p w14:paraId="1B4CF57A">
      <w:pPr>
        <w:pStyle w:val="9"/>
        <w:keepNext w:val="0"/>
        <w:keepLines w:val="0"/>
        <w:widowControl/>
        <w:numPr>
          <w:ilvl w:val="0"/>
          <w:numId w:val="1"/>
        </w:numPr>
        <w:suppressLineNumbers w:val="0"/>
        <w:spacing w:before="0" w:beforeAutospacing="0" w:line="17" w:lineRule="atLeast"/>
        <w:ind w:left="420" w:leftChars="0" w:right="0" w:hanging="420" w:firstLineChars="0"/>
        <w:rPr>
          <w:rFonts w:hint="default" w:ascii="sans-serif" w:hAnsi="sans-serif" w:eastAsia="sans-serif" w:cs="sans-serif"/>
        </w:rPr>
      </w:pPr>
      <w:r>
        <w:rPr>
          <w:rFonts w:hint="default" w:ascii="sans-serif" w:hAnsi="sans-serif" w:eastAsia="sans-serif" w:cs="sans-serif"/>
        </w:rPr>
        <w:t xml:space="preserve">Conduct an in-depth analytical review of the Superstore dataset. </w:t>
      </w:r>
    </w:p>
    <w:p w14:paraId="07E09A38">
      <w:pPr>
        <w:pStyle w:val="9"/>
        <w:keepNext w:val="0"/>
        <w:keepLines w:val="0"/>
        <w:widowControl/>
        <w:numPr>
          <w:ilvl w:val="0"/>
          <w:numId w:val="1"/>
        </w:numPr>
        <w:suppressLineNumbers w:val="0"/>
        <w:spacing w:before="0" w:beforeAutospacing="0" w:line="17" w:lineRule="atLeast"/>
        <w:ind w:left="420" w:leftChars="0" w:right="0" w:hanging="420" w:firstLineChars="0"/>
        <w:rPr>
          <w:rFonts w:hint="default" w:ascii="sans-serif" w:hAnsi="sans-serif" w:eastAsia="sans-serif" w:cs="sans-serif"/>
        </w:rPr>
      </w:pPr>
      <w:r>
        <w:rPr>
          <w:rFonts w:hint="default" w:ascii="sans-serif" w:hAnsi="sans-serif" w:eastAsia="sans-serif" w:cs="sans-serif"/>
        </w:rPr>
        <w:t>Cleanse, structure, and refine raw data for optimal processing.</w:t>
      </w:r>
    </w:p>
    <w:p w14:paraId="32528474">
      <w:pPr>
        <w:pStyle w:val="9"/>
        <w:keepNext w:val="0"/>
        <w:keepLines w:val="0"/>
        <w:widowControl/>
        <w:numPr>
          <w:ilvl w:val="0"/>
          <w:numId w:val="1"/>
        </w:numPr>
        <w:suppressLineNumbers w:val="0"/>
        <w:spacing w:before="0" w:beforeAutospacing="0" w:line="17" w:lineRule="atLeast"/>
        <w:ind w:left="420" w:leftChars="0" w:right="0" w:hanging="420" w:firstLineChars="0"/>
        <w:rPr>
          <w:rFonts w:hint="default" w:ascii="sans-serif" w:hAnsi="sans-serif" w:eastAsia="sans-serif" w:cs="sans-serif"/>
        </w:rPr>
      </w:pPr>
      <w:r>
        <w:rPr>
          <w:rFonts w:hint="default" w:ascii="sans-serif" w:hAnsi="sans-serif" w:eastAsia="sans-serif" w:cs="sans-serif"/>
        </w:rPr>
        <w:t>Construct a robust data schema alongside a dedicated Date Table.</w:t>
      </w:r>
    </w:p>
    <w:p w14:paraId="5F7141C8">
      <w:pPr>
        <w:pStyle w:val="9"/>
        <w:keepNext w:val="0"/>
        <w:keepLines w:val="0"/>
        <w:widowControl/>
        <w:numPr>
          <w:ilvl w:val="0"/>
          <w:numId w:val="1"/>
        </w:numPr>
        <w:suppressLineNumbers w:val="0"/>
        <w:spacing w:before="0" w:beforeAutospacing="0" w:line="17" w:lineRule="atLeast"/>
        <w:ind w:left="420" w:leftChars="0" w:right="0" w:hanging="420" w:firstLineChars="0"/>
        <w:rPr>
          <w:rFonts w:hint="default" w:ascii="sans-serif" w:hAnsi="sans-serif" w:eastAsia="sans-serif" w:cs="sans-serif"/>
        </w:rPr>
      </w:pPr>
      <w:r>
        <w:rPr>
          <w:rFonts w:hint="default" w:ascii="sans-serif" w:hAnsi="sans-serif" w:eastAsia="sans-serif" w:cs="sans-serif"/>
        </w:rPr>
        <w:t>Compute critical performance indicators utilizing DAX expressions.</w:t>
      </w:r>
    </w:p>
    <w:p w14:paraId="24937D42">
      <w:pPr>
        <w:pStyle w:val="9"/>
        <w:keepNext w:val="0"/>
        <w:keepLines w:val="0"/>
        <w:widowControl/>
        <w:numPr>
          <w:ilvl w:val="0"/>
          <w:numId w:val="1"/>
        </w:numPr>
        <w:suppressLineNumbers w:val="0"/>
        <w:spacing w:before="0" w:beforeAutospacing="0" w:line="17" w:lineRule="atLeast"/>
        <w:ind w:left="420" w:leftChars="0" w:right="0" w:hanging="420" w:firstLineChars="0"/>
        <w:rPr>
          <w:rFonts w:hint="default" w:ascii="sans-serif" w:hAnsi="sans-serif" w:eastAsia="sans-serif" w:cs="sans-serif"/>
        </w:rPr>
      </w:pPr>
      <w:r>
        <w:rPr>
          <w:rFonts w:hint="default" w:ascii="sans-serif" w:hAnsi="sans-serif" w:eastAsia="sans-serif" w:cs="sans-serif"/>
        </w:rPr>
        <w:t>Evaluate financial performance across diverse product segments and geographic zones.</w:t>
      </w:r>
    </w:p>
    <w:p w14:paraId="11186A18">
      <w:pPr>
        <w:pStyle w:val="9"/>
        <w:keepNext w:val="0"/>
        <w:keepLines w:val="0"/>
        <w:widowControl/>
        <w:numPr>
          <w:ilvl w:val="0"/>
          <w:numId w:val="1"/>
        </w:numPr>
        <w:suppressLineNumbers w:val="0"/>
        <w:spacing w:before="0" w:beforeAutospacing="0" w:line="17" w:lineRule="atLeast"/>
        <w:ind w:left="420" w:leftChars="0" w:right="0" w:hanging="420" w:firstLineChars="0"/>
        <w:rPr>
          <w:rFonts w:hint="default" w:ascii="sans-serif" w:hAnsi="sans-serif" w:eastAsia="sans-serif" w:cs="sans-serif"/>
        </w:rPr>
      </w:pPr>
      <w:r>
        <w:rPr>
          <w:rFonts w:hint="default" w:ascii="sans-serif" w:hAnsi="sans-serif" w:eastAsia="sans-serif" w:cs="sans-serif"/>
        </w:rPr>
        <w:t xml:space="preserve">Develop an end-to-end interactive reporting dashboard. </w:t>
      </w:r>
    </w:p>
    <w:p w14:paraId="7EC74D78">
      <w:pPr>
        <w:keepNext w:val="0"/>
        <w:keepLines w:val="0"/>
        <w:widowControl/>
        <w:numPr>
          <w:numId w:val="0"/>
        </w:numPr>
        <w:suppressLineNumbers w:val="0"/>
        <w:spacing w:before="0" w:beforeAutospacing="0" w:after="0" w:afterAutospacing="1" w:line="17" w:lineRule="atLeast"/>
        <w:ind w:left="-360" w:leftChars="0" w:right="0" w:rightChars="0"/>
        <w:rPr>
          <w:rFonts w:hint="default" w:ascii="sans-serif" w:hAnsi="sans-serif" w:eastAsia="sans-serif" w:cs="sans-serif"/>
        </w:rPr>
      </w:pPr>
    </w:p>
    <w:p w14:paraId="5ED79F35">
      <w:pPr>
        <w:pStyle w:val="4"/>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3. Dataset Overview</w:t>
      </w:r>
    </w:p>
    <w:p w14:paraId="15263594">
      <w:pPr>
        <w:pStyle w:val="9"/>
        <w:keepNext w:val="0"/>
        <w:keepLines w:val="0"/>
        <w:widowControl/>
        <w:numPr>
          <w:ilvl w:val="0"/>
          <w:numId w:val="1"/>
        </w:numPr>
        <w:suppressLineNumbers w:val="0"/>
        <w:spacing w:before="0" w:beforeAutospacing="0" w:line="17" w:lineRule="atLeast"/>
        <w:ind w:left="420" w:leftChars="0" w:right="0" w:hanging="420" w:firstLineChars="0"/>
        <w:rPr>
          <w:rFonts w:hint="default" w:ascii="sans-serif" w:hAnsi="sans-serif" w:eastAsia="sans-serif" w:cs="sans-serif"/>
        </w:rPr>
      </w:pPr>
      <w:r>
        <w:rPr>
          <w:rFonts w:hint="default" w:ascii="sans-serif" w:hAnsi="sans-serif" w:eastAsia="sans-serif" w:cs="sans-serif"/>
        </w:rPr>
        <w:t xml:space="preserve">The underlying dataset encompasses transactional records covering customer profiles, merchandise attributes, financial figures, regional boundaries, and market segments. </w:t>
      </w:r>
    </w:p>
    <w:p w14:paraId="65638F81">
      <w:pPr>
        <w:pStyle w:val="9"/>
        <w:keepNext w:val="0"/>
        <w:keepLines w:val="0"/>
        <w:widowControl/>
        <w:numPr>
          <w:ilvl w:val="0"/>
          <w:numId w:val="1"/>
        </w:numPr>
        <w:suppressLineNumbers w:val="0"/>
        <w:spacing w:before="0" w:beforeAutospacing="0" w:line="17" w:lineRule="atLeast"/>
        <w:ind w:left="420" w:leftChars="0" w:right="0" w:hanging="420" w:firstLineChars="0"/>
        <w:rPr>
          <w:rFonts w:hint="default" w:ascii="sans-serif" w:hAnsi="sans-serif" w:eastAsia="sans-serif" w:cs="sans-serif"/>
        </w:rPr>
      </w:pPr>
      <w:r>
        <w:rPr>
          <w:rFonts w:hint="default" w:ascii="sans-serif" w:hAnsi="sans-serif" w:eastAsia="sans-serif" w:cs="sans-serif"/>
          <w:b/>
          <w:bCs/>
          <w:u w:val="single"/>
        </w:rPr>
        <w:t>Key Fields Included</w:t>
      </w:r>
      <w:r>
        <w:rPr>
          <w:rFonts w:hint="default" w:ascii="sans-serif" w:hAnsi="sans-serif" w:eastAsia="sans-serif" w:cs="sans-serif"/>
          <w:b/>
          <w:bCs/>
        </w:rPr>
        <w:t>:</w:t>
      </w:r>
      <w:r>
        <w:rPr>
          <w:rFonts w:hint="default" w:ascii="sans-serif" w:hAnsi="sans-serif" w:eastAsia="sans-serif" w:cs="sans-serif"/>
        </w:rPr>
        <w:t xml:space="preserve"> Order Date, Customer ID, Product Name, Category, Sales Amount, Quantity Sold, Net Profit, Region, and Segment. </w:t>
      </w:r>
    </w:p>
    <w:p w14:paraId="14B96B8E">
      <w:pPr>
        <w:pStyle w:val="4"/>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4. Data Preparation &amp; Transformation</w:t>
      </w:r>
    </w:p>
    <w:p w14:paraId="6354E92D">
      <w:pPr>
        <w:pStyle w:val="9"/>
        <w:keepNext w:val="0"/>
        <w:keepLines w:val="0"/>
        <w:widowControl/>
        <w:numPr>
          <w:ilvl w:val="0"/>
          <w:numId w:val="1"/>
        </w:numPr>
        <w:suppressLineNumbers w:val="0"/>
        <w:spacing w:before="0" w:beforeAutospacing="0" w:line="17" w:lineRule="atLeast"/>
        <w:ind w:left="420" w:leftChars="0" w:right="0" w:hanging="420" w:firstLineChars="0"/>
        <w:rPr>
          <w:rFonts w:hint="default" w:ascii="sans-serif" w:hAnsi="sans-serif" w:eastAsia="sans-serif" w:cs="sans-serif"/>
        </w:rPr>
      </w:pPr>
      <w:r>
        <w:rPr>
          <w:rFonts w:hint="default" w:ascii="sans-serif" w:hAnsi="sans-serif" w:eastAsia="sans-serif" w:cs="sans-serif"/>
        </w:rPr>
        <w:t>Power Query was utilized to inspect column data types, reorganize relational structures, and sanitize raw inputs. Normalized tables and active relationships were established to ensure structural integrity for analysis</w:t>
      </w:r>
      <w:r>
        <w:rPr>
          <w:rFonts w:hint="default" w:ascii="sans-serif" w:hAnsi="sans-serif" w:eastAsia="sans-serif" w:cs="sans-serif"/>
        </w:rPr>
        <w:br w:type="textWrapping"/>
      </w:r>
      <w:r>
        <w:drawing>
          <wp:inline distT="0" distB="0" distL="114300" distR="114300">
            <wp:extent cx="5868670" cy="2797810"/>
            <wp:effectExtent l="0" t="0" r="17780" b="2540"/>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pic:cNvPicPr>
                      <a:picLocks noChangeAspect="1"/>
                    </pic:cNvPicPr>
                  </pic:nvPicPr>
                  <pic:blipFill>
                    <a:blip r:embed="rId6"/>
                    <a:stretch>
                      <a:fillRect/>
                    </a:stretch>
                  </pic:blipFill>
                  <pic:spPr>
                    <a:xfrm>
                      <a:off x="0" y="0"/>
                      <a:ext cx="5868670" cy="2797810"/>
                    </a:xfrm>
                    <a:prstGeom prst="rect">
                      <a:avLst/>
                    </a:prstGeom>
                    <a:noFill/>
                    <a:ln>
                      <a:noFill/>
                    </a:ln>
                  </pic:spPr>
                </pic:pic>
              </a:graphicData>
            </a:graphic>
          </wp:inline>
        </w:drawing>
      </w:r>
      <w:r>
        <w:rPr>
          <w:rFonts w:hint="default" w:ascii="sans-serif" w:hAnsi="sans-serif" w:eastAsia="sans-serif" w:cs="sans-serif"/>
        </w:rPr>
        <w:t xml:space="preserve">. </w:t>
      </w:r>
    </w:p>
    <w:p w14:paraId="2AEF4120">
      <w:pPr>
        <w:pStyle w:val="4"/>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5. Date Dimension Setup</w:t>
      </w:r>
    </w:p>
    <w:p w14:paraId="2780504E">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 xml:space="preserve">A custom Date Table was engineered incorporating the following attributes: </w:t>
      </w:r>
    </w:p>
    <w:p w14:paraId="402E129E">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 xml:space="preserve">Calendar Date </w:t>
      </w:r>
    </w:p>
    <w:p w14:paraId="4194551A">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 xml:space="preserve">Year </w:t>
      </w:r>
    </w:p>
    <w:p w14:paraId="40280D10">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 xml:space="preserve">Month Name </w:t>
      </w:r>
    </w:p>
    <w:p w14:paraId="3B54E231">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 xml:space="preserve">Month Index Number </w:t>
      </w:r>
    </w:p>
    <w:p w14:paraId="346599CB">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 xml:space="preserve">This table was linked directly to the primary </w:t>
      </w:r>
      <w:r>
        <w:rPr>
          <w:rFonts w:hint="default" w:ascii="sans-serif" w:hAnsi="sans-serif" w:eastAsia="sans-serif" w:cs="sans-serif"/>
          <w:b/>
          <w:bCs/>
        </w:rPr>
        <w:t>Order Date</w:t>
      </w:r>
      <w:r>
        <w:rPr>
          <w:rFonts w:hint="default" w:ascii="sans-serif" w:hAnsi="sans-serif" w:eastAsia="sans-serif" w:cs="sans-serif"/>
        </w:rPr>
        <w:t xml:space="preserve"> field to enable seamless time-intelligence capabilities. </w:t>
      </w:r>
      <w:r>
        <w:rPr>
          <w:rFonts w:hint="default" w:ascii="sans-serif" w:hAnsi="sans-serif" w:eastAsia="sans-serif" w:cs="sans-serif"/>
        </w:rPr>
        <w:br w:type="textWrapping"/>
      </w:r>
      <w:r>
        <w:drawing>
          <wp:inline distT="0" distB="0" distL="114300" distR="114300">
            <wp:extent cx="5873115" cy="2293620"/>
            <wp:effectExtent l="0" t="0" r="13335" b="11430"/>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pic:cNvPicPr>
                      <a:picLocks noChangeAspect="1"/>
                    </pic:cNvPicPr>
                  </pic:nvPicPr>
                  <pic:blipFill>
                    <a:blip r:embed="rId7"/>
                    <a:stretch>
                      <a:fillRect/>
                    </a:stretch>
                  </pic:blipFill>
                  <pic:spPr>
                    <a:xfrm>
                      <a:off x="0" y="0"/>
                      <a:ext cx="5873115" cy="2293620"/>
                    </a:xfrm>
                    <a:prstGeom prst="rect">
                      <a:avLst/>
                    </a:prstGeom>
                    <a:noFill/>
                    <a:ln>
                      <a:noFill/>
                    </a:ln>
                  </pic:spPr>
                </pic:pic>
              </a:graphicData>
            </a:graphic>
          </wp:inline>
        </w:drawing>
      </w:r>
    </w:p>
    <w:p w14:paraId="1B5CF046">
      <w:pPr>
        <w:pStyle w:val="4"/>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6. Key DAX Measures</w:t>
      </w:r>
    </w:p>
    <w:p w14:paraId="5987068B">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 xml:space="preserve">The analytical model utilizes several custom dynamic measures created with DAX: </w:t>
      </w:r>
    </w:p>
    <w:p w14:paraId="169E7016">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Total Sales</w:t>
      </w:r>
    </w:p>
    <w:p w14:paraId="4E57F9D6">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Total Profit</w:t>
      </w:r>
    </w:p>
    <w:p w14:paraId="1EA559CB">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Total Orders</w:t>
      </w:r>
    </w:p>
    <w:p w14:paraId="5AEBC5C0">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Total Quantity</w:t>
      </w:r>
    </w:p>
    <w:p w14:paraId="26F14E1F">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Average Sales</w:t>
      </w:r>
    </w:p>
    <w:p w14:paraId="1B251BA3">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Profit Margin %</w:t>
      </w:r>
      <w:r>
        <w:rPr>
          <w:rFonts w:hint="default" w:ascii="sans-serif" w:hAnsi="sans-serif" w:eastAsia="sans-serif" w:cs="sans-serif"/>
          <w:b/>
          <w:bCs/>
        </w:rPr>
        <w:br w:type="textWrapping"/>
      </w:r>
      <w:r>
        <w:drawing>
          <wp:inline distT="0" distB="0" distL="114300" distR="114300">
            <wp:extent cx="4210050" cy="3219450"/>
            <wp:effectExtent l="0" t="0" r="0" b="0"/>
            <wp:docPr id="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pic:cNvPicPr>
                      <a:picLocks noChangeAspect="1"/>
                    </pic:cNvPicPr>
                  </pic:nvPicPr>
                  <pic:blipFill>
                    <a:blip r:embed="rId8"/>
                    <a:stretch>
                      <a:fillRect/>
                    </a:stretch>
                  </pic:blipFill>
                  <pic:spPr>
                    <a:xfrm>
                      <a:off x="0" y="0"/>
                      <a:ext cx="4210050" cy="3219450"/>
                    </a:xfrm>
                    <a:prstGeom prst="rect">
                      <a:avLst/>
                    </a:prstGeom>
                    <a:noFill/>
                    <a:ln>
                      <a:noFill/>
                    </a:ln>
                  </pic:spPr>
                </pic:pic>
              </a:graphicData>
            </a:graphic>
          </wp:inline>
        </w:drawing>
      </w:r>
    </w:p>
    <w:p w14:paraId="28E4613E">
      <w:pPr>
        <w:pStyle w:val="4"/>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7. Dashboard Architecture</w:t>
      </w:r>
    </w:p>
    <w:p w14:paraId="227DD303">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 xml:space="preserve">The reporting layout incorporates key interactive elements: </w:t>
      </w:r>
    </w:p>
    <w:p w14:paraId="147CC817">
      <w:pPr>
        <w:keepNext w:val="0"/>
        <w:keepLines w:val="0"/>
        <w:widowControl/>
        <w:numPr>
          <w:numId w:val="0"/>
        </w:numPr>
        <w:suppressLineNumbers w:val="0"/>
        <w:spacing w:before="0" w:beforeAutospacing="0" w:after="0" w:afterAutospacing="1" w:line="17" w:lineRule="atLeast"/>
        <w:ind w:right="0" w:rightChars="0"/>
        <w:rPr>
          <w:rFonts w:hint="default" w:ascii="sans-serif" w:hAnsi="sans-serif" w:eastAsia="sans-serif" w:cs="sans-serif"/>
        </w:rPr>
      </w:pPr>
    </w:p>
    <w:p w14:paraId="0A346F53">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KPI Scorecards</w:t>
      </w:r>
      <w:r>
        <w:rPr>
          <w:rFonts w:hint="default" w:ascii="sans-serif" w:hAnsi="sans-serif" w:eastAsia="sans-serif" w:cs="sans-serif"/>
        </w:rPr>
        <w:t xml:space="preserve"> for top-level business health metrics. </w:t>
      </w:r>
    </w:p>
    <w:p w14:paraId="214AD156">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Category Sales Distribution Chart</w:t>
      </w:r>
      <w:r>
        <w:rPr>
          <w:rFonts w:hint="default" w:ascii="sans-serif" w:hAnsi="sans-serif" w:eastAsia="sans-serif" w:cs="sans-serif"/>
        </w:rPr>
        <w:t xml:space="preserve"> for product breakdowns. </w:t>
      </w:r>
    </w:p>
    <w:p w14:paraId="355A62A6">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Regional Profitability Chart</w:t>
      </w:r>
      <w:r>
        <w:rPr>
          <w:rFonts w:hint="default" w:ascii="sans-serif" w:hAnsi="sans-serif" w:eastAsia="sans-serif" w:cs="sans-serif"/>
        </w:rPr>
        <w:t xml:space="preserve"> for geographical comparative analysis. </w:t>
      </w:r>
    </w:p>
    <w:p w14:paraId="4EDC3183">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Sales Trend Line Chart</w:t>
      </w:r>
      <w:r>
        <w:rPr>
          <w:rFonts w:hint="default" w:ascii="sans-serif" w:hAnsi="sans-serif" w:eastAsia="sans-serif" w:cs="sans-serif"/>
        </w:rPr>
        <w:t xml:space="preserve"> for historical timeline analysis. </w:t>
      </w:r>
    </w:p>
    <w:p w14:paraId="04CA4513">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Interactive Slicers</w:t>
      </w:r>
      <w:r>
        <w:rPr>
          <w:rFonts w:hint="default" w:ascii="sans-serif" w:hAnsi="sans-serif" w:eastAsia="sans-serif" w:cs="sans-serif"/>
        </w:rPr>
        <w:t xml:space="preserve"> for customized slice-and-dice capability. </w:t>
      </w:r>
    </w:p>
    <w:p w14:paraId="66565DB6">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Decomposition Tree Visual</w:t>
      </w:r>
      <w:r>
        <w:rPr>
          <w:rFonts w:hint="default" w:ascii="sans-serif" w:hAnsi="sans-serif" w:eastAsia="sans-serif" w:cs="sans-serif"/>
        </w:rPr>
        <w:t xml:space="preserve"> for root-cause data exploration. </w:t>
      </w:r>
    </w:p>
    <w:p w14:paraId="711A6E85">
      <w:pPr>
        <w:keepNext w:val="0"/>
        <w:keepLines w:val="0"/>
        <w:widowControl/>
        <w:numPr>
          <w:numId w:val="0"/>
        </w:numPr>
        <w:suppressLineNumbers w:val="0"/>
        <w:spacing w:before="0" w:beforeAutospacing="0" w:after="0" w:afterAutospacing="1" w:line="17" w:lineRule="atLeast"/>
        <w:ind w:left="-360" w:leftChars="0" w:right="0" w:rightChars="0"/>
        <w:rPr>
          <w:rFonts w:hint="default" w:ascii="sans-serif" w:hAnsi="sans-serif" w:eastAsia="sans-serif" w:cs="sans-serif"/>
        </w:rPr>
      </w:pPr>
    </w:p>
    <w:p w14:paraId="5B27AAC1">
      <w:pPr>
        <w:pStyle w:val="4"/>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8. Key Analytical Insights</w:t>
      </w:r>
    </w:p>
    <w:p w14:paraId="3F9B4F07">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 xml:space="preserve">The complete dashboard facilitates high-level and granular evaluations of total earnings, margin efficiency, top-performing product groups, regional contributions, buyer demographics, and temporal revenue trends. </w:t>
      </w:r>
    </w:p>
    <w:p w14:paraId="13FCEE29">
      <w:pPr>
        <w:pStyle w:val="4"/>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9. Business Advantages</w:t>
      </w:r>
    </w:p>
    <w:p w14:paraId="35A24C80">
      <w:pPr>
        <w:pStyle w:val="9"/>
        <w:keepNext w:val="0"/>
        <w:keepLines w:val="0"/>
        <w:widowControl/>
        <w:numPr>
          <w:ilvl w:val="0"/>
          <w:numId w:val="1"/>
        </w:numPr>
        <w:suppressLineNumbers w:val="0"/>
        <w:spacing w:before="0" w:beforeAutospacing="0" w:line="17" w:lineRule="atLeast"/>
        <w:ind w:left="420" w:leftChars="0" w:right="0" w:hanging="420" w:firstLineChars="0"/>
        <w:rPr>
          <w:rFonts w:hint="default" w:ascii="sans-serif" w:hAnsi="sans-serif" w:eastAsia="sans-serif" w:cs="sans-serif"/>
        </w:rPr>
      </w:pPr>
      <w:r>
        <w:rPr>
          <w:rFonts w:hint="default" w:ascii="sans-serif" w:hAnsi="sans-serif" w:eastAsia="sans-serif" w:cs="sans-serif"/>
        </w:rPr>
        <w:t xml:space="preserve">Real-time interactive exploration </w:t>
      </w:r>
    </w:p>
    <w:p w14:paraId="4ED68E5C">
      <w:pPr>
        <w:pStyle w:val="9"/>
        <w:keepNext w:val="0"/>
        <w:keepLines w:val="0"/>
        <w:widowControl/>
        <w:numPr>
          <w:ilvl w:val="0"/>
          <w:numId w:val="1"/>
        </w:numPr>
        <w:suppressLineNumbers w:val="0"/>
        <w:spacing w:before="0" w:beforeAutospacing="0" w:line="17" w:lineRule="atLeast"/>
        <w:ind w:left="420" w:leftChars="0" w:right="0" w:hanging="420" w:firstLineChars="0"/>
        <w:rPr>
          <w:rFonts w:hint="default" w:ascii="sans-serif" w:hAnsi="sans-serif" w:eastAsia="sans-serif" w:cs="sans-serif"/>
        </w:rPr>
      </w:pPr>
      <w:r>
        <w:rPr>
          <w:rFonts w:hint="default" w:ascii="sans-serif" w:hAnsi="sans-serif" w:eastAsia="sans-serif" w:cs="sans-serif"/>
        </w:rPr>
        <w:t xml:space="preserve">Intuitive data representation </w:t>
      </w:r>
    </w:p>
    <w:p w14:paraId="63E3498D">
      <w:pPr>
        <w:pStyle w:val="9"/>
        <w:keepNext w:val="0"/>
        <w:keepLines w:val="0"/>
        <w:widowControl/>
        <w:numPr>
          <w:ilvl w:val="0"/>
          <w:numId w:val="1"/>
        </w:numPr>
        <w:suppressLineNumbers w:val="0"/>
        <w:spacing w:before="0" w:beforeAutospacing="0" w:line="17" w:lineRule="atLeast"/>
        <w:ind w:left="420" w:leftChars="0" w:right="0" w:hanging="420" w:firstLineChars="0"/>
        <w:rPr>
          <w:rFonts w:hint="default" w:ascii="sans-serif" w:hAnsi="sans-serif" w:eastAsia="sans-serif" w:cs="sans-serif"/>
        </w:rPr>
      </w:pPr>
      <w:r>
        <w:rPr>
          <w:rFonts w:hint="default" w:ascii="sans-serif" w:hAnsi="sans-serif" w:eastAsia="sans-serif" w:cs="sans-serif"/>
        </w:rPr>
        <w:t xml:space="preserve">Rapid cross-comparison of revenue vs. profitability </w:t>
      </w:r>
    </w:p>
    <w:p w14:paraId="19BFB288">
      <w:pPr>
        <w:pStyle w:val="9"/>
        <w:keepNext w:val="0"/>
        <w:keepLines w:val="0"/>
        <w:widowControl/>
        <w:numPr>
          <w:ilvl w:val="0"/>
          <w:numId w:val="1"/>
        </w:numPr>
        <w:suppressLineNumbers w:val="0"/>
        <w:spacing w:before="0" w:beforeAutospacing="0" w:line="17" w:lineRule="atLeast"/>
        <w:ind w:left="420" w:leftChars="0" w:right="0" w:hanging="420" w:firstLineChars="0"/>
        <w:rPr>
          <w:rFonts w:hint="default" w:ascii="sans-serif" w:hAnsi="sans-serif" w:eastAsia="sans-serif" w:cs="sans-serif"/>
        </w:rPr>
      </w:pPr>
      <w:r>
        <w:rPr>
          <w:rFonts w:hint="default" w:ascii="sans-serif" w:hAnsi="sans-serif" w:eastAsia="sans-serif" w:cs="sans-serif"/>
        </w:rPr>
        <w:t xml:space="preserve">Dynamic filtering options </w:t>
      </w:r>
    </w:p>
    <w:p w14:paraId="7773EF74">
      <w:pPr>
        <w:pStyle w:val="9"/>
        <w:keepNext w:val="0"/>
        <w:keepLines w:val="0"/>
        <w:widowControl/>
        <w:numPr>
          <w:ilvl w:val="0"/>
          <w:numId w:val="1"/>
        </w:numPr>
        <w:suppressLineNumbers w:val="0"/>
        <w:spacing w:before="0" w:beforeAutospacing="0" w:line="17" w:lineRule="atLeast"/>
        <w:ind w:left="420" w:leftChars="0" w:right="0" w:hanging="420" w:firstLineChars="0"/>
        <w:rPr>
          <w:rFonts w:hint="default" w:ascii="sans-serif" w:hAnsi="sans-serif" w:eastAsia="sans-serif" w:cs="sans-serif"/>
        </w:rPr>
      </w:pPr>
      <w:r>
        <w:rPr>
          <w:rFonts w:hint="default" w:ascii="sans-serif" w:hAnsi="sans-serif" w:eastAsia="sans-serif" w:cs="sans-serif"/>
        </w:rPr>
        <w:t xml:space="preserve">Advanced time-based intelligence </w:t>
      </w:r>
      <w:bookmarkStart w:id="0" w:name="_GoBack"/>
      <w:bookmarkEnd w:id="0"/>
    </w:p>
    <w:p w14:paraId="18308FB3">
      <w:pPr>
        <w:pStyle w:val="4"/>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10. Conclusion</w:t>
      </w:r>
    </w:p>
    <w:p w14:paraId="37C9429A">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 xml:space="preserve">This initiative successfully demonstrates the full analytics capabilities of Power BI—ranging from ETL data transformation and dimensional modeling to DAX formulation and interactive visual dashboard development using the Superstore Sales Dataset. </w:t>
      </w:r>
    </w:p>
    <w:p w14:paraId="76BD7637">
      <w:pPr>
        <w:pStyle w:val="4"/>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b/>
          <w:bCs/>
        </w:rPr>
        <w:t>11. Tools &amp; Technologies Applied</w:t>
      </w:r>
    </w:p>
    <w:p w14:paraId="7DA4A6E5">
      <w:pPr>
        <w:pStyle w:val="9"/>
        <w:keepNext w:val="0"/>
        <w:keepLines w:val="0"/>
        <w:widowControl/>
        <w:suppressLineNumbers w:val="0"/>
        <w:spacing w:before="0" w:beforeAutospacing="0" w:line="17" w:lineRule="atLeast"/>
        <w:ind w:left="0" w:right="0"/>
        <w:rPr>
          <w:rFonts w:hint="default" w:ascii="sans-serif" w:hAnsi="sans-serif" w:eastAsia="sans-serif" w:cs="sans-serif"/>
        </w:rPr>
      </w:pPr>
      <w:r>
        <w:rPr>
          <w:rFonts w:hint="default" w:ascii="sans-serif" w:hAnsi="sans-serif" w:eastAsia="sans-serif" w:cs="sans-serif"/>
        </w:rPr>
        <w:t xml:space="preserve">Microsoft Power BI Desktop, Power Query Editor, Data Analysis Expressions (DAX), KPI Scorecards, Custom Charts, Dynamic Slicers, and Decomposition Trees. </w:t>
      </w:r>
    </w:p>
    <w:p w14:paraId="20E6A94D"/>
    <w:sectPr>
      <w:pgSz w:w="11910" w:h="16840"/>
      <w:pgMar w:top="1360" w:right="1340" w:bottom="280" w:left="13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scadia Mono Light">
    <w:panose1 w:val="020B0609020000020004"/>
    <w:charset w:val="00"/>
    <w:family w:val="auto"/>
    <w:pitch w:val="default"/>
    <w:sig w:usb0="A1002AFF" w:usb1="C200F9FB" w:usb2="00040020" w:usb3="00000000" w:csb0="6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EFAF4C"/>
    <w:multiLevelType w:val="singleLevel"/>
    <w:tmpl w:val="28EFAF4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681B135B"/>
    <w:rsid w:val="768C6EE2"/>
    <w:rsid w:val="7A3639D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ind w:left="481" w:hanging="362"/>
      <w:outlineLvl w:val="1"/>
    </w:pPr>
    <w:rPr>
      <w:rFonts w:ascii="Times New Roman" w:hAnsi="Times New Roman" w:eastAsia="Times New Roman" w:cs="Times New Roman"/>
      <w:b/>
      <w:bCs/>
      <w:sz w:val="36"/>
      <w:szCs w:val="36"/>
      <w:lang w:val="en-US" w:eastAsia="en-US" w:bidi="ar-SA"/>
    </w:rPr>
  </w:style>
  <w:style w:type="paragraph" w:styleId="3">
    <w:name w:val="heading 2"/>
    <w:basedOn w:val="1"/>
    <w:qFormat/>
    <w:uiPriority w:val="1"/>
    <w:pPr>
      <w:ind w:left="525" w:hanging="406"/>
      <w:outlineLvl w:val="2"/>
    </w:pPr>
    <w:rPr>
      <w:rFonts w:ascii="Times New Roman" w:hAnsi="Times New Roman" w:eastAsia="Times New Roman" w:cs="Times New Roman"/>
      <w:b/>
      <w:bCs/>
      <w:sz w:val="27"/>
      <w:szCs w:val="27"/>
      <w:lang w:val="en-US" w:eastAsia="en-US" w:bidi="ar-SA"/>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nhideWhenUsed/>
    <w:qFormat/>
    <w:uiPriority w:val="1"/>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rPr>
      <w:rFonts w:ascii="Times New Roman" w:hAnsi="Times New Roman" w:eastAsia="Times New Roman" w:cs="Times New Roman"/>
      <w:sz w:val="24"/>
      <w:szCs w:val="24"/>
      <w:lang w:val="en-US" w:eastAsia="en-US" w:bidi="ar-SA"/>
    </w:rPr>
  </w:style>
  <w:style w:type="character" w:styleId="8">
    <w:name w:val="HTML Code"/>
    <w:basedOn w:val="5"/>
    <w:uiPriority w:val="0"/>
    <w:rPr>
      <w:rFonts w:ascii="Courier New" w:hAnsi="Courier New" w:cs="Courier New"/>
      <w:sz w:val="20"/>
      <w:szCs w:val="20"/>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840" w:hanging="361"/>
    </w:pPr>
    <w:rPr>
      <w:rFonts w:ascii="Times New Roman" w:hAnsi="Times New Roman" w:eastAsia="Times New Roman" w:cs="Times New Roman"/>
      <w:lang w:val="en-US" w:eastAsia="en-US" w:bidi="ar-SA"/>
    </w:rPr>
  </w:style>
  <w:style w:type="paragraph" w:customStyle="1" w:styleId="13">
    <w:name w:val="Table Paragraph"/>
    <w:basedOn w:val="1"/>
    <w:qFormat/>
    <w:uiPriority w:val="1"/>
    <w:pPr>
      <w:spacing w:before="25"/>
      <w:ind w:left="5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1273</Words>
  <Characters>7689</Characters>
  <TotalTime>7</TotalTime>
  <ScaleCrop>false</ScaleCrop>
  <LinksUpToDate>false</LinksUpToDate>
  <CharactersWithSpaces>8812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2026-09-21T12:52:00Z</dcterms:created>
  <dc:creator>C Maheswari</dc:creator>
  <cp:lastModifiedBy>Priyadhashini</cp:lastModifiedBy>
  <dcterms:modified xsi:type="dcterms:W3CDTF">2026-09-24T04:32:45Z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2026-09-21T00:00:00Z</vt:filetime>
  </property>
  <property fmtid="{D5CDD505-2E9C-101B-9397-08002B2CF9AE}" pid="3" name="Creator">
    <vt:lpwstr>Microsoft® Word 2019</vt:lpwstr>
  </property>
  <property fmtid="{D5CDD505-2E9C-101B-9397-08002B2CF9AE}" pid="4" name="LastSaved">
    <vt:filetime>2026-09-21T00:00:00Z</vt:filetime>
  </property>
  <property fmtid="{D5CDD505-2E9C-101B-9397-08002B2CF9AE}" pid="5" name="Producer">
    <vt:lpwstr>Microsoft® Word 2019</vt:lpwstr>
  </property>
  <property fmtid="{D5CDD505-2E9C-101B-9397-08002B2CF9AE}" pid="6" name="KSOTemplateDocerSaveRecord">
    <vt:lpwstr>eyJoZGlkIjoiMmNkYzYyZDIwMTZlNGNmYzIwOTRlZDM2NjQ4NzMxMzEiLCJ1c2VySWQiOiI1Njc2MzIxNzYwNTIifQ==</vt:lpwstr>
  </property>
  <property fmtid="{D5CDD505-2E9C-101B-9397-08002B2CF9AE}" pid="7" name="KSOProductBuildVer">
    <vt:lpwstr>1033-12.1.0.28485</vt:lpwstr>
  </property>
  <property fmtid="{D5CDD505-2E9C-101B-9397-08002B2CF9AE}" pid="8" name="ICV">
    <vt:lpwstr>FB90CA454321471482D27AE6CBA13554_12</vt:lpwstr>
  </property>
</Properties>
</file>