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Deployment, Security &amp; Maintenance Plan</w:t>
      </w:r>
    </w:p>
    <w:p>
      <w:r>
        <w:rPr>
          <w:b/>
          <w:color w:val="167D8D"/>
          <w:sz w:val="26"/>
        </w:rPr>
        <w:t>ComicCraft — AI Comic Story Creator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8496"/>
      </w:tblGrid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ID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SWTID-2026-4633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Size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Leader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Priyadharshini K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Members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Prasannadevi R; Prateeksha S S; Ranjanipriya M</w:t>
            </w:r>
          </w:p>
        </w:tc>
      </w:tr>
    </w:tbl>
    <w:p/>
    <w:p>
      <w:pPr>
        <w:spacing w:after="180"/>
      </w:pPr>
      <w:r>
        <w:rPr>
          <w:i/>
          <w:color w:val="5B6573"/>
          <w:sz w:val="16"/>
        </w:rPr>
        <w:t>Basis: supplied ComicCraft source archive and README. Statements about current behavior reflect the files reviewed; proposed work is labeled as recommendations. No live deployment or third-party provider configuration was inspected.</w:t>
      </w:r>
    </w:p>
    <w:p>
      <w:pPr>
        <w:pStyle w:val="Heading1"/>
      </w:pPr>
      <w:r>
        <w:t>1. Readiness statement and deployment stages</w:t>
      </w:r>
    </w:p>
    <w:p>
      <w:r>
        <w:t>The supplied archive documents local development instructions only. No hosting provider, public URL, CI/CD pipeline, domain, TLS setup, production secrets manager, or deployed environment was included. This phase is therefore a proposed release plan, not evidence that ComicCraft is deployed or production-ready.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Local development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Single-user functional demonstration using test prompts and developer credentials.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Setup verified, test configuration isolated, secrets untracked.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Controlled pilot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Limited invited users after privacy, content policy, security, and reliability review.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Provider disclosure, access restrictions, limits, test results and incident contact in place.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Public deployment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Only after explicit product, operational, rights, privacy and security approval.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All release blockers below closed; monitoring, support ownership, rollback and retention live.</w:t>
            </w:r>
          </w:p>
        </w:tc>
      </w:tr>
    </w:tbl>
    <w:p/>
    <w:p>
      <w:pPr>
        <w:pStyle w:val="Heading1"/>
      </w:pPr>
      <w:r>
        <w:t>2. Deployment outline (to be selected and verified)</w:t>
      </w:r>
    </w:p>
    <w:p>
      <w:pPr>
        <w:pStyle w:val="ListNumber"/>
        <w:spacing w:after="40"/>
      </w:pPr>
      <w:r>
        <w:t>Select a host and runtime with supported Python/dependency versions and sufficient memory; decide whether hosted image inference or GPU-backed local Diffusers is used.</w:t>
      </w:r>
    </w:p>
    <w:p>
      <w:pPr>
        <w:pStyle w:val="ListNumber"/>
        <w:spacing w:after="40"/>
      </w:pPr>
      <w:r>
        <w:t>Build from a clean, pinned dependency set; run tests and security/dependency review in CI.</w:t>
      </w:r>
    </w:p>
    <w:p>
      <w:pPr>
        <w:pStyle w:val="ListNumber"/>
        <w:spacing w:after="40"/>
      </w:pPr>
      <w:r>
        <w:t>Inject GEMINI_API_KEY and HF_API_KEY via the host’s secret manager; never bake them into the image or repository.</w:t>
      </w:r>
    </w:p>
    <w:p>
      <w:pPr>
        <w:pStyle w:val="ListNumber"/>
        <w:spacing w:after="40"/>
      </w:pPr>
      <w:r>
        <w:t>Place the app behind HTTPS and a reverse proxy or managed ingress; configure trusted host/origin policy, request size/timeouts, and appropriate access controls.</w:t>
      </w:r>
    </w:p>
    <w:p>
      <w:pPr>
        <w:pStyle w:val="ListNumber"/>
        <w:spacing w:after="40"/>
      </w:pPr>
      <w:r>
        <w:t>Provide writable, quota-limited storage for temporary images/PDFs; use unique per-job paths and an automated expiry/deletion policy.</w:t>
      </w:r>
    </w:p>
    <w:p>
      <w:pPr>
        <w:pStyle w:val="ListNumber"/>
        <w:spacing w:after="40"/>
      </w:pPr>
      <w:r>
        <w:t>Add health/readiness checks, structured redacted logs, metrics, alerts, a rollback mechanism, and a documented incident owner.</w:t>
      </w:r>
    </w:p>
    <w:p>
      <w:pPr>
        <w:pStyle w:val="Heading1"/>
      </w:pPr>
      <w:r>
        <w:t>3. Security and privacy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Required control / verification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Secrets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Use environment/secret manager; rotate keys; restrict who can view; verify no keys in Git, client HTML, logs, or error responses.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Transport and access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HTTPS; restricted origins; authentication/authorization if shared; request and rate limits; abuse monitoring.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Input/output handling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Bound lengths and output sizes; validate model fields; escape/render safely; sanitize export content and filenames; reject unexpected file types.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Provider data flow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Document prompt/image-prompt fields sent to Gemini/Hugging Face; review current provider terms, retention and training policies; show user notice before submission.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Generated artifacts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Non-guessable identifiers; prevent cross-user access; define expiry, deletion, storage limits, backup scope and recovery; do not expose a public static directory for private outputs.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Logging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Redact prompts, credentials, provider payloads and personal data unless explicitly justified; define retention and access. Avoid returning raw exception details to end users.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Dependencies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Pin and scan packages; update security fixes; test provider/client/model compatibility before release.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Content and rights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Publish acceptable-use guidance; review moderation/abuse controls and provider rules; explain AI-generated nature and require human review before publication.</w:t>
            </w:r>
          </w:p>
        </w:tc>
      </w:tr>
    </w:tbl>
    <w:p/>
    <w:p>
      <w:pPr>
        <w:pStyle w:val="Heading1"/>
      </w:pPr>
      <w:r>
        <w:t>4. Reliability and operations</w:t>
      </w:r>
    </w:p>
    <w:p>
      <w:pPr>
        <w:pStyle w:val="ListBullet"/>
        <w:spacing w:after="40"/>
      </w:pPr>
      <w:r>
        <w:t>Set per-provider timeouts, bounded retry/backoff and clear terminal errors; avoid unbounded retries that amplify quota/cost.</w:t>
      </w:r>
    </w:p>
    <w:p>
      <w:pPr>
        <w:pStyle w:val="ListBullet"/>
        <w:spacing w:after="40"/>
      </w:pPr>
      <w:r>
        <w:t>Track request volume, latency by pipeline stage, provider failures, successful five-panel completion, PDF failures, storage usage, and rate-limit events.</w:t>
      </w:r>
    </w:p>
    <w:p>
      <w:pPr>
        <w:pStyle w:val="ListBullet"/>
        <w:spacing w:after="40"/>
      </w:pPr>
      <w:r>
        <w:t>Define alert thresholds, escalation contact, provider outage playbook, key rotation procedure, and safe mode that disables generation if required.</w:t>
      </w:r>
    </w:p>
    <w:p>
      <w:pPr>
        <w:pStyle w:val="ListBullet"/>
        <w:spacing w:after="40"/>
      </w:pPr>
      <w:r>
        <w:t>Set a release checklist and rollback procedure; exercise restoration/rollback in a non-production environment.</w:t>
      </w:r>
    </w:p>
    <w:p>
      <w:pPr>
        <w:pStyle w:val="ListBullet"/>
        <w:spacing w:after="40"/>
      </w:pPr>
      <w:r>
        <w:t>Define retention for panel PNGs and PDFs; perform periodic cleanup and validate available storage.</w:t>
      </w:r>
    </w:p>
    <w:p>
      <w:pPr>
        <w:pStyle w:val="ListBullet"/>
        <w:spacing w:after="40"/>
      </w:pPr>
      <w:r>
        <w:t>Use staged deployment and smoke tests for /health, form rendering, mocked generation, image generation, and PDF download after each release.</w:t>
      </w:r>
    </w:p>
    <w:p>
      <w:pPr>
        <w:pStyle w:val="Heading1"/>
      </w:pPr>
      <w:r>
        <w:t>5. Maintenance cadence (proposed)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Cadence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Each change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Automated tests, code review, secret scan, dependency checks, schema/render/export regression.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Before each release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Provider/model smoke tests, UAT sample review, privacy/security checklist, release notes and rollback confirmation.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Monthly or agreed interval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Dependency updates, error/latency/quota review, storage cleanup validation, review support feedback and policy changes.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After incident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Contain exposure, rotate affected credentials, preserve appropriate redacted evidence, notify responsible stakeholders as required, document root cause and corrective actions.</w:t>
            </w:r>
          </w:p>
        </w:tc>
      </w:tr>
    </w:tbl>
    <w:p/>
    <w:p>
      <w:pPr>
        <w:pStyle w:val="Heading1"/>
      </w:pPr>
      <w:r>
        <w:t>6. Production blockers / release checklist</w:t>
      </w:r>
    </w:p>
    <w:p>
      <w:pPr>
        <w:pStyle w:val="ListNumber"/>
        <w:spacing w:after="40"/>
      </w:pPr>
      <w:r>
        <w:t>Confirm hosting and access model; the current code does not evidence authentication, authorization, or rate limiting.</w:t>
      </w:r>
    </w:p>
    <w:p>
      <w:pPr>
        <w:pStyle w:val="ListNumber"/>
        <w:spacing w:after="40"/>
      </w:pPr>
      <w:r>
        <w:t>Publish a provider data disclosure and verify retention/processing assumptions before accepting unpublished or sensitive creative content.</w:t>
      </w:r>
    </w:p>
    <w:p>
      <w:pPr>
        <w:pStyle w:val="ListNumber"/>
        <w:spacing w:after="40"/>
      </w:pPr>
      <w:r>
        <w:t>Define content policy and moderation response; ensure prompts and outputs are handled consistently with provider terms and applicable law.</w:t>
      </w:r>
    </w:p>
    <w:p>
      <w:pPr>
        <w:pStyle w:val="ListNumber"/>
        <w:spacing w:after="40"/>
      </w:pPr>
      <w:r>
        <w:t>Add output schema validation, sanitized error responses, timeouts/retries and cleanup for partially generated comics.</w:t>
      </w:r>
    </w:p>
    <w:p>
      <w:pPr>
        <w:pStyle w:val="ListNumber"/>
        <w:spacing w:after="40"/>
      </w:pPr>
      <w:r>
        <w:t>Test artifact isolation, filename safety, concurrency, storage limits, PDF correctness and Unicode handling.</w:t>
      </w:r>
    </w:p>
    <w:p>
      <w:pPr>
        <w:pStyle w:val="ListNumber"/>
        <w:spacing w:after="40"/>
      </w:pPr>
      <w:r>
        <w:t>Record executed tests, UAT findings, unresolved risks, recovery/rollback evidence and named operational ownership.</w:t>
      </w:r>
    </w:p>
    <w:p>
      <w:pPr>
        <w:pStyle w:val="ListNumber"/>
        <w:spacing w:after="40"/>
      </w:pPr>
      <w:r>
        <w:t>Only then make an explicit release decision; do not infer production readiness from a successful local demo.</w:t>
      </w:r>
    </w:p>
    <w:p>
      <w:pPr>
        <w:pStyle w:val="Heading1"/>
      </w:pPr>
      <w:r>
        <w:t>7. Team contacts and responsibility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Role / member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Proposed maintenance responsibility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Priyadharshini K — Team Leader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Release coordination, risk acceptance, incident escalation and project handover.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Prasannadevi R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UI/accessibility review, user-facing notices and guide updates.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Prateeksha S S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Model/provider compatibility, prompt regression and content-quality review.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Ranjanipriya M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API/dependency updates, tests, export/storage and deployment checklist.</w:t>
            </w:r>
          </w:p>
        </w:tc>
      </w:tr>
    </w:tbl>
    <w:p/>
    <w:p>
      <w:r>
        <w:t>Assignments are proposed for planning and must be confirmed by the team. Record an alternate owner and escalation contact before any pilot or public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Team SWTID-2026-4633  • 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67D8D"/>
        <w:sz w:val="16"/>
      </w:rPr>
      <w:t>COMICCRAFT  |  PROJECT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