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Arial" w:hAnsi="Arial" w:cs="Arial"/>
          <w:b/>
          <w:i w:val="0"/>
          <w:color w:val="36A99A"/>
          <w:sz w:val="18"/>
        </w:rPr>
        <w:t>PHASE 01   DISCOVERY</w:t>
      </w:r>
    </w:p>
    <w:p>
      <w:pPr>
        <w:pStyle w:val="Title"/>
      </w:pPr>
      <w:r>
        <w:rPr>
          <w:rFonts w:ascii="Arial" w:hAnsi="Arial" w:cs="Arial"/>
          <w:b/>
          <w:i w:val="0"/>
          <w:color w:val="111111"/>
          <w:sz w:val="48"/>
        </w:rPr>
        <w:t>PocketSmart AI Phase 1 Brainstorming and Ideation</w:t>
      </w:r>
    </w:p>
    <w:p>
      <w:pPr>
        <w:spacing w:after="160"/>
      </w:pPr>
      <w:r>
        <w:rPr>
          <w:rFonts w:ascii="Arial" w:hAnsi="Arial" w:cs="Arial"/>
          <w:b w:val="0"/>
          <w:i w:val="0"/>
          <w:color w:val="607086"/>
          <w:sz w:val="23"/>
        </w:rPr>
        <w:t>Opportunity areas, problem statements and idea priorities</w:t>
      </w:r>
    </w:p>
    <w:p>
      <w:pPr>
        <w:spacing w:after="160"/>
      </w:pPr>
      <w:r>
        <w:rPr>
          <w:rFonts w:ascii="Arial" w:hAnsi="Arial" w:cs="Arial"/>
          <w:b w:val="0"/>
          <w:i w:val="0"/>
          <w:color w:val="607086"/>
          <w:sz w:val="17"/>
        </w:rPr>
        <w:t>Prepared 03 October 2026</w:t>
      </w:r>
    </w:p>
    <w:p>
      <w:pPr>
        <w:keepLines/>
        <w:spacing w:after="110" w:line="259" w:lineRule="auto"/>
      </w:pPr>
      <w:r>
        <w:rPr>
          <w:rFonts w:ascii="Arial" w:hAnsi="Arial" w:cs="Arial"/>
          <w:b w:val="0"/>
          <w:i w:val="0"/>
          <w:color w:val="202B3C"/>
          <w:sz w:val="20"/>
        </w:rPr>
        <w:t>PocketSmart AI focuses on three everyday decisions: planning home purchases, organizing celebrations and choosing jewelry. The product idea is to turn a budget and personal priorities into a clear starter plan with estimates and comparison searches.</w:t>
      </w:r>
    </w:p>
    <w:p>
      <w:pPr>
        <w:pStyle w:val="Heading1"/>
        <w:keepNext/>
      </w:pPr>
      <w:r>
        <w:t>Project opportunity</w:t>
      </w:r>
    </w:p>
    <w:p>
      <w:pPr>
        <w:keepLines/>
        <w:spacing w:after="110" w:line="259" w:lineRule="auto"/>
      </w:pPr>
      <w:r>
        <w:rPr>
          <w:rFonts w:ascii="Arial" w:hAnsi="Arial" w:cs="Arial"/>
          <w:b w:val="0"/>
          <w:i w:val="0"/>
          <w:color w:val="202B3C"/>
          <w:sz w:val="20"/>
        </w:rPr>
        <w:t>People often plan these purchases across notes, chats and retailer pages. That makes it difficult to keep priorities visible, compare likely costs and remember what was already considered. PocketSmart AI brings the planning steps into one account-based app.</w:t>
      </w:r>
    </w:p>
    <w:p>
      <w:pPr>
        <w:pStyle w:val="Heading1"/>
        <w:keepNext/>
      </w:pPr>
      <w:r>
        <w:t>Problem statements</w:t>
      </w:r>
    </w:p>
    <w:tbl>
      <w:tblPr>
        <w:tblStyle w:val="TableGrid"/>
        <w:tblW w:type="auto" w:w="0"/>
        <w:jc w:val="center"/>
        <w:tblLayout w:type="fixed"/>
        <w:tblLook w:firstColumn="1" w:firstRow="1" w:lastColumn="0" w:lastRow="0" w:noHBand="0" w:noVBand="1" w:val="04A0"/>
      </w:tblPr>
      <w:tblGrid>
        <w:gridCol w:w="3278"/>
        <w:gridCol w:w="3278"/>
        <w:gridCol w:w="3278"/>
      </w:tblGrid>
      <w:tr>
        <w:trPr>
          <w:tblHeader w:val="true"/>
          <w:cantSplit/>
        </w:trPr>
        <w:tc>
          <w:tcPr>
            <w:tcW w:type="dxa" w:w="1800"/>
            <w:vAlign w:val="center"/>
            <w:shd w:fill="17365D"/>
            <w:tcMar>
              <w:top w:w="100" w:type="dxa"/>
              <w:start w:w="110" w:type="dxa"/>
              <w:bottom w:w="100" w:type="dxa"/>
              <w:end w:w="110" w:type="dxa"/>
            </w:tcMar>
            <w:tcBorders>
              <w:top w:val="single" w:sz="5" w:color="17365D"/>
              <w:left w:val="single" w:sz="5" w:color="17365D"/>
              <w:bottom w:val="single" w:sz="5" w:color="17365D"/>
              <w:right w:val="single" w:sz="5" w:color="17365D"/>
              <w:insideH w:val="single" w:sz="5" w:color="17365D"/>
              <w:insideV w:val="single" w:sz="5" w:color="17365D"/>
            </w:tcBorders>
          </w:tcPr>
          <w:p>
            <w:pPr>
              <w:spacing w:after="0"/>
            </w:pPr>
            <w:r>
              <w:rPr>
                <w:rFonts w:ascii="Arial" w:hAnsi="Arial" w:cs="Arial"/>
                <w:b/>
                <w:i w:val="0"/>
                <w:color w:val="FFFFFF"/>
                <w:sz w:val="18"/>
              </w:rPr>
              <w:t>Planning area</w:t>
            </w:r>
          </w:p>
        </w:tc>
        <w:tc>
          <w:tcPr>
            <w:tcW w:type="dxa" w:w="3960"/>
            <w:vAlign w:val="center"/>
            <w:shd w:fill="17365D"/>
            <w:tcMar>
              <w:top w:w="100" w:type="dxa"/>
              <w:start w:w="110" w:type="dxa"/>
              <w:bottom w:w="100" w:type="dxa"/>
              <w:end w:w="110" w:type="dxa"/>
            </w:tcMar>
            <w:tcBorders>
              <w:top w:val="single" w:sz="5" w:color="17365D"/>
              <w:left w:val="single" w:sz="5" w:color="17365D"/>
              <w:bottom w:val="single" w:sz="5" w:color="17365D"/>
              <w:right w:val="single" w:sz="5" w:color="17365D"/>
              <w:insideH w:val="single" w:sz="5" w:color="17365D"/>
              <w:insideV w:val="single" w:sz="5" w:color="17365D"/>
            </w:tcBorders>
          </w:tcPr>
          <w:p>
            <w:pPr>
              <w:spacing w:after="0"/>
            </w:pPr>
            <w:r>
              <w:rPr>
                <w:rFonts w:ascii="Arial" w:hAnsi="Arial" w:cs="Arial"/>
                <w:b/>
                <w:i w:val="0"/>
                <w:color w:val="FFFFFF"/>
                <w:sz w:val="18"/>
              </w:rPr>
              <w:t>User problem</w:t>
            </w:r>
          </w:p>
        </w:tc>
        <w:tc>
          <w:tcPr>
            <w:tcW w:type="dxa" w:w="4075"/>
            <w:vAlign w:val="center"/>
            <w:shd w:fill="17365D"/>
            <w:tcMar>
              <w:top w:w="100" w:type="dxa"/>
              <w:start w:w="110" w:type="dxa"/>
              <w:bottom w:w="100" w:type="dxa"/>
              <w:end w:w="110" w:type="dxa"/>
            </w:tcMar>
            <w:tcBorders>
              <w:top w:val="single" w:sz="5" w:color="17365D"/>
              <w:left w:val="single" w:sz="5" w:color="17365D"/>
              <w:bottom w:val="single" w:sz="5" w:color="17365D"/>
              <w:right w:val="single" w:sz="5" w:color="17365D"/>
              <w:insideH w:val="single" w:sz="5" w:color="17365D"/>
              <w:insideV w:val="single" w:sz="5" w:color="17365D"/>
            </w:tcBorders>
          </w:tcPr>
          <w:p>
            <w:pPr>
              <w:spacing w:after="0"/>
            </w:pPr>
            <w:r>
              <w:rPr>
                <w:rFonts w:ascii="Arial" w:hAnsi="Arial" w:cs="Arial"/>
                <w:b/>
                <w:i w:val="0"/>
                <w:color w:val="FFFFFF"/>
                <w:sz w:val="18"/>
              </w:rPr>
              <w:t>Design opportunity</w:t>
            </w:r>
          </w:p>
        </w:tc>
      </w:tr>
      <w:tr>
        <w:trPr>
          <w:cantSplit/>
        </w:trPr>
        <w:tc>
          <w:tcPr>
            <w:tcW w:type="dxa" w:w="1800"/>
            <w:vAlign w:val="top"/>
            <w:tcMar>
              <w:top w:w="90" w:type="dxa"/>
              <w:start w:w="110" w:type="dxa"/>
              <w:bottom w:w="90" w:type="dxa"/>
              <w:end w:w="110" w:type="dxa"/>
            </w:tcMar>
            <w:tcBorders>
              <w:top w:val="single" w:sz="5" w:color="D6E0EA"/>
              <w:left w:val="single" w:sz="5" w:color="D6E0EA"/>
              <w:bottom w:val="single" w:sz="5" w:color="D6E0EA"/>
              <w:right w:val="single" w:sz="5" w:color="D6E0EA"/>
              <w:insideH w:val="single" w:sz="5" w:color="D6E0EA"/>
              <w:insideV w:val="single" w:sz="5" w:color="D6E0EA"/>
            </w:tcBorders>
          </w:tcPr>
          <w:p>
            <w:pPr>
              <w:spacing w:after="0" w:line="245" w:lineRule="auto"/>
            </w:pPr>
            <w:r>
              <w:rPr>
                <w:rFonts w:ascii="Arial" w:hAnsi="Arial" w:cs="Arial"/>
                <w:b w:val="0"/>
                <w:i w:val="0"/>
                <w:color w:val="202B3C"/>
                <w:sz w:val="17"/>
              </w:rPr>
              <w:t>Home interiors</w:t>
            </w:r>
          </w:p>
        </w:tc>
        <w:tc>
          <w:tcPr>
            <w:tcW w:type="dxa" w:w="3960"/>
            <w:vAlign w:val="top"/>
            <w:tcMar>
              <w:top w:w="90" w:type="dxa"/>
              <w:start w:w="110" w:type="dxa"/>
              <w:bottom w:w="90" w:type="dxa"/>
              <w:end w:w="110" w:type="dxa"/>
            </w:tcMar>
            <w:tcBorders>
              <w:top w:val="single" w:sz="5" w:color="D6E0EA"/>
              <w:left w:val="single" w:sz="5" w:color="D6E0EA"/>
              <w:bottom w:val="single" w:sz="5" w:color="D6E0EA"/>
              <w:right w:val="single" w:sz="5" w:color="D6E0EA"/>
              <w:insideH w:val="single" w:sz="5" w:color="D6E0EA"/>
              <w:insideV w:val="single" w:sz="5" w:color="D6E0EA"/>
            </w:tcBorders>
          </w:tcPr>
          <w:p>
            <w:pPr>
              <w:spacing w:after="0" w:line="245" w:lineRule="auto"/>
            </w:pPr>
            <w:r>
              <w:rPr>
                <w:rFonts w:ascii="Arial" w:hAnsi="Arial" w:cs="Arial"/>
                <w:b w:val="0"/>
                <w:i w:val="0"/>
                <w:color w:val="202B3C"/>
                <w:sz w:val="17"/>
              </w:rPr>
              <w:t>A person furnishing rooms may have a fixed budget but an incomplete item list, quantities or style direction.</w:t>
            </w:r>
          </w:p>
        </w:tc>
        <w:tc>
          <w:tcPr>
            <w:tcW w:type="dxa" w:w="4075"/>
            <w:vAlign w:val="top"/>
            <w:tcMar>
              <w:top w:w="90" w:type="dxa"/>
              <w:start w:w="110" w:type="dxa"/>
              <w:bottom w:w="90" w:type="dxa"/>
              <w:end w:w="110" w:type="dxa"/>
            </w:tcMar>
            <w:tcBorders>
              <w:top w:val="single" w:sz="5" w:color="D6E0EA"/>
              <w:left w:val="single" w:sz="5" w:color="D6E0EA"/>
              <w:bottom w:val="single" w:sz="5" w:color="D6E0EA"/>
              <w:right w:val="single" w:sz="5" w:color="D6E0EA"/>
              <w:insideH w:val="single" w:sz="5" w:color="D6E0EA"/>
              <w:insideV w:val="single" w:sz="5" w:color="D6E0EA"/>
            </w:tcBorders>
          </w:tcPr>
          <w:p>
            <w:pPr>
              <w:spacing w:after="0" w:line="245" w:lineRule="auto"/>
            </w:pPr>
            <w:r>
              <w:rPr>
                <w:rFonts w:ascii="Arial" w:hAnsi="Arial" w:cs="Arial"/>
                <w:b w:val="0"/>
                <w:i w:val="0"/>
                <w:color w:val="202B3C"/>
                <w:sz w:val="17"/>
              </w:rPr>
              <w:t>Collect rooms, requested items and quantities, then organize ideas into a budget-aware plan.</w:t>
            </w:r>
          </w:p>
        </w:tc>
      </w:tr>
      <w:tr>
        <w:trPr>
          <w:cantSplit/>
        </w:trPr>
        <w:tc>
          <w:tcPr>
            <w:tcW w:type="dxa" w:w="1800"/>
            <w:vAlign w:val="top"/>
            <w:tcMar>
              <w:top w:w="90" w:type="dxa"/>
              <w:start w:w="110" w:type="dxa"/>
              <w:bottom w:w="90" w:type="dxa"/>
              <w:end w:w="110" w:type="dxa"/>
            </w:tcMar>
            <w:tcBorders>
              <w:top w:val="single" w:sz="5" w:color="D6E0EA"/>
              <w:left w:val="single" w:sz="5" w:color="D6E0EA"/>
              <w:bottom w:val="single" w:sz="5" w:color="D6E0EA"/>
              <w:right w:val="single" w:sz="5" w:color="D6E0EA"/>
              <w:insideH w:val="single" w:sz="5" w:color="D6E0EA"/>
              <w:insideV w:val="single" w:sz="5" w:color="D6E0EA"/>
            </w:tcBorders>
            <w:shd w:fill="F5F8FC"/>
          </w:tcPr>
          <w:p>
            <w:pPr>
              <w:spacing w:after="0" w:line="245" w:lineRule="auto"/>
            </w:pPr>
            <w:r>
              <w:rPr>
                <w:rFonts w:ascii="Arial" w:hAnsi="Arial" w:cs="Arial"/>
                <w:b w:val="0"/>
                <w:i w:val="0"/>
                <w:color w:val="202B3C"/>
                <w:sz w:val="17"/>
              </w:rPr>
              <w:t>Parties</w:t>
            </w:r>
          </w:p>
        </w:tc>
        <w:tc>
          <w:tcPr>
            <w:tcW w:type="dxa" w:w="3960"/>
            <w:vAlign w:val="top"/>
            <w:tcMar>
              <w:top w:w="90" w:type="dxa"/>
              <w:start w:w="110" w:type="dxa"/>
              <w:bottom w:w="90" w:type="dxa"/>
              <w:end w:w="110" w:type="dxa"/>
            </w:tcMar>
            <w:tcBorders>
              <w:top w:val="single" w:sz="5" w:color="D6E0EA"/>
              <w:left w:val="single" w:sz="5" w:color="D6E0EA"/>
              <w:bottom w:val="single" w:sz="5" w:color="D6E0EA"/>
              <w:right w:val="single" w:sz="5" w:color="D6E0EA"/>
              <w:insideH w:val="single" w:sz="5" w:color="D6E0EA"/>
              <w:insideV w:val="single" w:sz="5" w:color="D6E0EA"/>
            </w:tcBorders>
            <w:shd w:fill="F5F8FC"/>
          </w:tcPr>
          <w:p>
            <w:pPr>
              <w:spacing w:after="0" w:line="245" w:lineRule="auto"/>
            </w:pPr>
            <w:r>
              <w:rPr>
                <w:rFonts w:ascii="Arial" w:hAnsi="Arial" w:cs="Arial"/>
                <w:b w:val="0"/>
                <w:i w:val="0"/>
                <w:color w:val="202B3C"/>
                <w:sz w:val="17"/>
              </w:rPr>
              <w:t>A host must balance guest needs, food, venue and other event costs without a simple starting breakdown.</w:t>
            </w:r>
          </w:p>
        </w:tc>
        <w:tc>
          <w:tcPr>
            <w:tcW w:type="dxa" w:w="4075"/>
            <w:vAlign w:val="top"/>
            <w:tcMar>
              <w:top w:w="90" w:type="dxa"/>
              <w:start w:w="110" w:type="dxa"/>
              <w:bottom w:w="90" w:type="dxa"/>
              <w:end w:w="110" w:type="dxa"/>
            </w:tcMar>
            <w:tcBorders>
              <w:top w:val="single" w:sz="5" w:color="D6E0EA"/>
              <w:left w:val="single" w:sz="5" w:color="D6E0EA"/>
              <w:bottom w:val="single" w:sz="5" w:color="D6E0EA"/>
              <w:right w:val="single" w:sz="5" w:color="D6E0EA"/>
              <w:insideH w:val="single" w:sz="5" w:color="D6E0EA"/>
              <w:insideV w:val="single" w:sz="5" w:color="D6E0EA"/>
            </w:tcBorders>
            <w:shd w:fill="F5F8FC"/>
          </w:tcPr>
          <w:p>
            <w:pPr>
              <w:spacing w:after="0" w:line="245" w:lineRule="auto"/>
            </w:pPr>
            <w:r>
              <w:rPr>
                <w:rFonts w:ascii="Arial" w:hAnsi="Arial" w:cs="Arial"/>
                <w:b w:val="0"/>
                <w:i w:val="0"/>
                <w:color w:val="202B3C"/>
                <w:sz w:val="17"/>
              </w:rPr>
              <w:t>Use event type, guest count, budget and priorities to create a structured first plan.</w:t>
            </w:r>
          </w:p>
        </w:tc>
      </w:tr>
      <w:tr>
        <w:trPr>
          <w:cantSplit/>
        </w:trPr>
        <w:tc>
          <w:tcPr>
            <w:tcW w:type="dxa" w:w="1800"/>
            <w:vAlign w:val="top"/>
            <w:tcMar>
              <w:top w:w="90" w:type="dxa"/>
              <w:start w:w="110" w:type="dxa"/>
              <w:bottom w:w="90" w:type="dxa"/>
              <w:end w:w="110" w:type="dxa"/>
            </w:tcMar>
            <w:tcBorders>
              <w:top w:val="single" w:sz="5" w:color="D6E0EA"/>
              <w:left w:val="single" w:sz="5" w:color="D6E0EA"/>
              <w:bottom w:val="single" w:sz="5" w:color="D6E0EA"/>
              <w:right w:val="single" w:sz="5" w:color="D6E0EA"/>
              <w:insideH w:val="single" w:sz="5" w:color="D6E0EA"/>
              <w:insideV w:val="single" w:sz="5" w:color="D6E0EA"/>
            </w:tcBorders>
          </w:tcPr>
          <w:p>
            <w:pPr>
              <w:spacing w:after="0" w:line="245" w:lineRule="auto"/>
            </w:pPr>
            <w:r>
              <w:rPr>
                <w:rFonts w:ascii="Arial" w:hAnsi="Arial" w:cs="Arial"/>
                <w:b w:val="0"/>
                <w:i w:val="0"/>
                <w:color w:val="202B3C"/>
                <w:sz w:val="17"/>
              </w:rPr>
              <w:t>Jewelry</w:t>
            </w:r>
          </w:p>
        </w:tc>
        <w:tc>
          <w:tcPr>
            <w:tcW w:type="dxa" w:w="3960"/>
            <w:vAlign w:val="top"/>
            <w:tcMar>
              <w:top w:w="90" w:type="dxa"/>
              <w:start w:w="110" w:type="dxa"/>
              <w:bottom w:w="90" w:type="dxa"/>
              <w:end w:w="110" w:type="dxa"/>
            </w:tcMar>
            <w:tcBorders>
              <w:top w:val="single" w:sz="5" w:color="D6E0EA"/>
              <w:left w:val="single" w:sz="5" w:color="D6E0EA"/>
              <w:bottom w:val="single" w:sz="5" w:color="D6E0EA"/>
              <w:right w:val="single" w:sz="5" w:color="D6E0EA"/>
              <w:insideH w:val="single" w:sz="5" w:color="D6E0EA"/>
              <w:insideV w:val="single" w:sz="5" w:color="D6E0EA"/>
            </w:tcBorders>
          </w:tcPr>
          <w:p>
            <w:pPr>
              <w:spacing w:after="0" w:line="245" w:lineRule="auto"/>
            </w:pPr>
            <w:r>
              <w:rPr>
                <w:rFonts w:ascii="Arial" w:hAnsi="Arial" w:cs="Arial"/>
                <w:b w:val="0"/>
                <w:i w:val="0"/>
                <w:color w:val="202B3C"/>
                <w:sz w:val="17"/>
              </w:rPr>
              <w:t>A shopper may want occasion-appropriate ideas that fit a budget and coordinate with a preferred style or outfit.</w:t>
            </w:r>
          </w:p>
        </w:tc>
        <w:tc>
          <w:tcPr>
            <w:tcW w:type="dxa" w:w="4075"/>
            <w:vAlign w:val="top"/>
            <w:tcMar>
              <w:top w:w="90" w:type="dxa"/>
              <w:start w:w="110" w:type="dxa"/>
              <w:bottom w:w="90" w:type="dxa"/>
              <w:end w:w="110" w:type="dxa"/>
            </w:tcMar>
            <w:tcBorders>
              <w:top w:val="single" w:sz="5" w:color="D6E0EA"/>
              <w:left w:val="single" w:sz="5" w:color="D6E0EA"/>
              <w:bottom w:val="single" w:sz="5" w:color="D6E0EA"/>
              <w:right w:val="single" w:sz="5" w:color="D6E0EA"/>
              <w:insideH w:val="single" w:sz="5" w:color="D6E0EA"/>
              <w:insideV w:val="single" w:sz="5" w:color="D6E0EA"/>
            </w:tcBorders>
          </w:tcPr>
          <w:p>
            <w:pPr>
              <w:spacing w:after="0" w:line="245" w:lineRule="auto"/>
            </w:pPr>
            <w:r>
              <w:rPr>
                <w:rFonts w:ascii="Arial" w:hAnsi="Arial" w:cs="Arial"/>
                <w:b w:val="0"/>
                <w:i w:val="0"/>
                <w:color w:val="202B3C"/>
                <w:sz w:val="17"/>
              </w:rPr>
              <w:t>Offer jewelry planning inputs and optional outfit-image cues while labeling amounts as estimates.</w:t>
            </w:r>
          </w:p>
        </w:tc>
      </w:tr>
    </w:tbl>
    <w:p>
      <w:pPr>
        <w:spacing w:after="20" w:line="144" w:lineRule="auto"/>
      </w:pPr>
    </w:p>
    <w:p>
      <w:pPr>
        <w:pStyle w:val="Heading1"/>
        <w:keepNext/>
      </w:pPr>
      <w:r>
        <w:t>Empathy map assumptions</w:t>
      </w:r>
    </w:p>
    <w:p>
      <w:pPr>
        <w:keepLines/>
        <w:spacing w:after="110" w:line="259" w:lineRule="auto"/>
      </w:pPr>
      <w:r>
        <w:rPr>
          <w:rFonts w:ascii="Arial" w:hAnsi="Arial" w:cs="Arial"/>
          <w:b w:val="0"/>
          <w:i w:val="0"/>
          <w:color w:val="202B3C"/>
          <w:sz w:val="20"/>
        </w:rPr>
        <w:t>This map is a set of product hypotheses based on the supplied app scope. It is not the result of customer interviews or a user study.</w:t>
      </w:r>
    </w:p>
    <w:tbl>
      <w:tblPr>
        <w:tblStyle w:val="TableGrid"/>
        <w:tblW w:type="auto" w:w="0"/>
        <w:jc w:val="center"/>
        <w:tblLayout w:type="fixed"/>
        <w:tblLook w:firstColumn="1" w:firstRow="1" w:lastColumn="0" w:lastRow="0" w:noHBand="0" w:noVBand="1" w:val="04A0"/>
      </w:tblPr>
      <w:tblGrid>
        <w:gridCol w:w="2459"/>
        <w:gridCol w:w="2459"/>
        <w:gridCol w:w="2459"/>
        <w:gridCol w:w="2459"/>
      </w:tblGrid>
      <w:tr>
        <w:trPr>
          <w:tblHeader w:val="true"/>
          <w:cantSplit/>
        </w:trPr>
        <w:tc>
          <w:tcPr>
            <w:tcW w:type="dxa" w:w="1699"/>
            <w:vAlign w:val="center"/>
            <w:shd w:fill="17365D"/>
            <w:tcMar>
              <w:top w:w="100" w:type="dxa"/>
              <w:start w:w="110" w:type="dxa"/>
              <w:bottom w:w="100" w:type="dxa"/>
              <w:end w:w="110" w:type="dxa"/>
            </w:tcMar>
            <w:tcBorders>
              <w:top w:val="single" w:sz="5" w:color="17365D"/>
              <w:left w:val="single" w:sz="5" w:color="17365D"/>
              <w:bottom w:val="single" w:sz="5" w:color="17365D"/>
              <w:right w:val="single" w:sz="5" w:color="17365D"/>
              <w:insideH w:val="single" w:sz="5" w:color="17365D"/>
              <w:insideV w:val="single" w:sz="5" w:color="17365D"/>
            </w:tcBorders>
          </w:tcPr>
          <w:p>
            <w:pPr>
              <w:spacing w:after="0"/>
            </w:pPr>
            <w:r>
              <w:rPr>
                <w:rFonts w:ascii="Arial" w:hAnsi="Arial" w:cs="Arial"/>
                <w:b/>
                <w:i w:val="0"/>
                <w:color w:val="FFFFFF"/>
                <w:sz w:val="18"/>
              </w:rPr>
              <w:t>User context</w:t>
            </w:r>
          </w:p>
        </w:tc>
        <w:tc>
          <w:tcPr>
            <w:tcW w:type="dxa" w:w="2592"/>
            <w:vAlign w:val="center"/>
            <w:shd w:fill="17365D"/>
            <w:tcMar>
              <w:top w:w="100" w:type="dxa"/>
              <w:start w:w="110" w:type="dxa"/>
              <w:bottom w:w="100" w:type="dxa"/>
              <w:end w:w="110" w:type="dxa"/>
            </w:tcMar>
            <w:tcBorders>
              <w:top w:val="single" w:sz="5" w:color="17365D"/>
              <w:left w:val="single" w:sz="5" w:color="17365D"/>
              <w:bottom w:val="single" w:sz="5" w:color="17365D"/>
              <w:right w:val="single" w:sz="5" w:color="17365D"/>
              <w:insideH w:val="single" w:sz="5" w:color="17365D"/>
              <w:insideV w:val="single" w:sz="5" w:color="17365D"/>
            </w:tcBorders>
          </w:tcPr>
          <w:p>
            <w:pPr>
              <w:spacing w:after="0"/>
            </w:pPr>
            <w:r>
              <w:rPr>
                <w:rFonts w:ascii="Arial" w:hAnsi="Arial" w:cs="Arial"/>
                <w:b/>
                <w:i w:val="0"/>
                <w:color w:val="FFFFFF"/>
                <w:sz w:val="18"/>
              </w:rPr>
              <w:t>Thinks and needs</w:t>
            </w:r>
          </w:p>
        </w:tc>
        <w:tc>
          <w:tcPr>
            <w:tcW w:type="dxa" w:w="2880"/>
            <w:vAlign w:val="center"/>
            <w:shd w:fill="17365D"/>
            <w:tcMar>
              <w:top w:w="100" w:type="dxa"/>
              <w:start w:w="110" w:type="dxa"/>
              <w:bottom w:w="100" w:type="dxa"/>
              <w:end w:w="110" w:type="dxa"/>
            </w:tcMar>
            <w:tcBorders>
              <w:top w:val="single" w:sz="5" w:color="17365D"/>
              <w:left w:val="single" w:sz="5" w:color="17365D"/>
              <w:bottom w:val="single" w:sz="5" w:color="17365D"/>
              <w:right w:val="single" w:sz="5" w:color="17365D"/>
              <w:insideH w:val="single" w:sz="5" w:color="17365D"/>
              <w:insideV w:val="single" w:sz="5" w:color="17365D"/>
            </w:tcBorders>
          </w:tcPr>
          <w:p>
            <w:pPr>
              <w:spacing w:after="0"/>
            </w:pPr>
            <w:r>
              <w:rPr>
                <w:rFonts w:ascii="Arial" w:hAnsi="Arial" w:cs="Arial"/>
                <w:b/>
                <w:i w:val="0"/>
                <w:color w:val="FFFFFF"/>
                <w:sz w:val="18"/>
              </w:rPr>
              <w:t>Current friction</w:t>
            </w:r>
          </w:p>
        </w:tc>
        <w:tc>
          <w:tcPr>
            <w:tcW w:type="dxa" w:w="2664"/>
            <w:vAlign w:val="center"/>
            <w:shd w:fill="17365D"/>
            <w:tcMar>
              <w:top w:w="100" w:type="dxa"/>
              <w:start w:w="110" w:type="dxa"/>
              <w:bottom w:w="100" w:type="dxa"/>
              <w:end w:w="110" w:type="dxa"/>
            </w:tcMar>
            <w:tcBorders>
              <w:top w:val="single" w:sz="5" w:color="17365D"/>
              <w:left w:val="single" w:sz="5" w:color="17365D"/>
              <w:bottom w:val="single" w:sz="5" w:color="17365D"/>
              <w:right w:val="single" w:sz="5" w:color="17365D"/>
              <w:insideH w:val="single" w:sz="5" w:color="17365D"/>
              <w:insideV w:val="single" w:sz="5" w:color="17365D"/>
            </w:tcBorders>
          </w:tcPr>
          <w:p>
            <w:pPr>
              <w:spacing w:after="0"/>
            </w:pPr>
            <w:r>
              <w:rPr>
                <w:rFonts w:ascii="Arial" w:hAnsi="Arial" w:cs="Arial"/>
                <w:b/>
                <w:i w:val="0"/>
                <w:color w:val="FFFFFF"/>
                <w:sz w:val="18"/>
              </w:rPr>
              <w:t>Desired outcome</w:t>
            </w:r>
          </w:p>
        </w:tc>
      </w:tr>
      <w:tr>
        <w:trPr>
          <w:cantSplit/>
        </w:trPr>
        <w:tc>
          <w:tcPr>
            <w:tcW w:type="dxa" w:w="1699"/>
            <w:vAlign w:val="top"/>
            <w:tcMar>
              <w:top w:w="90" w:type="dxa"/>
              <w:start w:w="110" w:type="dxa"/>
              <w:bottom w:w="90" w:type="dxa"/>
              <w:end w:w="110" w:type="dxa"/>
            </w:tcMar>
            <w:tcBorders>
              <w:top w:val="single" w:sz="5" w:color="D6E0EA"/>
              <w:left w:val="single" w:sz="5" w:color="D6E0EA"/>
              <w:bottom w:val="single" w:sz="5" w:color="D6E0EA"/>
              <w:right w:val="single" w:sz="5" w:color="D6E0EA"/>
              <w:insideH w:val="single" w:sz="5" w:color="D6E0EA"/>
              <w:insideV w:val="single" w:sz="5" w:color="D6E0EA"/>
            </w:tcBorders>
          </w:tcPr>
          <w:p>
            <w:pPr>
              <w:spacing w:after="0" w:line="245" w:lineRule="auto"/>
            </w:pPr>
            <w:r>
              <w:rPr>
                <w:rFonts w:ascii="Arial" w:hAnsi="Arial" w:cs="Arial"/>
                <w:b w:val="0"/>
                <w:i w:val="0"/>
                <w:color w:val="202B3C"/>
                <w:sz w:val="17"/>
              </w:rPr>
              <w:t>Home planner</w:t>
            </w:r>
          </w:p>
        </w:tc>
        <w:tc>
          <w:tcPr>
            <w:tcW w:type="dxa" w:w="2592"/>
            <w:vAlign w:val="top"/>
            <w:tcMar>
              <w:top w:w="90" w:type="dxa"/>
              <w:start w:w="110" w:type="dxa"/>
              <w:bottom w:w="90" w:type="dxa"/>
              <w:end w:w="110" w:type="dxa"/>
            </w:tcMar>
            <w:tcBorders>
              <w:top w:val="single" w:sz="5" w:color="D6E0EA"/>
              <w:left w:val="single" w:sz="5" w:color="D6E0EA"/>
              <w:bottom w:val="single" w:sz="5" w:color="D6E0EA"/>
              <w:right w:val="single" w:sz="5" w:color="D6E0EA"/>
              <w:insideH w:val="single" w:sz="5" w:color="D6E0EA"/>
              <w:insideV w:val="single" w:sz="5" w:color="D6E0EA"/>
            </w:tcBorders>
          </w:tcPr>
          <w:p>
            <w:pPr>
              <w:spacing w:after="0" w:line="245" w:lineRule="auto"/>
            </w:pPr>
            <w:r>
              <w:rPr>
                <w:rFonts w:ascii="Arial" w:hAnsi="Arial" w:cs="Arial"/>
                <w:b w:val="0"/>
                <w:i w:val="0"/>
                <w:color w:val="202B3C"/>
                <w:sz w:val="17"/>
              </w:rPr>
              <w:t>I need important items first and a way to stay within budget.</w:t>
            </w:r>
          </w:p>
        </w:tc>
        <w:tc>
          <w:tcPr>
            <w:tcW w:type="dxa" w:w="2880"/>
            <w:vAlign w:val="top"/>
            <w:tcMar>
              <w:top w:w="90" w:type="dxa"/>
              <w:start w:w="110" w:type="dxa"/>
              <w:bottom w:w="90" w:type="dxa"/>
              <w:end w:w="110" w:type="dxa"/>
            </w:tcMar>
            <w:tcBorders>
              <w:top w:val="single" w:sz="5" w:color="D6E0EA"/>
              <w:left w:val="single" w:sz="5" w:color="D6E0EA"/>
              <w:bottom w:val="single" w:sz="5" w:color="D6E0EA"/>
              <w:right w:val="single" w:sz="5" w:color="D6E0EA"/>
              <w:insideH w:val="single" w:sz="5" w:color="D6E0EA"/>
              <w:insideV w:val="single" w:sz="5" w:color="D6E0EA"/>
            </w:tcBorders>
          </w:tcPr>
          <w:p>
            <w:pPr>
              <w:spacing w:after="0" w:line="245" w:lineRule="auto"/>
            </w:pPr>
            <w:r>
              <w:rPr>
                <w:rFonts w:ascii="Arial" w:hAnsi="Arial" w:cs="Arial"/>
                <w:b w:val="0"/>
                <w:i w:val="0"/>
                <w:color w:val="202B3C"/>
                <w:sz w:val="17"/>
              </w:rPr>
              <w:t>Room needs, quantities and prices are easy to lose across lists and searches.</w:t>
            </w:r>
          </w:p>
        </w:tc>
        <w:tc>
          <w:tcPr>
            <w:tcW w:type="dxa" w:w="2664"/>
            <w:vAlign w:val="top"/>
            <w:tcMar>
              <w:top w:w="90" w:type="dxa"/>
              <w:start w:w="110" w:type="dxa"/>
              <w:bottom w:w="90" w:type="dxa"/>
              <w:end w:w="110" w:type="dxa"/>
            </w:tcMar>
            <w:tcBorders>
              <w:top w:val="single" w:sz="5" w:color="D6E0EA"/>
              <w:left w:val="single" w:sz="5" w:color="D6E0EA"/>
              <w:bottom w:val="single" w:sz="5" w:color="D6E0EA"/>
              <w:right w:val="single" w:sz="5" w:color="D6E0EA"/>
              <w:insideH w:val="single" w:sz="5" w:color="D6E0EA"/>
              <w:insideV w:val="single" w:sz="5" w:color="D6E0EA"/>
            </w:tcBorders>
          </w:tcPr>
          <w:p>
            <w:pPr>
              <w:spacing w:after="0" w:line="245" w:lineRule="auto"/>
            </w:pPr>
            <w:r>
              <w:rPr>
                <w:rFonts w:ascii="Arial" w:hAnsi="Arial" w:cs="Arial"/>
                <w:b w:val="0"/>
                <w:i w:val="0"/>
                <w:color w:val="202B3C"/>
                <w:sz w:val="17"/>
              </w:rPr>
              <w:t>A room-by-room starter plan with estimates and items to compare.</w:t>
            </w:r>
          </w:p>
        </w:tc>
      </w:tr>
      <w:tr>
        <w:trPr>
          <w:cantSplit/>
        </w:trPr>
        <w:tc>
          <w:tcPr>
            <w:tcW w:type="dxa" w:w="1699"/>
            <w:vAlign w:val="top"/>
            <w:tcMar>
              <w:top w:w="90" w:type="dxa"/>
              <w:start w:w="110" w:type="dxa"/>
              <w:bottom w:w="90" w:type="dxa"/>
              <w:end w:w="110" w:type="dxa"/>
            </w:tcMar>
            <w:tcBorders>
              <w:top w:val="single" w:sz="5" w:color="D6E0EA"/>
              <w:left w:val="single" w:sz="5" w:color="D6E0EA"/>
              <w:bottom w:val="single" w:sz="5" w:color="D6E0EA"/>
              <w:right w:val="single" w:sz="5" w:color="D6E0EA"/>
              <w:insideH w:val="single" w:sz="5" w:color="D6E0EA"/>
              <w:insideV w:val="single" w:sz="5" w:color="D6E0EA"/>
            </w:tcBorders>
            <w:shd w:fill="F5F8FC"/>
          </w:tcPr>
          <w:p>
            <w:pPr>
              <w:spacing w:after="0" w:line="245" w:lineRule="auto"/>
            </w:pPr>
            <w:r>
              <w:rPr>
                <w:rFonts w:ascii="Arial" w:hAnsi="Arial" w:cs="Arial"/>
                <w:b w:val="0"/>
                <w:i w:val="0"/>
                <w:color w:val="202B3C"/>
                <w:sz w:val="17"/>
              </w:rPr>
              <w:t>Party host</w:t>
            </w:r>
          </w:p>
        </w:tc>
        <w:tc>
          <w:tcPr>
            <w:tcW w:type="dxa" w:w="2592"/>
            <w:vAlign w:val="top"/>
            <w:tcMar>
              <w:top w:w="90" w:type="dxa"/>
              <w:start w:w="110" w:type="dxa"/>
              <w:bottom w:w="90" w:type="dxa"/>
              <w:end w:w="110" w:type="dxa"/>
            </w:tcMar>
            <w:tcBorders>
              <w:top w:val="single" w:sz="5" w:color="D6E0EA"/>
              <w:left w:val="single" w:sz="5" w:color="D6E0EA"/>
              <w:bottom w:val="single" w:sz="5" w:color="D6E0EA"/>
              <w:right w:val="single" w:sz="5" w:color="D6E0EA"/>
              <w:insideH w:val="single" w:sz="5" w:color="D6E0EA"/>
              <w:insideV w:val="single" w:sz="5" w:color="D6E0EA"/>
            </w:tcBorders>
            <w:shd w:fill="F5F8FC"/>
          </w:tcPr>
          <w:p>
            <w:pPr>
              <w:spacing w:after="0" w:line="245" w:lineRule="auto"/>
            </w:pPr>
            <w:r>
              <w:rPr>
                <w:rFonts w:ascii="Arial" w:hAnsi="Arial" w:cs="Arial"/>
                <w:b w:val="0"/>
                <w:i w:val="0"/>
                <w:color w:val="202B3C"/>
                <w:sz w:val="17"/>
              </w:rPr>
              <w:t>I want guests included without losing control of total spend.</w:t>
            </w:r>
          </w:p>
        </w:tc>
        <w:tc>
          <w:tcPr>
            <w:tcW w:type="dxa" w:w="2880"/>
            <w:vAlign w:val="top"/>
            <w:tcMar>
              <w:top w:w="90" w:type="dxa"/>
              <w:start w:w="110" w:type="dxa"/>
              <w:bottom w:w="90" w:type="dxa"/>
              <w:end w:w="110" w:type="dxa"/>
            </w:tcMar>
            <w:tcBorders>
              <w:top w:val="single" w:sz="5" w:color="D6E0EA"/>
              <w:left w:val="single" w:sz="5" w:color="D6E0EA"/>
              <w:bottom w:val="single" w:sz="5" w:color="D6E0EA"/>
              <w:right w:val="single" w:sz="5" w:color="D6E0EA"/>
              <w:insideH w:val="single" w:sz="5" w:color="D6E0EA"/>
              <w:insideV w:val="single" w:sz="5" w:color="D6E0EA"/>
            </w:tcBorders>
            <w:shd w:fill="F5F8FC"/>
          </w:tcPr>
          <w:p>
            <w:pPr>
              <w:spacing w:after="0" w:line="245" w:lineRule="auto"/>
            </w:pPr>
            <w:r>
              <w:rPr>
                <w:rFonts w:ascii="Arial" w:hAnsi="Arial" w:cs="Arial"/>
                <w:b w:val="0"/>
                <w:i w:val="0"/>
                <w:color w:val="202B3C"/>
                <w:sz w:val="17"/>
              </w:rPr>
              <w:t>Event costs and preferences compete for one budget.</w:t>
            </w:r>
          </w:p>
        </w:tc>
        <w:tc>
          <w:tcPr>
            <w:tcW w:type="dxa" w:w="2664"/>
            <w:vAlign w:val="top"/>
            <w:tcMar>
              <w:top w:w="90" w:type="dxa"/>
              <w:start w:w="110" w:type="dxa"/>
              <w:bottom w:w="90" w:type="dxa"/>
              <w:end w:w="110" w:type="dxa"/>
            </w:tcMar>
            <w:tcBorders>
              <w:top w:val="single" w:sz="5" w:color="D6E0EA"/>
              <w:left w:val="single" w:sz="5" w:color="D6E0EA"/>
              <w:bottom w:val="single" w:sz="5" w:color="D6E0EA"/>
              <w:right w:val="single" w:sz="5" w:color="D6E0EA"/>
              <w:insideH w:val="single" w:sz="5" w:color="D6E0EA"/>
              <w:insideV w:val="single" w:sz="5" w:color="D6E0EA"/>
            </w:tcBorders>
            <w:shd w:fill="F5F8FC"/>
          </w:tcPr>
          <w:p>
            <w:pPr>
              <w:spacing w:after="0" w:line="245" w:lineRule="auto"/>
            </w:pPr>
            <w:r>
              <w:rPr>
                <w:rFonts w:ascii="Arial" w:hAnsi="Arial" w:cs="Arial"/>
                <w:b w:val="0"/>
                <w:i w:val="0"/>
                <w:color w:val="202B3C"/>
                <w:sz w:val="17"/>
              </w:rPr>
              <w:t>A prioritized event plan that makes cost categories visible.</w:t>
            </w:r>
          </w:p>
        </w:tc>
      </w:tr>
      <w:tr>
        <w:trPr>
          <w:cantSplit/>
        </w:trPr>
        <w:tc>
          <w:tcPr>
            <w:tcW w:type="dxa" w:w="1699"/>
            <w:vAlign w:val="top"/>
            <w:tcMar>
              <w:top w:w="90" w:type="dxa"/>
              <w:start w:w="110" w:type="dxa"/>
              <w:bottom w:w="90" w:type="dxa"/>
              <w:end w:w="110" w:type="dxa"/>
            </w:tcMar>
            <w:tcBorders>
              <w:top w:val="single" w:sz="5" w:color="D6E0EA"/>
              <w:left w:val="single" w:sz="5" w:color="D6E0EA"/>
              <w:bottom w:val="single" w:sz="5" w:color="D6E0EA"/>
              <w:right w:val="single" w:sz="5" w:color="D6E0EA"/>
              <w:insideH w:val="single" w:sz="5" w:color="D6E0EA"/>
              <w:insideV w:val="single" w:sz="5" w:color="D6E0EA"/>
            </w:tcBorders>
          </w:tcPr>
          <w:p>
            <w:pPr>
              <w:spacing w:after="0" w:line="245" w:lineRule="auto"/>
            </w:pPr>
            <w:r>
              <w:rPr>
                <w:rFonts w:ascii="Arial" w:hAnsi="Arial" w:cs="Arial"/>
                <w:b w:val="0"/>
                <w:i w:val="0"/>
                <w:color w:val="202B3C"/>
                <w:sz w:val="17"/>
              </w:rPr>
              <w:t>Jewelry shopper</w:t>
            </w:r>
          </w:p>
        </w:tc>
        <w:tc>
          <w:tcPr>
            <w:tcW w:type="dxa" w:w="2592"/>
            <w:vAlign w:val="top"/>
            <w:tcMar>
              <w:top w:w="90" w:type="dxa"/>
              <w:start w:w="110" w:type="dxa"/>
              <w:bottom w:w="90" w:type="dxa"/>
              <w:end w:w="110" w:type="dxa"/>
            </w:tcMar>
            <w:tcBorders>
              <w:top w:val="single" w:sz="5" w:color="D6E0EA"/>
              <w:left w:val="single" w:sz="5" w:color="D6E0EA"/>
              <w:bottom w:val="single" w:sz="5" w:color="D6E0EA"/>
              <w:right w:val="single" w:sz="5" w:color="D6E0EA"/>
              <w:insideH w:val="single" w:sz="5" w:color="D6E0EA"/>
              <w:insideV w:val="single" w:sz="5" w:color="D6E0EA"/>
            </w:tcBorders>
          </w:tcPr>
          <w:p>
            <w:pPr>
              <w:spacing w:after="0" w:line="245" w:lineRule="auto"/>
            </w:pPr>
            <w:r>
              <w:rPr>
                <w:rFonts w:ascii="Arial" w:hAnsi="Arial" w:cs="Arial"/>
                <w:b w:val="0"/>
                <w:i w:val="0"/>
                <w:color w:val="202B3C"/>
                <w:sz w:val="17"/>
              </w:rPr>
              <w:t>I want a suitable style without overcommitting before comparing.</w:t>
            </w:r>
          </w:p>
        </w:tc>
        <w:tc>
          <w:tcPr>
            <w:tcW w:type="dxa" w:w="2880"/>
            <w:vAlign w:val="top"/>
            <w:tcMar>
              <w:top w:w="90" w:type="dxa"/>
              <w:start w:w="110" w:type="dxa"/>
              <w:bottom w:w="90" w:type="dxa"/>
              <w:end w:w="110" w:type="dxa"/>
            </w:tcMar>
            <w:tcBorders>
              <w:top w:val="single" w:sz="5" w:color="D6E0EA"/>
              <w:left w:val="single" w:sz="5" w:color="D6E0EA"/>
              <w:bottom w:val="single" w:sz="5" w:color="D6E0EA"/>
              <w:right w:val="single" w:sz="5" w:color="D6E0EA"/>
              <w:insideH w:val="single" w:sz="5" w:color="D6E0EA"/>
              <w:insideV w:val="single" w:sz="5" w:color="D6E0EA"/>
            </w:tcBorders>
          </w:tcPr>
          <w:p>
            <w:pPr>
              <w:spacing w:after="0" w:line="245" w:lineRule="auto"/>
            </w:pPr>
            <w:r>
              <w:rPr>
                <w:rFonts w:ascii="Arial" w:hAnsi="Arial" w:cs="Arial"/>
                <w:b w:val="0"/>
                <w:i w:val="0"/>
                <w:color w:val="202B3C"/>
                <w:sz w:val="17"/>
              </w:rPr>
              <w:t>Many options are hard to narrow down; outfit coordination may help.</w:t>
            </w:r>
          </w:p>
        </w:tc>
        <w:tc>
          <w:tcPr>
            <w:tcW w:type="dxa" w:w="2664"/>
            <w:vAlign w:val="top"/>
            <w:tcMar>
              <w:top w:w="90" w:type="dxa"/>
              <w:start w:w="110" w:type="dxa"/>
              <w:bottom w:w="90" w:type="dxa"/>
              <w:end w:w="110" w:type="dxa"/>
            </w:tcMar>
            <w:tcBorders>
              <w:top w:val="single" w:sz="5" w:color="D6E0EA"/>
              <w:left w:val="single" w:sz="5" w:color="D6E0EA"/>
              <w:bottom w:val="single" w:sz="5" w:color="D6E0EA"/>
              <w:right w:val="single" w:sz="5" w:color="D6E0EA"/>
              <w:insideH w:val="single" w:sz="5" w:color="D6E0EA"/>
              <w:insideV w:val="single" w:sz="5" w:color="D6E0EA"/>
            </w:tcBorders>
          </w:tcPr>
          <w:p>
            <w:pPr>
              <w:spacing w:after="0" w:line="245" w:lineRule="auto"/>
            </w:pPr>
            <w:r>
              <w:rPr>
                <w:rFonts w:ascii="Arial" w:hAnsi="Arial" w:cs="Arial"/>
                <w:b w:val="0"/>
                <w:i w:val="0"/>
                <w:color w:val="202B3C"/>
                <w:sz w:val="17"/>
              </w:rPr>
              <w:t>Occasion-based ideas, estimates and optional broad color or style cues.</w:t>
            </w:r>
          </w:p>
        </w:tc>
      </w:tr>
    </w:tbl>
    <w:p>
      <w:pPr>
        <w:spacing w:after="20" w:line="144" w:lineRule="auto"/>
      </w:pPr>
    </w:p>
    <w:p>
      <w:pPr>
        <w:pStyle w:val="Heading1"/>
        <w:keepNext/>
      </w:pPr>
      <w:r>
        <w:t>Idea priorities</w:t>
      </w:r>
    </w:p>
    <w:tbl>
      <w:tblPr>
        <w:tblStyle w:val="TableGrid"/>
        <w:tblW w:type="auto" w:w="0"/>
        <w:jc w:val="center"/>
        <w:tblLayout w:type="fixed"/>
        <w:tblLook w:firstColumn="1" w:firstRow="1" w:lastColumn="0" w:lastRow="0" w:noHBand="0" w:noVBand="1" w:val="04A0"/>
      </w:tblPr>
      <w:tblGrid>
        <w:gridCol w:w="3278"/>
        <w:gridCol w:w="3278"/>
        <w:gridCol w:w="3278"/>
      </w:tblGrid>
      <w:tr>
        <w:trPr>
          <w:tblHeader w:val="true"/>
          <w:cantSplit/>
        </w:trPr>
        <w:tc>
          <w:tcPr>
            <w:tcW w:type="dxa" w:w="3672"/>
            <w:vAlign w:val="center"/>
            <w:shd w:fill="17365D"/>
            <w:tcMar>
              <w:top w:w="100" w:type="dxa"/>
              <w:start w:w="110" w:type="dxa"/>
              <w:bottom w:w="100" w:type="dxa"/>
              <w:end w:w="110" w:type="dxa"/>
            </w:tcMar>
            <w:tcBorders>
              <w:top w:val="single" w:sz="5" w:color="17365D"/>
              <w:left w:val="single" w:sz="5" w:color="17365D"/>
              <w:bottom w:val="single" w:sz="5" w:color="17365D"/>
              <w:right w:val="single" w:sz="5" w:color="17365D"/>
              <w:insideH w:val="single" w:sz="5" w:color="17365D"/>
              <w:insideV w:val="single" w:sz="5" w:color="17365D"/>
            </w:tcBorders>
          </w:tcPr>
          <w:p>
            <w:pPr>
              <w:spacing w:after="0"/>
            </w:pPr>
            <w:r>
              <w:rPr>
                <w:rFonts w:ascii="Arial" w:hAnsi="Arial" w:cs="Arial"/>
                <w:b/>
                <w:i w:val="0"/>
                <w:color w:val="FFFFFF"/>
                <w:sz w:val="18"/>
              </w:rPr>
              <w:t>Idea</w:t>
            </w:r>
          </w:p>
        </w:tc>
        <w:tc>
          <w:tcPr>
            <w:tcW w:type="dxa" w:w="1152"/>
            <w:vAlign w:val="center"/>
            <w:shd w:fill="17365D"/>
            <w:tcMar>
              <w:top w:w="100" w:type="dxa"/>
              <w:start w:w="110" w:type="dxa"/>
              <w:bottom w:w="100" w:type="dxa"/>
              <w:end w:w="110" w:type="dxa"/>
            </w:tcMar>
            <w:tcBorders>
              <w:top w:val="single" w:sz="5" w:color="17365D"/>
              <w:left w:val="single" w:sz="5" w:color="17365D"/>
              <w:bottom w:val="single" w:sz="5" w:color="17365D"/>
              <w:right w:val="single" w:sz="5" w:color="17365D"/>
              <w:insideH w:val="single" w:sz="5" w:color="17365D"/>
              <w:insideV w:val="single" w:sz="5" w:color="17365D"/>
            </w:tcBorders>
          </w:tcPr>
          <w:p>
            <w:pPr>
              <w:spacing w:after="0"/>
            </w:pPr>
            <w:r>
              <w:rPr>
                <w:rFonts w:ascii="Arial" w:hAnsi="Arial" w:cs="Arial"/>
                <w:b/>
                <w:i w:val="0"/>
                <w:color w:val="FFFFFF"/>
                <w:sz w:val="18"/>
              </w:rPr>
              <w:t>Priority</w:t>
            </w:r>
          </w:p>
        </w:tc>
        <w:tc>
          <w:tcPr>
            <w:tcW w:type="dxa" w:w="5011"/>
            <w:vAlign w:val="center"/>
            <w:shd w:fill="17365D"/>
            <w:tcMar>
              <w:top w:w="100" w:type="dxa"/>
              <w:start w:w="110" w:type="dxa"/>
              <w:bottom w:w="100" w:type="dxa"/>
              <w:end w:w="110" w:type="dxa"/>
            </w:tcMar>
            <w:tcBorders>
              <w:top w:val="single" w:sz="5" w:color="17365D"/>
              <w:left w:val="single" w:sz="5" w:color="17365D"/>
              <w:bottom w:val="single" w:sz="5" w:color="17365D"/>
              <w:right w:val="single" w:sz="5" w:color="17365D"/>
              <w:insideH w:val="single" w:sz="5" w:color="17365D"/>
              <w:insideV w:val="single" w:sz="5" w:color="17365D"/>
            </w:tcBorders>
          </w:tcPr>
          <w:p>
            <w:pPr>
              <w:spacing w:after="0"/>
            </w:pPr>
            <w:r>
              <w:rPr>
                <w:rFonts w:ascii="Arial" w:hAnsi="Arial" w:cs="Arial"/>
                <w:b/>
                <w:i w:val="0"/>
                <w:color w:val="FFFFFF"/>
                <w:sz w:val="18"/>
              </w:rPr>
              <w:t>Reason</w:t>
            </w:r>
          </w:p>
        </w:tc>
      </w:tr>
      <w:tr>
        <w:trPr>
          <w:cantSplit/>
        </w:trPr>
        <w:tc>
          <w:tcPr>
            <w:tcW w:type="dxa" w:w="3672"/>
            <w:vAlign w:val="top"/>
            <w:tcMar>
              <w:top w:w="90" w:type="dxa"/>
              <w:start w:w="110" w:type="dxa"/>
              <w:bottom w:w="90" w:type="dxa"/>
              <w:end w:w="110" w:type="dxa"/>
            </w:tcMar>
            <w:tcBorders>
              <w:top w:val="single" w:sz="5" w:color="D6E0EA"/>
              <w:left w:val="single" w:sz="5" w:color="D6E0EA"/>
              <w:bottom w:val="single" w:sz="5" w:color="D6E0EA"/>
              <w:right w:val="single" w:sz="5" w:color="D6E0EA"/>
              <w:insideH w:val="single" w:sz="5" w:color="D6E0EA"/>
              <w:insideV w:val="single" w:sz="5" w:color="D6E0EA"/>
            </w:tcBorders>
          </w:tcPr>
          <w:p>
            <w:pPr>
              <w:spacing w:after="0" w:line="245" w:lineRule="auto"/>
            </w:pPr>
            <w:r>
              <w:rPr>
                <w:rFonts w:ascii="Arial" w:hAnsi="Arial" w:cs="Arial"/>
                <w:b w:val="0"/>
                <w:i w:val="0"/>
                <w:color w:val="202B3C"/>
                <w:sz w:val="17"/>
              </w:rPr>
              <w:t>Three focused planners for home, party and jewelry</w:t>
            </w:r>
          </w:p>
        </w:tc>
        <w:tc>
          <w:tcPr>
            <w:tcW w:type="dxa" w:w="1152"/>
            <w:vAlign w:val="top"/>
            <w:tcMar>
              <w:top w:w="90" w:type="dxa"/>
              <w:start w:w="110" w:type="dxa"/>
              <w:bottom w:w="90" w:type="dxa"/>
              <w:end w:w="110" w:type="dxa"/>
            </w:tcMar>
            <w:tcBorders>
              <w:top w:val="single" w:sz="5" w:color="D6E0EA"/>
              <w:left w:val="single" w:sz="5" w:color="D6E0EA"/>
              <w:bottom w:val="single" w:sz="5" w:color="D6E0EA"/>
              <w:right w:val="single" w:sz="5" w:color="D6E0EA"/>
              <w:insideH w:val="single" w:sz="5" w:color="D6E0EA"/>
              <w:insideV w:val="single" w:sz="5" w:color="D6E0EA"/>
            </w:tcBorders>
          </w:tcPr>
          <w:p>
            <w:pPr>
              <w:spacing w:after="0" w:line="245" w:lineRule="auto"/>
            </w:pPr>
            <w:r>
              <w:rPr>
                <w:rFonts w:ascii="Arial" w:hAnsi="Arial" w:cs="Arial"/>
                <w:b w:val="0"/>
                <w:i w:val="0"/>
                <w:color w:val="202B3C"/>
                <w:sz w:val="17"/>
              </w:rPr>
              <w:t>High</w:t>
            </w:r>
          </w:p>
        </w:tc>
        <w:tc>
          <w:tcPr>
            <w:tcW w:type="dxa" w:w="5011"/>
            <w:vAlign w:val="top"/>
            <w:tcMar>
              <w:top w:w="90" w:type="dxa"/>
              <w:start w:w="110" w:type="dxa"/>
              <w:bottom w:w="90" w:type="dxa"/>
              <w:end w:w="110" w:type="dxa"/>
            </w:tcMar>
            <w:tcBorders>
              <w:top w:val="single" w:sz="5" w:color="D6E0EA"/>
              <w:left w:val="single" w:sz="5" w:color="D6E0EA"/>
              <w:bottom w:val="single" w:sz="5" w:color="D6E0EA"/>
              <w:right w:val="single" w:sz="5" w:color="D6E0EA"/>
              <w:insideH w:val="single" w:sz="5" w:color="D6E0EA"/>
              <w:insideV w:val="single" w:sz="5" w:color="D6E0EA"/>
            </w:tcBorders>
          </w:tcPr>
          <w:p>
            <w:pPr>
              <w:spacing w:after="0" w:line="245" w:lineRule="auto"/>
            </w:pPr>
            <w:r>
              <w:rPr>
                <w:rFonts w:ascii="Arial" w:hAnsi="Arial" w:cs="Arial"/>
                <w:b w:val="0"/>
                <w:i w:val="0"/>
                <w:color w:val="202B3C"/>
                <w:sz w:val="17"/>
              </w:rPr>
              <w:t>These define the product and map to its core use cases.</w:t>
            </w:r>
          </w:p>
        </w:tc>
      </w:tr>
      <w:tr>
        <w:trPr>
          <w:cantSplit/>
        </w:trPr>
        <w:tc>
          <w:tcPr>
            <w:tcW w:type="dxa" w:w="3672"/>
            <w:vAlign w:val="top"/>
            <w:tcMar>
              <w:top w:w="90" w:type="dxa"/>
              <w:start w:w="110" w:type="dxa"/>
              <w:bottom w:w="90" w:type="dxa"/>
              <w:end w:w="110" w:type="dxa"/>
            </w:tcMar>
            <w:tcBorders>
              <w:top w:val="single" w:sz="5" w:color="D6E0EA"/>
              <w:left w:val="single" w:sz="5" w:color="D6E0EA"/>
              <w:bottom w:val="single" w:sz="5" w:color="D6E0EA"/>
              <w:right w:val="single" w:sz="5" w:color="D6E0EA"/>
              <w:insideH w:val="single" w:sz="5" w:color="D6E0EA"/>
              <w:insideV w:val="single" w:sz="5" w:color="D6E0EA"/>
            </w:tcBorders>
            <w:shd w:fill="F5F8FC"/>
          </w:tcPr>
          <w:p>
            <w:pPr>
              <w:spacing w:after="0" w:line="245" w:lineRule="auto"/>
            </w:pPr>
            <w:r>
              <w:rPr>
                <w:rFonts w:ascii="Arial" w:hAnsi="Arial" w:cs="Arial"/>
                <w:b w:val="0"/>
                <w:i w:val="0"/>
                <w:color w:val="202B3C"/>
                <w:sz w:val="17"/>
              </w:rPr>
              <w:t>Budget estimates and visible breakdown</w:t>
            </w:r>
          </w:p>
        </w:tc>
        <w:tc>
          <w:tcPr>
            <w:tcW w:type="dxa" w:w="1152"/>
            <w:vAlign w:val="top"/>
            <w:tcMar>
              <w:top w:w="90" w:type="dxa"/>
              <w:start w:w="110" w:type="dxa"/>
              <w:bottom w:w="90" w:type="dxa"/>
              <w:end w:w="110" w:type="dxa"/>
            </w:tcMar>
            <w:tcBorders>
              <w:top w:val="single" w:sz="5" w:color="D6E0EA"/>
              <w:left w:val="single" w:sz="5" w:color="D6E0EA"/>
              <w:bottom w:val="single" w:sz="5" w:color="D6E0EA"/>
              <w:right w:val="single" w:sz="5" w:color="D6E0EA"/>
              <w:insideH w:val="single" w:sz="5" w:color="D6E0EA"/>
              <w:insideV w:val="single" w:sz="5" w:color="D6E0EA"/>
            </w:tcBorders>
            <w:shd w:fill="F5F8FC"/>
          </w:tcPr>
          <w:p>
            <w:pPr>
              <w:spacing w:after="0" w:line="245" w:lineRule="auto"/>
            </w:pPr>
            <w:r>
              <w:rPr>
                <w:rFonts w:ascii="Arial" w:hAnsi="Arial" w:cs="Arial"/>
                <w:b w:val="0"/>
                <w:i w:val="0"/>
                <w:color w:val="202B3C"/>
                <w:sz w:val="17"/>
              </w:rPr>
              <w:t>High</w:t>
            </w:r>
          </w:p>
        </w:tc>
        <w:tc>
          <w:tcPr>
            <w:tcW w:type="dxa" w:w="5011"/>
            <w:vAlign w:val="top"/>
            <w:tcMar>
              <w:top w:w="90" w:type="dxa"/>
              <w:start w:w="110" w:type="dxa"/>
              <w:bottom w:w="90" w:type="dxa"/>
              <w:end w:w="110" w:type="dxa"/>
            </w:tcMar>
            <w:tcBorders>
              <w:top w:val="single" w:sz="5" w:color="D6E0EA"/>
              <w:left w:val="single" w:sz="5" w:color="D6E0EA"/>
              <w:bottom w:val="single" w:sz="5" w:color="D6E0EA"/>
              <w:right w:val="single" w:sz="5" w:color="D6E0EA"/>
              <w:insideH w:val="single" w:sz="5" w:color="D6E0EA"/>
              <w:insideV w:val="single" w:sz="5" w:color="D6E0EA"/>
            </w:tcBorders>
            <w:shd w:fill="F5F8FC"/>
          </w:tcPr>
          <w:p>
            <w:pPr>
              <w:spacing w:after="0" w:line="245" w:lineRule="auto"/>
            </w:pPr>
            <w:r>
              <w:rPr>
                <w:rFonts w:ascii="Arial" w:hAnsi="Arial" w:cs="Arial"/>
                <w:b w:val="0"/>
                <w:i w:val="0"/>
                <w:color w:val="202B3C"/>
                <w:sz w:val="17"/>
              </w:rPr>
              <w:t>A budget-aware plan is the shared value across the workflows.</w:t>
            </w:r>
          </w:p>
        </w:tc>
      </w:tr>
      <w:tr>
        <w:trPr>
          <w:cantSplit/>
        </w:trPr>
        <w:tc>
          <w:tcPr>
            <w:tcW w:type="dxa" w:w="3672"/>
            <w:vAlign w:val="top"/>
            <w:tcMar>
              <w:top w:w="90" w:type="dxa"/>
              <w:start w:w="110" w:type="dxa"/>
              <w:bottom w:w="90" w:type="dxa"/>
              <w:end w:w="110" w:type="dxa"/>
            </w:tcMar>
            <w:tcBorders>
              <w:top w:val="single" w:sz="5" w:color="D6E0EA"/>
              <w:left w:val="single" w:sz="5" w:color="D6E0EA"/>
              <w:bottom w:val="single" w:sz="5" w:color="D6E0EA"/>
              <w:right w:val="single" w:sz="5" w:color="D6E0EA"/>
              <w:insideH w:val="single" w:sz="5" w:color="D6E0EA"/>
              <w:insideV w:val="single" w:sz="5" w:color="D6E0EA"/>
            </w:tcBorders>
          </w:tcPr>
          <w:p>
            <w:pPr>
              <w:spacing w:after="0" w:line="245" w:lineRule="auto"/>
            </w:pPr>
            <w:r>
              <w:rPr>
                <w:rFonts w:ascii="Arial" w:hAnsi="Arial" w:cs="Arial"/>
                <w:b w:val="0"/>
                <w:i w:val="0"/>
                <w:color w:val="202B3C"/>
                <w:sz w:val="17"/>
              </w:rPr>
              <w:t>Retailer search links</w:t>
            </w:r>
          </w:p>
        </w:tc>
        <w:tc>
          <w:tcPr>
            <w:tcW w:type="dxa" w:w="1152"/>
            <w:vAlign w:val="top"/>
            <w:tcMar>
              <w:top w:w="90" w:type="dxa"/>
              <w:start w:w="110" w:type="dxa"/>
              <w:bottom w:w="90" w:type="dxa"/>
              <w:end w:w="110" w:type="dxa"/>
            </w:tcMar>
            <w:tcBorders>
              <w:top w:val="single" w:sz="5" w:color="D6E0EA"/>
              <w:left w:val="single" w:sz="5" w:color="D6E0EA"/>
              <w:bottom w:val="single" w:sz="5" w:color="D6E0EA"/>
              <w:right w:val="single" w:sz="5" w:color="D6E0EA"/>
              <w:insideH w:val="single" w:sz="5" w:color="D6E0EA"/>
              <w:insideV w:val="single" w:sz="5" w:color="D6E0EA"/>
            </w:tcBorders>
          </w:tcPr>
          <w:p>
            <w:pPr>
              <w:spacing w:after="0" w:line="245" w:lineRule="auto"/>
            </w:pPr>
            <w:r>
              <w:rPr>
                <w:rFonts w:ascii="Arial" w:hAnsi="Arial" w:cs="Arial"/>
                <w:b w:val="0"/>
                <w:i w:val="0"/>
                <w:color w:val="202B3C"/>
                <w:sz w:val="17"/>
              </w:rPr>
              <w:t>High</w:t>
            </w:r>
          </w:p>
        </w:tc>
        <w:tc>
          <w:tcPr>
            <w:tcW w:type="dxa" w:w="5011"/>
            <w:vAlign w:val="top"/>
            <w:tcMar>
              <w:top w:w="90" w:type="dxa"/>
              <w:start w:w="110" w:type="dxa"/>
              <w:bottom w:w="90" w:type="dxa"/>
              <w:end w:w="110" w:type="dxa"/>
            </w:tcMar>
            <w:tcBorders>
              <w:top w:val="single" w:sz="5" w:color="D6E0EA"/>
              <w:left w:val="single" w:sz="5" w:color="D6E0EA"/>
              <w:bottom w:val="single" w:sz="5" w:color="D6E0EA"/>
              <w:right w:val="single" w:sz="5" w:color="D6E0EA"/>
              <w:insideH w:val="single" w:sz="5" w:color="D6E0EA"/>
              <w:insideV w:val="single" w:sz="5" w:color="D6E0EA"/>
            </w:tcBorders>
          </w:tcPr>
          <w:p>
            <w:pPr>
              <w:spacing w:after="0" w:line="245" w:lineRule="auto"/>
            </w:pPr>
            <w:r>
              <w:rPr>
                <w:rFonts w:ascii="Arial" w:hAnsi="Arial" w:cs="Arial"/>
                <w:b w:val="0"/>
                <w:i w:val="0"/>
                <w:color w:val="202B3C"/>
                <w:sz w:val="17"/>
              </w:rPr>
              <w:t>They give users a next step without claiming live listings.</w:t>
            </w:r>
          </w:p>
        </w:tc>
      </w:tr>
      <w:tr>
        <w:trPr>
          <w:cantSplit/>
        </w:trPr>
        <w:tc>
          <w:tcPr>
            <w:tcW w:type="dxa" w:w="3672"/>
            <w:vAlign w:val="top"/>
            <w:tcMar>
              <w:top w:w="90" w:type="dxa"/>
              <w:start w:w="110" w:type="dxa"/>
              <w:bottom w:w="90" w:type="dxa"/>
              <w:end w:w="110" w:type="dxa"/>
            </w:tcMar>
            <w:tcBorders>
              <w:top w:val="single" w:sz="5" w:color="D6E0EA"/>
              <w:left w:val="single" w:sz="5" w:color="D6E0EA"/>
              <w:bottom w:val="single" w:sz="5" w:color="D6E0EA"/>
              <w:right w:val="single" w:sz="5" w:color="D6E0EA"/>
              <w:insideH w:val="single" w:sz="5" w:color="D6E0EA"/>
              <w:insideV w:val="single" w:sz="5" w:color="D6E0EA"/>
            </w:tcBorders>
            <w:shd w:fill="F5F8FC"/>
          </w:tcPr>
          <w:p>
            <w:pPr>
              <w:spacing w:after="0" w:line="245" w:lineRule="auto"/>
            </w:pPr>
            <w:r>
              <w:rPr>
                <w:rFonts w:ascii="Arial" w:hAnsi="Arial" w:cs="Arial"/>
                <w:b w:val="0"/>
                <w:i w:val="0"/>
                <w:color w:val="202B3C"/>
                <w:sz w:val="17"/>
              </w:rPr>
              <w:t>Saved plans and account history</w:t>
            </w:r>
          </w:p>
        </w:tc>
        <w:tc>
          <w:tcPr>
            <w:tcW w:type="dxa" w:w="1152"/>
            <w:vAlign w:val="top"/>
            <w:tcMar>
              <w:top w:w="90" w:type="dxa"/>
              <w:start w:w="110" w:type="dxa"/>
              <w:bottom w:w="90" w:type="dxa"/>
              <w:end w:w="110" w:type="dxa"/>
            </w:tcMar>
            <w:tcBorders>
              <w:top w:val="single" w:sz="5" w:color="D6E0EA"/>
              <w:left w:val="single" w:sz="5" w:color="D6E0EA"/>
              <w:bottom w:val="single" w:sz="5" w:color="D6E0EA"/>
              <w:right w:val="single" w:sz="5" w:color="D6E0EA"/>
              <w:insideH w:val="single" w:sz="5" w:color="D6E0EA"/>
              <w:insideV w:val="single" w:sz="5" w:color="D6E0EA"/>
            </w:tcBorders>
            <w:shd w:fill="F5F8FC"/>
          </w:tcPr>
          <w:p>
            <w:pPr>
              <w:spacing w:after="0" w:line="245" w:lineRule="auto"/>
            </w:pPr>
            <w:r>
              <w:rPr>
                <w:rFonts w:ascii="Arial" w:hAnsi="Arial" w:cs="Arial"/>
                <w:b w:val="0"/>
                <w:i w:val="0"/>
                <w:color w:val="202B3C"/>
                <w:sz w:val="17"/>
              </w:rPr>
              <w:t>High</w:t>
            </w:r>
          </w:p>
        </w:tc>
        <w:tc>
          <w:tcPr>
            <w:tcW w:type="dxa" w:w="5011"/>
            <w:vAlign w:val="top"/>
            <w:tcMar>
              <w:top w:w="90" w:type="dxa"/>
              <w:start w:w="110" w:type="dxa"/>
              <w:bottom w:w="90" w:type="dxa"/>
              <w:end w:w="110" w:type="dxa"/>
            </w:tcMar>
            <w:tcBorders>
              <w:top w:val="single" w:sz="5" w:color="D6E0EA"/>
              <w:left w:val="single" w:sz="5" w:color="D6E0EA"/>
              <w:bottom w:val="single" w:sz="5" w:color="D6E0EA"/>
              <w:right w:val="single" w:sz="5" w:color="D6E0EA"/>
              <w:insideH w:val="single" w:sz="5" w:color="D6E0EA"/>
              <w:insideV w:val="single" w:sz="5" w:color="D6E0EA"/>
            </w:tcBorders>
            <w:shd w:fill="F5F8FC"/>
          </w:tcPr>
          <w:p>
            <w:pPr>
              <w:spacing w:after="0" w:line="245" w:lineRule="auto"/>
            </w:pPr>
            <w:r>
              <w:rPr>
                <w:rFonts w:ascii="Arial" w:hAnsi="Arial" w:cs="Arial"/>
                <w:b w:val="0"/>
                <w:i w:val="0"/>
                <w:color w:val="202B3C"/>
                <w:sz w:val="17"/>
              </w:rPr>
              <w:t>Users can return to prior decisions.</w:t>
            </w:r>
          </w:p>
        </w:tc>
      </w:tr>
      <w:tr>
        <w:trPr>
          <w:cantSplit/>
        </w:trPr>
        <w:tc>
          <w:tcPr>
            <w:tcW w:type="dxa" w:w="3672"/>
            <w:vAlign w:val="top"/>
            <w:tcMar>
              <w:top w:w="90" w:type="dxa"/>
              <w:start w:w="110" w:type="dxa"/>
              <w:bottom w:w="90" w:type="dxa"/>
              <w:end w:w="110" w:type="dxa"/>
            </w:tcMar>
            <w:tcBorders>
              <w:top w:val="single" w:sz="5" w:color="D6E0EA"/>
              <w:left w:val="single" w:sz="5" w:color="D6E0EA"/>
              <w:bottom w:val="single" w:sz="5" w:color="D6E0EA"/>
              <w:right w:val="single" w:sz="5" w:color="D6E0EA"/>
              <w:insideH w:val="single" w:sz="5" w:color="D6E0EA"/>
              <w:insideV w:val="single" w:sz="5" w:color="D6E0EA"/>
            </w:tcBorders>
          </w:tcPr>
          <w:p>
            <w:pPr>
              <w:spacing w:after="0" w:line="245" w:lineRule="auto"/>
            </w:pPr>
            <w:r>
              <w:rPr>
                <w:rFonts w:ascii="Arial" w:hAnsi="Arial" w:cs="Arial"/>
                <w:b w:val="0"/>
                <w:i w:val="0"/>
                <w:color w:val="202B3C"/>
                <w:sz w:val="17"/>
              </w:rPr>
              <w:t>Optional Gemini generation and jewelry image cues</w:t>
            </w:r>
          </w:p>
        </w:tc>
        <w:tc>
          <w:tcPr>
            <w:tcW w:type="dxa" w:w="1152"/>
            <w:vAlign w:val="top"/>
            <w:tcMar>
              <w:top w:w="90" w:type="dxa"/>
              <w:start w:w="110" w:type="dxa"/>
              <w:bottom w:w="90" w:type="dxa"/>
              <w:end w:w="110" w:type="dxa"/>
            </w:tcMar>
            <w:tcBorders>
              <w:top w:val="single" w:sz="5" w:color="D6E0EA"/>
              <w:left w:val="single" w:sz="5" w:color="D6E0EA"/>
              <w:bottom w:val="single" w:sz="5" w:color="D6E0EA"/>
              <w:right w:val="single" w:sz="5" w:color="D6E0EA"/>
              <w:insideH w:val="single" w:sz="5" w:color="D6E0EA"/>
              <w:insideV w:val="single" w:sz="5" w:color="D6E0EA"/>
            </w:tcBorders>
          </w:tcPr>
          <w:p>
            <w:pPr>
              <w:spacing w:after="0" w:line="245" w:lineRule="auto"/>
            </w:pPr>
            <w:r>
              <w:rPr>
                <w:rFonts w:ascii="Arial" w:hAnsi="Arial" w:cs="Arial"/>
                <w:b w:val="0"/>
                <w:i w:val="0"/>
                <w:color w:val="202B3C"/>
                <w:sz w:val="17"/>
              </w:rPr>
              <w:t>Medium</w:t>
            </w:r>
          </w:p>
        </w:tc>
        <w:tc>
          <w:tcPr>
            <w:tcW w:type="dxa" w:w="5011"/>
            <w:vAlign w:val="top"/>
            <w:tcMar>
              <w:top w:w="90" w:type="dxa"/>
              <w:start w:w="110" w:type="dxa"/>
              <w:bottom w:w="90" w:type="dxa"/>
              <w:end w:w="110" w:type="dxa"/>
            </w:tcMar>
            <w:tcBorders>
              <w:top w:val="single" w:sz="5" w:color="D6E0EA"/>
              <w:left w:val="single" w:sz="5" w:color="D6E0EA"/>
              <w:bottom w:val="single" w:sz="5" w:color="D6E0EA"/>
              <w:right w:val="single" w:sz="5" w:color="D6E0EA"/>
              <w:insideH w:val="single" w:sz="5" w:color="D6E0EA"/>
              <w:insideV w:val="single" w:sz="5" w:color="D6E0EA"/>
            </w:tcBorders>
          </w:tcPr>
          <w:p>
            <w:pPr>
              <w:spacing w:after="0" w:line="245" w:lineRule="auto"/>
            </w:pPr>
            <w:r>
              <w:rPr>
                <w:rFonts w:ascii="Arial" w:hAnsi="Arial" w:cs="Arial"/>
                <w:b w:val="0"/>
                <w:i w:val="0"/>
                <w:color w:val="202B3C"/>
                <w:sz w:val="17"/>
              </w:rPr>
              <w:t>They enrich suggestions while local fallback keeps planners usable.</w:t>
            </w:r>
          </w:p>
        </w:tc>
      </w:tr>
    </w:tbl>
    <w:p>
      <w:pPr>
        <w:spacing w:after="20" w:line="144" w:lineRule="auto"/>
      </w:pPr>
    </w:p>
    <w:tbl>
      <w:tblPr>
        <w:tblW w:type="auto" w:w="0"/>
        <w:jc w:val="center"/>
        <w:tblLayout w:type="fixed"/>
        <w:tblLook w:firstColumn="1" w:firstRow="1" w:lastColumn="0" w:lastRow="0" w:noHBand="0" w:noVBand="1" w:val="04A0"/>
      </w:tblPr>
      <w:tblGrid>
        <w:gridCol w:w="9835"/>
      </w:tblGrid>
      <w:tr>
        <w:tc>
          <w:tcPr>
            <w:tcW w:type="dxa" w:w="9835"/>
            <w:shd w:fill="EAF2FC"/>
            <w:tcMar>
              <w:top w:w="120" w:type="dxa"/>
              <w:start w:w="150" w:type="dxa"/>
              <w:bottom w:w="120" w:type="dxa"/>
              <w:end w:w="150" w:type="dxa"/>
            </w:tcMar>
            <w:tcBorders>
              <w:top w:val="single" w:sz="5" w:color="C6D7EC"/>
              <w:left w:val="single" w:sz="5" w:color="C6D7EC"/>
              <w:bottom w:val="single" w:sz="5" w:color="C6D7EC"/>
              <w:right w:val="single" w:sz="5" w:color="C6D7EC"/>
              <w:insideH w:val="single" w:sz="5" w:color="C6D7EC"/>
              <w:insideV w:val="single" w:sz="5" w:color="C6D7EC"/>
            </w:tcBorders>
          </w:tcPr>
          <w:p>
            <w:pPr>
              <w:spacing w:after="40"/>
            </w:pPr>
            <w:r>
              <w:rPr>
                <w:rFonts w:ascii="Arial" w:hAnsi="Arial" w:cs="Arial"/>
                <w:b/>
                <w:i w:val="0"/>
                <w:color w:val="2F6DB5"/>
                <w:sz w:val="18"/>
              </w:rPr>
              <w:t>PHASE OUTPUT</w:t>
            </w:r>
          </w:p>
          <w:p>
            <w:pPr>
              <w:spacing w:after="0"/>
            </w:pPr>
            <w:r>
              <w:rPr>
                <w:rFonts w:ascii="Arial" w:hAnsi="Arial" w:cs="Arial"/>
                <w:b w:val="0"/>
                <w:i w:val="0"/>
                <w:color w:val="202B3C"/>
                <w:sz w:val="18"/>
              </w:rPr>
              <w:t>A focused product direction: help users shape a practical budget plan before comparing purchases. Validate the empathy assumptions with real users before treating them as research findings.</w:t>
            </w:r>
          </w:p>
        </w:tc>
      </w:tr>
    </w:tbl>
    <w:p>
      <w:pPr>
        <w:spacing w:after="20"/>
      </w:pPr>
    </w:p>
    <w:sectPr w:rsidR="00FC693F" w:rsidRPr="0006063C" w:rsidSect="00034616">
      <w:footerReference w:type="default" r:id="rId9"/>
      <w:pgSz w:w="11909" w:h="16834"/>
      <w:pgMar w:top="979" w:right="1037" w:bottom="979" w:left="1037" w:header="720"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pPr>
    <w:r>
      <w:rPr>
        <w:rFonts w:ascii="Arial" w:hAnsi="Arial" w:cs="Arial"/>
        <w:b w:val="0"/>
        <w:i w:val="0"/>
        <w:color w:val="607086"/>
        <w:sz w:val="16"/>
      </w:rPr>
      <w:t>PocketSmart AI   |   Project phase deliverable</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59" w:lineRule="auto"/>
    </w:pPr>
    <w:rPr>
      <w:rFonts w:ascii="Arial" w:hAnsi="Arial"/>
      <w:color w:val="202B3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2F6D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rial" w:hAnsi="Arial"/>
      <w:b/>
      <w:color w:val="111111"/>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PocketSmart AI Phase 1 Brainstorming and Ideation</dc:title>
  <dc:subject>Opportunity areas, problem statements and idea priorities</dc:subject>
  <dc:creator>PocketSmart AI</dc:creator>
  <cp:keywords/>
  <dc:description>generated by python-docx</dc:description>
  <cp:lastModifiedBy/>
  <cp:revision>1</cp:revision>
  <dcterms:created xsi:type="dcterms:W3CDTF">2013-12-23T23:15:00Z</dcterms:created>
  <dcterms:modified xsi:type="dcterms:W3CDTF">2013-12-23T23:15:00Z</dcterms:modified>
  <cp:category/>
</cp:coreProperties>
</file>